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CBE56" w14:textId="77777777" w:rsidR="00494E4D" w:rsidRPr="00716A0C" w:rsidRDefault="00494E4D" w:rsidP="00716A0C">
      <w:pPr>
        <w:pStyle w:val="Heading1"/>
        <w:jc w:val="center"/>
        <w:rPr>
          <w:b/>
          <w:color w:val="auto"/>
        </w:rPr>
      </w:pPr>
      <w:r w:rsidRPr="00716A0C">
        <w:rPr>
          <w:b/>
          <w:color w:val="auto"/>
        </w:rPr>
        <w:t>Drama and Theatre Arts</w:t>
      </w:r>
    </w:p>
    <w:p w14:paraId="40DE9FA4" w14:textId="25C82AD2" w:rsidR="00494E4D" w:rsidRPr="00716A0C" w:rsidRDefault="00494E4D" w:rsidP="00716A0C">
      <w:pPr>
        <w:pStyle w:val="Heading1"/>
        <w:jc w:val="center"/>
        <w:rPr>
          <w:b/>
          <w:color w:val="auto"/>
        </w:rPr>
      </w:pPr>
      <w:r w:rsidRPr="00716A0C">
        <w:rPr>
          <w:b/>
          <w:color w:val="auto"/>
        </w:rPr>
        <w:t xml:space="preserve">Module Descriptions </w:t>
      </w:r>
      <w:r w:rsidR="00B71CF6" w:rsidRPr="00716A0C">
        <w:rPr>
          <w:b/>
          <w:color w:val="auto"/>
        </w:rPr>
        <w:t>202</w:t>
      </w:r>
      <w:r w:rsidR="00974A3B">
        <w:rPr>
          <w:b/>
          <w:color w:val="auto"/>
        </w:rPr>
        <w:t>4</w:t>
      </w:r>
      <w:r w:rsidR="00B71CF6" w:rsidRPr="00716A0C">
        <w:rPr>
          <w:b/>
          <w:color w:val="auto"/>
        </w:rPr>
        <w:t>/2</w:t>
      </w:r>
      <w:r w:rsidR="00974A3B">
        <w:rPr>
          <w:b/>
          <w:color w:val="auto"/>
        </w:rPr>
        <w:t>5</w:t>
      </w:r>
    </w:p>
    <w:p w14:paraId="7053AA14" w14:textId="77777777" w:rsidR="00716A0C" w:rsidRDefault="00716A0C" w:rsidP="00281BFB"/>
    <w:p w14:paraId="1FB84AB1" w14:textId="56D0070C" w:rsidR="00281BFB" w:rsidRPr="009475D4" w:rsidRDefault="00281BFB" w:rsidP="00D7693F">
      <w:pPr>
        <w:rPr>
          <w:sz w:val="24"/>
          <w:szCs w:val="24"/>
        </w:rPr>
      </w:pPr>
      <w:r w:rsidRPr="009475D4">
        <w:rPr>
          <w:sz w:val="24"/>
          <w:szCs w:val="24"/>
        </w:rPr>
        <w:t xml:space="preserve">Please be aware that all modules are subject to availability. </w:t>
      </w:r>
    </w:p>
    <w:p w14:paraId="7C16364C" w14:textId="77777777" w:rsidR="00281BFB" w:rsidRPr="009475D4" w:rsidRDefault="00281BFB" w:rsidP="00281BFB">
      <w:pPr>
        <w:rPr>
          <w:sz w:val="24"/>
          <w:szCs w:val="24"/>
        </w:rPr>
      </w:pPr>
      <w:r w:rsidRPr="009475D4">
        <w:rPr>
          <w:sz w:val="24"/>
          <w:szCs w:val="24"/>
        </w:rPr>
        <w:t xml:space="preserve">For many of these modules, some experience of studying Drama and Theatre Arts may be required, and you should remember this when choosing your modules. </w:t>
      </w:r>
    </w:p>
    <w:p w14:paraId="7B2E052E" w14:textId="1DFEB968" w:rsidR="00281BFB" w:rsidRPr="009475D4" w:rsidRDefault="00281BFB" w:rsidP="00281BFB">
      <w:pPr>
        <w:rPr>
          <w:sz w:val="24"/>
          <w:szCs w:val="24"/>
        </w:rPr>
      </w:pPr>
      <w:r w:rsidRPr="009475D4">
        <w:rPr>
          <w:sz w:val="24"/>
          <w:szCs w:val="24"/>
        </w:rPr>
        <w:t>Please note that at the time this document has been prepared (</w:t>
      </w:r>
      <w:r w:rsidR="008020EC">
        <w:rPr>
          <w:sz w:val="24"/>
          <w:szCs w:val="24"/>
        </w:rPr>
        <w:t>October</w:t>
      </w:r>
      <w:r w:rsidR="00B71CF6" w:rsidRPr="009475D4">
        <w:rPr>
          <w:sz w:val="24"/>
          <w:szCs w:val="24"/>
        </w:rPr>
        <w:t xml:space="preserve"> 20</w:t>
      </w:r>
      <w:r w:rsidR="007106B8" w:rsidRPr="009475D4">
        <w:rPr>
          <w:sz w:val="24"/>
          <w:szCs w:val="24"/>
        </w:rPr>
        <w:t>2</w:t>
      </w:r>
      <w:r w:rsidR="00974A3B">
        <w:rPr>
          <w:sz w:val="24"/>
          <w:szCs w:val="24"/>
        </w:rPr>
        <w:t>4</w:t>
      </w:r>
      <w:r w:rsidRPr="009475D4">
        <w:rPr>
          <w:sz w:val="24"/>
          <w:szCs w:val="24"/>
        </w:rPr>
        <w:t xml:space="preserve">) the following information is provisional, and there may be minor changes between now and the beginning of </w:t>
      </w:r>
      <w:r w:rsidR="00B71CF6" w:rsidRPr="009475D4">
        <w:rPr>
          <w:sz w:val="24"/>
          <w:szCs w:val="24"/>
        </w:rPr>
        <w:t>202</w:t>
      </w:r>
      <w:r w:rsidR="008020EC">
        <w:rPr>
          <w:sz w:val="24"/>
          <w:szCs w:val="24"/>
        </w:rPr>
        <w:t>4</w:t>
      </w:r>
      <w:r w:rsidR="00B71CF6" w:rsidRPr="009475D4">
        <w:rPr>
          <w:sz w:val="24"/>
          <w:szCs w:val="24"/>
        </w:rPr>
        <w:t>/2</w:t>
      </w:r>
      <w:r w:rsidR="008020EC">
        <w:rPr>
          <w:sz w:val="24"/>
          <w:szCs w:val="24"/>
        </w:rPr>
        <w:t>5</w:t>
      </w:r>
      <w:r w:rsidRPr="009475D4">
        <w:rPr>
          <w:sz w:val="24"/>
          <w:szCs w:val="24"/>
        </w:rPr>
        <w:t xml:space="preserve"> academic year. </w:t>
      </w:r>
    </w:p>
    <w:p w14:paraId="302B859D" w14:textId="77777777" w:rsidR="00E6628C" w:rsidRPr="009475D4" w:rsidRDefault="00E6628C" w:rsidP="00E6628C">
      <w:pPr>
        <w:rPr>
          <w:b/>
          <w:bCs/>
          <w:sz w:val="24"/>
          <w:szCs w:val="24"/>
        </w:rPr>
      </w:pPr>
    </w:p>
    <w:p w14:paraId="10B1B5D9" w14:textId="24DCB4D0" w:rsidR="00E6628C" w:rsidRPr="009475D4" w:rsidRDefault="00E6628C" w:rsidP="00E6628C">
      <w:pPr>
        <w:rPr>
          <w:b/>
          <w:bCs/>
          <w:sz w:val="24"/>
          <w:szCs w:val="24"/>
        </w:rPr>
        <w:sectPr w:rsidR="00E6628C" w:rsidRPr="009475D4" w:rsidSect="009A15FF">
          <w:footerReference w:type="default" r:id="rId7"/>
          <w:pgSz w:w="11906" w:h="16838"/>
          <w:pgMar w:top="1440" w:right="1440" w:bottom="1440" w:left="1440" w:header="708" w:footer="708" w:gutter="0"/>
          <w:cols w:space="708"/>
          <w:docGrid w:linePitch="360"/>
        </w:sectPr>
      </w:pPr>
      <w:r w:rsidRPr="009475D4">
        <w:rPr>
          <w:b/>
          <w:bCs/>
          <w:sz w:val="24"/>
          <w:szCs w:val="24"/>
        </w:rPr>
        <w:t>Please note: F</w:t>
      </w:r>
      <w:r w:rsidRPr="009475D4">
        <w:rPr>
          <w:rFonts w:ascii="Calibri" w:hAnsi="Calibri" w:cs="Calibri"/>
          <w:b/>
          <w:bCs/>
          <w:color w:val="000000"/>
          <w:sz w:val="24"/>
          <w:szCs w:val="24"/>
        </w:rPr>
        <w:t>orms of assessment are currently undergoing review for 202</w:t>
      </w:r>
      <w:r w:rsidR="00974A3B">
        <w:rPr>
          <w:rFonts w:ascii="Calibri" w:hAnsi="Calibri" w:cs="Calibri"/>
          <w:b/>
          <w:bCs/>
          <w:color w:val="000000"/>
          <w:sz w:val="24"/>
          <w:szCs w:val="24"/>
        </w:rPr>
        <w:t>4</w:t>
      </w:r>
      <w:r w:rsidRPr="009475D4">
        <w:rPr>
          <w:rFonts w:ascii="Calibri" w:hAnsi="Calibri" w:cs="Calibri"/>
          <w:b/>
          <w:bCs/>
          <w:color w:val="000000"/>
          <w:sz w:val="24"/>
          <w:szCs w:val="24"/>
        </w:rPr>
        <w:t>/2</w:t>
      </w:r>
      <w:r w:rsidR="00974A3B">
        <w:rPr>
          <w:rFonts w:ascii="Calibri" w:hAnsi="Calibri" w:cs="Calibri"/>
          <w:b/>
          <w:bCs/>
          <w:color w:val="000000"/>
          <w:sz w:val="24"/>
          <w:szCs w:val="24"/>
        </w:rPr>
        <w:t>5</w:t>
      </w:r>
      <w:r w:rsidRPr="009475D4">
        <w:rPr>
          <w:rFonts w:ascii="Calibri" w:hAnsi="Calibri" w:cs="Calibri"/>
          <w:b/>
          <w:bCs/>
          <w:color w:val="000000"/>
          <w:sz w:val="24"/>
          <w:szCs w:val="24"/>
        </w:rPr>
        <w:t>, and as a result the assessment information listed within this handbook may be subject to change.</w:t>
      </w:r>
    </w:p>
    <w:p w14:paraId="2F89B46A" w14:textId="5F7EBD66" w:rsidR="002A5AC7" w:rsidRDefault="002A5AC7"/>
    <w:p w14:paraId="50DB2657" w14:textId="4A3B02BB" w:rsidR="002A5AC7" w:rsidRPr="00716A0C" w:rsidRDefault="00974A3B" w:rsidP="00716A0C">
      <w:pPr>
        <w:pStyle w:val="Heading1"/>
        <w:jc w:val="center"/>
        <w:rPr>
          <w:b/>
          <w:color w:val="auto"/>
          <w:sz w:val="52"/>
          <w:u w:val="single"/>
        </w:rPr>
      </w:pPr>
      <w:r>
        <w:rPr>
          <w:b/>
          <w:color w:val="auto"/>
          <w:sz w:val="52"/>
          <w:u w:val="single"/>
        </w:rPr>
        <w:t xml:space="preserve">LI </w:t>
      </w:r>
      <w:r w:rsidR="00904C3D">
        <w:rPr>
          <w:b/>
          <w:color w:val="auto"/>
          <w:sz w:val="52"/>
          <w:u w:val="single"/>
        </w:rPr>
        <w:t xml:space="preserve">Module </w:t>
      </w:r>
      <w:r>
        <w:rPr>
          <w:b/>
          <w:color w:val="auto"/>
          <w:sz w:val="52"/>
          <w:u w:val="single"/>
        </w:rPr>
        <w:t>Options</w:t>
      </w:r>
    </w:p>
    <w:p w14:paraId="025ABDA9" w14:textId="77777777" w:rsidR="00355E64" w:rsidRDefault="00355E64" w:rsidP="00E6628C">
      <w:pPr>
        <w:pStyle w:val="Heading2"/>
        <w:rPr>
          <w:b/>
          <w:color w:val="auto"/>
          <w:u w:val="single"/>
        </w:rPr>
        <w:sectPr w:rsidR="00355E64">
          <w:pgSz w:w="11906" w:h="16838"/>
          <w:pgMar w:top="1440" w:right="1440" w:bottom="1440" w:left="1440" w:header="708" w:footer="708" w:gutter="0"/>
          <w:cols w:space="708"/>
          <w:docGrid w:linePitch="360"/>
        </w:sectPr>
      </w:pPr>
    </w:p>
    <w:p w14:paraId="20B7C213" w14:textId="3280FD3A" w:rsidR="00904C3D" w:rsidRPr="00B71CF6" w:rsidRDefault="00904C3D" w:rsidP="00904C3D">
      <w:pPr>
        <w:pStyle w:val="Heading2"/>
        <w:jc w:val="center"/>
        <w:rPr>
          <w:b/>
          <w:color w:val="auto"/>
          <w:u w:val="single"/>
        </w:rPr>
      </w:pPr>
      <w:r>
        <w:rPr>
          <w:b/>
          <w:color w:val="auto"/>
          <w:u w:val="single"/>
        </w:rPr>
        <w:lastRenderedPageBreak/>
        <w:t>Engaging Audiences</w:t>
      </w:r>
    </w:p>
    <w:p w14:paraId="55A5F9ED" w14:textId="77777777" w:rsidR="00904C3D" w:rsidRDefault="00904C3D" w:rsidP="00A73F51">
      <w:pPr>
        <w:pStyle w:val="Heading1"/>
        <w:jc w:val="center"/>
        <w:rPr>
          <w:b/>
          <w:u w:val="single"/>
        </w:rPr>
      </w:pPr>
    </w:p>
    <w:p w14:paraId="5B71E7FD" w14:textId="650FB76A" w:rsidR="00904C3D" w:rsidRPr="009475D4" w:rsidRDefault="00904C3D" w:rsidP="00904C3D">
      <w:pPr>
        <w:pStyle w:val="NoSpacing"/>
        <w:rPr>
          <w:color w:val="000000"/>
          <w:sz w:val="24"/>
          <w:szCs w:val="24"/>
        </w:rPr>
      </w:pPr>
      <w:r w:rsidRPr="009475D4">
        <w:rPr>
          <w:sz w:val="24"/>
          <w:szCs w:val="24"/>
        </w:rPr>
        <w:t xml:space="preserve">MODULE CODE: </w:t>
      </w:r>
      <w:r w:rsidR="00A271BA" w:rsidRPr="00A271BA">
        <w:rPr>
          <w:color w:val="000000"/>
          <w:sz w:val="24"/>
          <w:szCs w:val="24"/>
        </w:rPr>
        <w:t>39920</w:t>
      </w:r>
    </w:p>
    <w:p w14:paraId="3BDDCE85" w14:textId="77777777" w:rsidR="00904C3D" w:rsidRPr="009475D4" w:rsidRDefault="00904C3D" w:rsidP="00904C3D">
      <w:pPr>
        <w:pStyle w:val="NoSpacing"/>
        <w:rPr>
          <w:sz w:val="24"/>
          <w:szCs w:val="24"/>
        </w:rPr>
      </w:pPr>
      <w:r w:rsidRPr="009475D4">
        <w:rPr>
          <w:sz w:val="24"/>
          <w:szCs w:val="24"/>
        </w:rPr>
        <w:t>CREDIT VALUE: 20</w:t>
      </w:r>
    </w:p>
    <w:p w14:paraId="47489696" w14:textId="57D8A478" w:rsidR="00904C3D" w:rsidRPr="009475D4" w:rsidRDefault="00904C3D" w:rsidP="00904C3D">
      <w:pPr>
        <w:pStyle w:val="NoSpacing"/>
        <w:rPr>
          <w:sz w:val="24"/>
          <w:szCs w:val="24"/>
        </w:rPr>
      </w:pPr>
      <w:r w:rsidRPr="009475D4">
        <w:rPr>
          <w:sz w:val="24"/>
          <w:szCs w:val="24"/>
        </w:rPr>
        <w:t>ASSESSMENT METHOD:</w:t>
      </w:r>
      <w:r>
        <w:rPr>
          <w:sz w:val="24"/>
          <w:szCs w:val="24"/>
        </w:rPr>
        <w:t xml:space="preserve"> 1x I</w:t>
      </w:r>
      <w:r w:rsidRPr="00904C3D">
        <w:rPr>
          <w:sz w:val="24"/>
          <w:szCs w:val="24"/>
        </w:rPr>
        <w:t xml:space="preserve">ndividual presentation (50%) </w:t>
      </w:r>
      <w:r>
        <w:rPr>
          <w:sz w:val="24"/>
          <w:szCs w:val="24"/>
        </w:rPr>
        <w:t xml:space="preserve">and 1x </w:t>
      </w:r>
      <w:r w:rsidRPr="00904C3D">
        <w:rPr>
          <w:sz w:val="24"/>
          <w:szCs w:val="24"/>
        </w:rPr>
        <w:t>Documentation artefact (50%)</w:t>
      </w:r>
    </w:p>
    <w:p w14:paraId="46C5E344" w14:textId="1D070088" w:rsidR="00904C3D" w:rsidRDefault="00904C3D" w:rsidP="00904C3D">
      <w:pPr>
        <w:pStyle w:val="NoSpacing"/>
        <w:rPr>
          <w:sz w:val="24"/>
          <w:szCs w:val="24"/>
        </w:rPr>
      </w:pPr>
      <w:r w:rsidRPr="009475D4">
        <w:rPr>
          <w:sz w:val="24"/>
          <w:szCs w:val="24"/>
        </w:rPr>
        <w:t xml:space="preserve">SEMESTER: </w:t>
      </w:r>
      <w:r>
        <w:rPr>
          <w:sz w:val="24"/>
          <w:szCs w:val="24"/>
        </w:rPr>
        <w:t>2</w:t>
      </w:r>
      <w:r w:rsidRPr="009475D4">
        <w:rPr>
          <w:sz w:val="24"/>
          <w:szCs w:val="24"/>
        </w:rPr>
        <w:t xml:space="preserve"> (</w:t>
      </w:r>
      <w:r>
        <w:rPr>
          <w:sz w:val="24"/>
          <w:szCs w:val="24"/>
        </w:rPr>
        <w:t>Spring</w:t>
      </w:r>
      <w:r w:rsidRPr="009475D4">
        <w:rPr>
          <w:sz w:val="24"/>
          <w:szCs w:val="24"/>
        </w:rPr>
        <w:t xml:space="preserve"> term only)</w:t>
      </w:r>
    </w:p>
    <w:p w14:paraId="50F5E3A8" w14:textId="77777777" w:rsidR="00904C3D" w:rsidRDefault="00904C3D" w:rsidP="00904C3D">
      <w:pPr>
        <w:pStyle w:val="NoSpacing"/>
        <w:rPr>
          <w:sz w:val="24"/>
          <w:szCs w:val="24"/>
        </w:rPr>
      </w:pPr>
    </w:p>
    <w:p w14:paraId="150CB43A" w14:textId="69D7E69D" w:rsidR="00904C3D" w:rsidRDefault="00904C3D" w:rsidP="00904C3D">
      <w:pPr>
        <w:pStyle w:val="NoSpacing"/>
        <w:rPr>
          <w:b/>
          <w:bCs/>
          <w:sz w:val="24"/>
          <w:szCs w:val="24"/>
          <w:u w:val="single"/>
        </w:rPr>
      </w:pPr>
      <w:r>
        <w:rPr>
          <w:b/>
          <w:bCs/>
          <w:sz w:val="24"/>
          <w:szCs w:val="24"/>
          <w:u w:val="single"/>
        </w:rPr>
        <w:t>DESCRIPTION</w:t>
      </w:r>
    </w:p>
    <w:p w14:paraId="776F939D" w14:textId="77777777" w:rsidR="00904C3D" w:rsidRDefault="00904C3D" w:rsidP="00904C3D">
      <w:pPr>
        <w:pStyle w:val="NoSpacing"/>
        <w:rPr>
          <w:b/>
          <w:bCs/>
          <w:sz w:val="24"/>
          <w:szCs w:val="24"/>
          <w:u w:val="single"/>
        </w:rPr>
      </w:pPr>
    </w:p>
    <w:p w14:paraId="27EDDC44" w14:textId="47B759CC" w:rsidR="00B71CF6" w:rsidRPr="00837C4B" w:rsidRDefault="00904C3D" w:rsidP="00837C4B">
      <w:pPr>
        <w:pStyle w:val="NoSpacing"/>
        <w:rPr>
          <w:sz w:val="24"/>
          <w:szCs w:val="24"/>
        </w:rPr>
        <w:sectPr w:rsidR="00B71CF6" w:rsidRPr="00837C4B">
          <w:pgSz w:w="11906" w:h="16838"/>
          <w:pgMar w:top="1440" w:right="1440" w:bottom="1440" w:left="1440" w:header="708" w:footer="708" w:gutter="0"/>
          <w:cols w:space="708"/>
          <w:docGrid w:linePitch="360"/>
        </w:sectPr>
      </w:pPr>
      <w:r w:rsidRPr="00904C3D">
        <w:rPr>
          <w:sz w:val="24"/>
          <w:szCs w:val="24"/>
        </w:rPr>
        <w:t>This module explores the dynamic relationship between performers and spectators at live events, while gaining a deeper understanding of the diverse factors that shape audience experiences. Students will examine the historical evolution of audiences, delve into the analysis of spectatorship and the impact of technology on live event spectatorship. By analysing case studies and engaging in critical discussions, students will develop critical thinking skills and an appreciation for the cultural, social and economic dimensions of live audiences. Looking at a variety of ways in which modes of performance engage their audiences and the approaches to analysis and documentation of audience experience, the module equips students with the tools to analyse and engage with live audiences. This in turn will enhance their ability to create, perform and appreciate live events in a broader contex</w:t>
      </w:r>
      <w:r w:rsidR="008020EC">
        <w:rPr>
          <w:sz w:val="24"/>
          <w:szCs w:val="24"/>
        </w:rPr>
        <w:t>t</w:t>
      </w:r>
      <w:r w:rsidR="00864593">
        <w:rPr>
          <w:sz w:val="24"/>
          <w:szCs w:val="24"/>
        </w:rPr>
        <w:t>.</w:t>
      </w:r>
    </w:p>
    <w:p w14:paraId="04037D64" w14:textId="77777777" w:rsidR="00A73F51" w:rsidRDefault="00A73F51" w:rsidP="000E78A0">
      <w:pPr>
        <w:rPr>
          <w:b/>
        </w:rPr>
      </w:pPr>
    </w:p>
    <w:p w14:paraId="0B857C2B" w14:textId="77777777" w:rsidR="00864593" w:rsidRDefault="00864593" w:rsidP="00864593">
      <w:pPr>
        <w:rPr>
          <w:sz w:val="24"/>
          <w:szCs w:val="24"/>
        </w:rPr>
      </w:pPr>
    </w:p>
    <w:p w14:paraId="1AF93D3D" w14:textId="77777777" w:rsidR="00864593" w:rsidRDefault="00864593" w:rsidP="00864593">
      <w:pPr>
        <w:pStyle w:val="Heading1"/>
        <w:jc w:val="center"/>
        <w:rPr>
          <w:b/>
          <w:color w:val="auto"/>
          <w:sz w:val="52"/>
          <w:u w:val="single"/>
        </w:rPr>
      </w:pPr>
      <w:r>
        <w:rPr>
          <w:b/>
          <w:color w:val="auto"/>
          <w:sz w:val="52"/>
          <w:u w:val="single"/>
        </w:rPr>
        <w:t>LH Module Options</w:t>
      </w:r>
    </w:p>
    <w:p w14:paraId="66AF08CD" w14:textId="77777777" w:rsidR="00864593" w:rsidRDefault="00864593" w:rsidP="00864593"/>
    <w:p w14:paraId="63F190CA" w14:textId="77777777" w:rsidR="00864593" w:rsidRDefault="00864593" w:rsidP="00864593"/>
    <w:p w14:paraId="454C79F0" w14:textId="77777777" w:rsidR="00864593" w:rsidRDefault="00864593" w:rsidP="00864593"/>
    <w:p w14:paraId="21EEBCE3" w14:textId="77777777" w:rsidR="00864593" w:rsidRDefault="00864593" w:rsidP="00864593"/>
    <w:p w14:paraId="5ED11BFE" w14:textId="77777777" w:rsidR="00864593" w:rsidRDefault="00864593" w:rsidP="00864593"/>
    <w:p w14:paraId="172BBCB6" w14:textId="77777777" w:rsidR="00864593" w:rsidRDefault="00864593" w:rsidP="00864593"/>
    <w:p w14:paraId="03F35901" w14:textId="77777777" w:rsidR="00864593" w:rsidRDefault="00864593" w:rsidP="00864593"/>
    <w:p w14:paraId="29AA2866" w14:textId="77777777" w:rsidR="00864593" w:rsidRDefault="00864593" w:rsidP="00864593"/>
    <w:p w14:paraId="7FDC8AE5" w14:textId="77777777" w:rsidR="00864593" w:rsidRDefault="00864593" w:rsidP="00864593"/>
    <w:p w14:paraId="4AC97C16" w14:textId="77777777" w:rsidR="00864593" w:rsidRDefault="00864593" w:rsidP="00864593"/>
    <w:p w14:paraId="2EAA2C70" w14:textId="77777777" w:rsidR="00864593" w:rsidRDefault="00864593" w:rsidP="00864593"/>
    <w:p w14:paraId="5177935D" w14:textId="77777777" w:rsidR="00864593" w:rsidRDefault="00864593" w:rsidP="00864593"/>
    <w:p w14:paraId="735D25FB" w14:textId="77777777" w:rsidR="00864593" w:rsidRDefault="00864593" w:rsidP="00864593"/>
    <w:p w14:paraId="57870E29" w14:textId="77777777" w:rsidR="00864593" w:rsidRDefault="00864593" w:rsidP="00864593"/>
    <w:p w14:paraId="73371E06" w14:textId="77777777" w:rsidR="00864593" w:rsidRDefault="00864593" w:rsidP="00864593"/>
    <w:p w14:paraId="2487B1EF" w14:textId="77777777" w:rsidR="00864593" w:rsidRDefault="00864593" w:rsidP="00864593"/>
    <w:p w14:paraId="04C1EB14" w14:textId="77777777" w:rsidR="00864593" w:rsidRDefault="00864593" w:rsidP="00864593"/>
    <w:p w14:paraId="1E641C29" w14:textId="77777777" w:rsidR="00864593" w:rsidRDefault="00864593" w:rsidP="00864593"/>
    <w:p w14:paraId="019905B9" w14:textId="77777777" w:rsidR="00864593" w:rsidRDefault="00864593" w:rsidP="00864593"/>
    <w:p w14:paraId="667D3FDB" w14:textId="77777777" w:rsidR="00864593" w:rsidRDefault="00864593" w:rsidP="00864593"/>
    <w:p w14:paraId="6E07907F" w14:textId="77777777" w:rsidR="00864593" w:rsidRDefault="00864593" w:rsidP="00864593"/>
    <w:p w14:paraId="333F3892" w14:textId="77777777" w:rsidR="00864593" w:rsidRDefault="00864593" w:rsidP="00864593"/>
    <w:p w14:paraId="1B6A0A30" w14:textId="77777777" w:rsidR="00864593" w:rsidRDefault="00864593" w:rsidP="00864593"/>
    <w:p w14:paraId="4E15A269" w14:textId="77777777" w:rsidR="00864593" w:rsidRDefault="00864593" w:rsidP="00864593"/>
    <w:p w14:paraId="2F048138" w14:textId="77777777" w:rsidR="00864593" w:rsidRDefault="00864593" w:rsidP="00864593">
      <w:pPr>
        <w:pStyle w:val="NoSpacing"/>
        <w:rPr>
          <w:sz w:val="24"/>
          <w:szCs w:val="24"/>
        </w:rPr>
      </w:pPr>
    </w:p>
    <w:p w14:paraId="5ADE0A79" w14:textId="70327CE9" w:rsidR="00864593" w:rsidRDefault="00864593" w:rsidP="00864593">
      <w:pPr>
        <w:pStyle w:val="Heading2"/>
        <w:jc w:val="center"/>
        <w:rPr>
          <w:b/>
          <w:bCs/>
          <w:color w:val="auto"/>
          <w:u w:val="single"/>
        </w:rPr>
      </w:pPr>
      <w:r>
        <w:rPr>
          <w:b/>
          <w:bCs/>
          <w:color w:val="auto"/>
          <w:u w:val="single"/>
        </w:rPr>
        <w:t>Creative Partnerships</w:t>
      </w:r>
    </w:p>
    <w:p w14:paraId="1344A897" w14:textId="77777777" w:rsidR="00864593" w:rsidRDefault="00864593" w:rsidP="00864593"/>
    <w:p w14:paraId="4C045A28" w14:textId="77777777" w:rsidR="00864593" w:rsidRPr="009475D4" w:rsidRDefault="00864593" w:rsidP="00864593">
      <w:pPr>
        <w:pStyle w:val="NoSpacing"/>
        <w:rPr>
          <w:color w:val="000000"/>
          <w:sz w:val="24"/>
          <w:szCs w:val="24"/>
        </w:rPr>
      </w:pPr>
      <w:r w:rsidRPr="009475D4">
        <w:rPr>
          <w:sz w:val="24"/>
          <w:szCs w:val="24"/>
        </w:rPr>
        <w:t xml:space="preserve">MODULE CODE: </w:t>
      </w:r>
      <w:r w:rsidRPr="00F62080">
        <w:rPr>
          <w:sz w:val="24"/>
          <w:szCs w:val="24"/>
        </w:rPr>
        <w:t>39933</w:t>
      </w:r>
    </w:p>
    <w:p w14:paraId="5E039E4D" w14:textId="77777777" w:rsidR="00864593" w:rsidRPr="009475D4" w:rsidRDefault="00864593" w:rsidP="00864593">
      <w:pPr>
        <w:pStyle w:val="NoSpacing"/>
        <w:rPr>
          <w:sz w:val="24"/>
          <w:szCs w:val="24"/>
        </w:rPr>
      </w:pPr>
      <w:r w:rsidRPr="009475D4">
        <w:rPr>
          <w:sz w:val="24"/>
          <w:szCs w:val="24"/>
        </w:rPr>
        <w:t xml:space="preserve">CREDIT VALUE: </w:t>
      </w:r>
      <w:r>
        <w:rPr>
          <w:sz w:val="24"/>
          <w:szCs w:val="24"/>
        </w:rPr>
        <w:t>20</w:t>
      </w:r>
    </w:p>
    <w:p w14:paraId="4BDCCDC8" w14:textId="77777777" w:rsidR="00864593" w:rsidRPr="00754690" w:rsidRDefault="00864593" w:rsidP="00864593">
      <w:pPr>
        <w:pStyle w:val="NoSpacing"/>
        <w:rPr>
          <w:sz w:val="24"/>
          <w:szCs w:val="24"/>
        </w:rPr>
      </w:pPr>
      <w:r w:rsidRPr="009475D4">
        <w:rPr>
          <w:sz w:val="24"/>
          <w:szCs w:val="24"/>
        </w:rPr>
        <w:t xml:space="preserve">ASSESSMENT METHOD: </w:t>
      </w:r>
      <w:r>
        <w:rPr>
          <w:sz w:val="24"/>
          <w:szCs w:val="24"/>
        </w:rPr>
        <w:t xml:space="preserve">1x </w:t>
      </w:r>
      <w:r w:rsidRPr="00CE420D">
        <w:rPr>
          <w:sz w:val="24"/>
          <w:szCs w:val="24"/>
        </w:rPr>
        <w:t xml:space="preserve">Practical project (50%) </w:t>
      </w:r>
      <w:r>
        <w:rPr>
          <w:sz w:val="24"/>
          <w:szCs w:val="24"/>
        </w:rPr>
        <w:t xml:space="preserve">and 1x </w:t>
      </w:r>
      <w:r w:rsidRPr="00CE420D">
        <w:rPr>
          <w:sz w:val="24"/>
          <w:szCs w:val="24"/>
        </w:rPr>
        <w:t>Portfolio (50%)</w:t>
      </w:r>
    </w:p>
    <w:p w14:paraId="70CF5B61" w14:textId="77777777" w:rsidR="00864593" w:rsidRDefault="00864593" w:rsidP="00864593">
      <w:pPr>
        <w:pStyle w:val="NoSpacing"/>
        <w:rPr>
          <w:sz w:val="24"/>
          <w:szCs w:val="24"/>
        </w:rPr>
      </w:pPr>
      <w:r w:rsidRPr="009475D4">
        <w:rPr>
          <w:sz w:val="24"/>
          <w:szCs w:val="24"/>
        </w:rPr>
        <w:t xml:space="preserve">SEMESTER: </w:t>
      </w:r>
      <w:r>
        <w:rPr>
          <w:sz w:val="24"/>
          <w:szCs w:val="24"/>
        </w:rPr>
        <w:t>2 (Spring term only)</w:t>
      </w:r>
    </w:p>
    <w:p w14:paraId="5DF17D64" w14:textId="77777777" w:rsidR="00864593" w:rsidRDefault="00864593" w:rsidP="00864593">
      <w:pPr>
        <w:pStyle w:val="NoSpacing"/>
        <w:rPr>
          <w:sz w:val="24"/>
          <w:szCs w:val="24"/>
        </w:rPr>
      </w:pPr>
    </w:p>
    <w:p w14:paraId="14644790" w14:textId="77777777" w:rsidR="00864593" w:rsidRDefault="00864593" w:rsidP="00864593">
      <w:pPr>
        <w:pStyle w:val="NoSpacing"/>
        <w:rPr>
          <w:b/>
          <w:bCs/>
          <w:sz w:val="24"/>
          <w:szCs w:val="24"/>
          <w:u w:val="single"/>
        </w:rPr>
      </w:pPr>
      <w:r>
        <w:rPr>
          <w:b/>
          <w:bCs/>
          <w:sz w:val="24"/>
          <w:szCs w:val="24"/>
          <w:u w:val="single"/>
        </w:rPr>
        <w:t>DESCRIPTION</w:t>
      </w:r>
    </w:p>
    <w:p w14:paraId="661A17CE" w14:textId="77777777" w:rsidR="00864593" w:rsidRDefault="00864593" w:rsidP="00864593">
      <w:pPr>
        <w:pStyle w:val="NoSpacing"/>
        <w:rPr>
          <w:sz w:val="24"/>
          <w:szCs w:val="24"/>
        </w:rPr>
      </w:pPr>
    </w:p>
    <w:p w14:paraId="12103865" w14:textId="77777777" w:rsidR="00864593" w:rsidRPr="00CE420D" w:rsidRDefault="00864593" w:rsidP="00864593">
      <w:pPr>
        <w:pStyle w:val="NoSpacing"/>
        <w:rPr>
          <w:sz w:val="24"/>
          <w:szCs w:val="24"/>
        </w:rPr>
      </w:pPr>
      <w:r w:rsidRPr="00CE420D">
        <w:rPr>
          <w:sz w:val="24"/>
          <w:szCs w:val="24"/>
        </w:rPr>
        <w:t xml:space="preserve">This module will form the basis to collaborate with an external stakeholder drawn from the broad cultural and creative industries, as well as the arts, community and heritage sectors, to create new site-based performance. This may entail off-campus working. Drawing on research, writing and devised elements, original performance will be commissioned and cocreated by and for a venue and/or organisation in the sector. Performance for and in response to site may draw on the history and stories of the location, its utilitarian nature now and historically, its architecture, atmosphere and associations, and those that engage with, preserve or are linked to the location. Following an initial set of classes, performance will sometimes be created intensively at site. Where possible and appropriate, the performances will be open to the public. Dependent on the nature of the project, students will be able to undertake a range of creative and production </w:t>
      </w:r>
      <w:proofErr w:type="gramStart"/>
      <w:r w:rsidRPr="00CE420D">
        <w:rPr>
          <w:sz w:val="24"/>
          <w:szCs w:val="24"/>
        </w:rPr>
        <w:t>roles, and</w:t>
      </w:r>
      <w:proofErr w:type="gramEnd"/>
      <w:r w:rsidRPr="00CE420D">
        <w:rPr>
          <w:sz w:val="24"/>
          <w:szCs w:val="24"/>
        </w:rPr>
        <w:t xml:space="preserve"> have the opportunity creatively and critically to create and reflect upon work.</w:t>
      </w:r>
    </w:p>
    <w:p w14:paraId="13502627" w14:textId="77777777" w:rsidR="00864593" w:rsidRDefault="00864593" w:rsidP="00864593">
      <w:pPr>
        <w:pStyle w:val="NoSpacing"/>
        <w:rPr>
          <w:sz w:val="24"/>
          <w:szCs w:val="24"/>
        </w:rPr>
      </w:pPr>
    </w:p>
    <w:p w14:paraId="04D46722" w14:textId="77777777" w:rsidR="00864593" w:rsidRDefault="00864593" w:rsidP="00864593">
      <w:pPr>
        <w:pStyle w:val="NoSpacing"/>
        <w:rPr>
          <w:sz w:val="24"/>
          <w:szCs w:val="24"/>
        </w:rPr>
      </w:pPr>
    </w:p>
    <w:p w14:paraId="63854955" w14:textId="77777777" w:rsidR="00864593" w:rsidRDefault="00864593" w:rsidP="00864593">
      <w:pPr>
        <w:pStyle w:val="NoSpacing"/>
        <w:rPr>
          <w:sz w:val="24"/>
          <w:szCs w:val="24"/>
        </w:rPr>
      </w:pPr>
    </w:p>
    <w:p w14:paraId="0B5B34BF" w14:textId="77777777" w:rsidR="00864593" w:rsidRDefault="00864593" w:rsidP="00864593">
      <w:pPr>
        <w:pStyle w:val="NoSpacing"/>
        <w:rPr>
          <w:sz w:val="24"/>
          <w:szCs w:val="24"/>
        </w:rPr>
      </w:pPr>
    </w:p>
    <w:p w14:paraId="2EBEB091" w14:textId="77777777" w:rsidR="00904C3D" w:rsidRPr="009475D4" w:rsidRDefault="00904C3D" w:rsidP="00A73F51">
      <w:pPr>
        <w:rPr>
          <w:sz w:val="24"/>
          <w:szCs w:val="24"/>
        </w:rPr>
      </w:pPr>
    </w:p>
    <w:sectPr w:rsidR="00904C3D" w:rsidRPr="009475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9E924" w14:textId="77777777" w:rsidR="00774C98" w:rsidRDefault="009475D4">
      <w:pPr>
        <w:spacing w:after="0" w:line="240" w:lineRule="auto"/>
      </w:pPr>
      <w:r>
        <w:separator/>
      </w:r>
    </w:p>
  </w:endnote>
  <w:endnote w:type="continuationSeparator" w:id="0">
    <w:p w14:paraId="6CC81C55" w14:textId="77777777" w:rsidR="00774C98" w:rsidRDefault="0094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449640"/>
      <w:docPartObj>
        <w:docPartGallery w:val="Page Numbers (Bottom of Page)"/>
        <w:docPartUnique/>
      </w:docPartObj>
    </w:sdtPr>
    <w:sdtEndPr>
      <w:rPr>
        <w:noProof/>
      </w:rPr>
    </w:sdtEndPr>
    <w:sdtContent>
      <w:p w14:paraId="0C9A0932" w14:textId="77777777" w:rsidR="00CE420D" w:rsidRDefault="009475D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0C5F81F5" w14:textId="77777777" w:rsidR="00CE420D" w:rsidRDefault="00CE4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4D24A" w14:textId="77777777" w:rsidR="00774C98" w:rsidRDefault="009475D4">
      <w:pPr>
        <w:spacing w:after="0" w:line="240" w:lineRule="auto"/>
      </w:pPr>
      <w:r>
        <w:separator/>
      </w:r>
    </w:p>
  </w:footnote>
  <w:footnote w:type="continuationSeparator" w:id="0">
    <w:p w14:paraId="6EE3AFE2" w14:textId="77777777" w:rsidR="00774C98" w:rsidRDefault="00947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C50EE"/>
    <w:multiLevelType w:val="multilevel"/>
    <w:tmpl w:val="106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A1063"/>
    <w:multiLevelType w:val="multilevel"/>
    <w:tmpl w:val="9742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77577">
    <w:abstractNumId w:val="1"/>
  </w:num>
  <w:num w:numId="2" w16cid:durableId="213340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79"/>
    <w:rsid w:val="0009751D"/>
    <w:rsid w:val="000E78A0"/>
    <w:rsid w:val="001563DE"/>
    <w:rsid w:val="00177179"/>
    <w:rsid w:val="001C1308"/>
    <w:rsid w:val="00281BFB"/>
    <w:rsid w:val="002927AE"/>
    <w:rsid w:val="002A5AC7"/>
    <w:rsid w:val="003455C0"/>
    <w:rsid w:val="00355E64"/>
    <w:rsid w:val="00494E4D"/>
    <w:rsid w:val="00506D2F"/>
    <w:rsid w:val="0052144F"/>
    <w:rsid w:val="00546106"/>
    <w:rsid w:val="005736A5"/>
    <w:rsid w:val="00601DB3"/>
    <w:rsid w:val="006148FC"/>
    <w:rsid w:val="006C2F87"/>
    <w:rsid w:val="007106B8"/>
    <w:rsid w:val="00716A0C"/>
    <w:rsid w:val="00736AB9"/>
    <w:rsid w:val="00754690"/>
    <w:rsid w:val="00774C98"/>
    <w:rsid w:val="007B67D3"/>
    <w:rsid w:val="008020EC"/>
    <w:rsid w:val="00837C4B"/>
    <w:rsid w:val="00864593"/>
    <w:rsid w:val="008F0620"/>
    <w:rsid w:val="00904C3D"/>
    <w:rsid w:val="009475D4"/>
    <w:rsid w:val="00974A3B"/>
    <w:rsid w:val="009A180C"/>
    <w:rsid w:val="009D2A0F"/>
    <w:rsid w:val="00A271BA"/>
    <w:rsid w:val="00A73F51"/>
    <w:rsid w:val="00A91717"/>
    <w:rsid w:val="00B71CF6"/>
    <w:rsid w:val="00B8522F"/>
    <w:rsid w:val="00BB7C84"/>
    <w:rsid w:val="00C507DD"/>
    <w:rsid w:val="00CE420D"/>
    <w:rsid w:val="00D35028"/>
    <w:rsid w:val="00D43F12"/>
    <w:rsid w:val="00D7693F"/>
    <w:rsid w:val="00DB73FD"/>
    <w:rsid w:val="00E2095E"/>
    <w:rsid w:val="00E6628C"/>
    <w:rsid w:val="00F04707"/>
    <w:rsid w:val="00F62080"/>
    <w:rsid w:val="00F63A78"/>
    <w:rsid w:val="00FA03D9"/>
    <w:rsid w:val="00FA6353"/>
    <w:rsid w:val="00FC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66A1"/>
  <w15:docId w15:val="{0CC2E601-7AEF-4818-82AF-0E7CDE0E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79"/>
  </w:style>
  <w:style w:type="paragraph" w:styleId="Heading1">
    <w:name w:val="heading 1"/>
    <w:basedOn w:val="Normal"/>
    <w:next w:val="Normal"/>
    <w:link w:val="Heading1Char"/>
    <w:uiPriority w:val="9"/>
    <w:qFormat/>
    <w:rsid w:val="00716A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1C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80C"/>
    <w:rPr>
      <w:rFonts w:ascii="Tahoma" w:hAnsi="Tahoma" w:cs="Tahoma"/>
      <w:sz w:val="16"/>
      <w:szCs w:val="16"/>
    </w:rPr>
  </w:style>
  <w:style w:type="character" w:styleId="Hyperlink">
    <w:name w:val="Hyperlink"/>
    <w:basedOn w:val="DefaultParagraphFont"/>
    <w:uiPriority w:val="99"/>
    <w:semiHidden/>
    <w:unhideWhenUsed/>
    <w:rsid w:val="00281BFB"/>
    <w:rPr>
      <w:color w:val="0000FF"/>
      <w:u w:val="single"/>
    </w:rPr>
  </w:style>
  <w:style w:type="paragraph" w:styleId="PlainText">
    <w:name w:val="Plain Text"/>
    <w:basedOn w:val="Normal"/>
    <w:link w:val="PlainTextChar"/>
    <w:uiPriority w:val="99"/>
    <w:semiHidden/>
    <w:unhideWhenUsed/>
    <w:rsid w:val="00281BFB"/>
    <w:pPr>
      <w:spacing w:after="0" w:line="240" w:lineRule="auto"/>
    </w:pPr>
    <w:rPr>
      <w:rFonts w:ascii="Calibri" w:hAnsi="Calibri" w:cs="Times New Roman"/>
      <w:lang w:eastAsia="en-GB"/>
    </w:rPr>
  </w:style>
  <w:style w:type="character" w:customStyle="1" w:styleId="PlainTextChar">
    <w:name w:val="Plain Text Char"/>
    <w:basedOn w:val="DefaultParagraphFont"/>
    <w:link w:val="PlainText"/>
    <w:uiPriority w:val="99"/>
    <w:semiHidden/>
    <w:rsid w:val="00281BFB"/>
    <w:rPr>
      <w:rFonts w:ascii="Calibri" w:hAnsi="Calibri" w:cs="Times New Roman"/>
      <w:lang w:eastAsia="en-GB"/>
    </w:rPr>
  </w:style>
  <w:style w:type="paragraph" w:styleId="IntenseQuote">
    <w:name w:val="Intense Quote"/>
    <w:basedOn w:val="Normal"/>
    <w:next w:val="Normal"/>
    <w:link w:val="IntenseQuoteChar"/>
    <w:uiPriority w:val="30"/>
    <w:qFormat/>
    <w:rsid w:val="002A5A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AC7"/>
    <w:rPr>
      <w:i/>
      <w:iCs/>
      <w:color w:val="4F81BD" w:themeColor="accent1"/>
    </w:rPr>
  </w:style>
  <w:style w:type="character" w:customStyle="1" w:styleId="Heading2Char">
    <w:name w:val="Heading 2 Char"/>
    <w:basedOn w:val="DefaultParagraphFont"/>
    <w:link w:val="Heading2"/>
    <w:uiPriority w:val="9"/>
    <w:rsid w:val="00B71CF6"/>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B71CF6"/>
    <w:pPr>
      <w:spacing w:after="0" w:line="240" w:lineRule="auto"/>
    </w:pPr>
  </w:style>
  <w:style w:type="character" w:customStyle="1" w:styleId="Heading1Char">
    <w:name w:val="Heading 1 Char"/>
    <w:basedOn w:val="DefaultParagraphFont"/>
    <w:link w:val="Heading1"/>
    <w:uiPriority w:val="9"/>
    <w:rsid w:val="00716A0C"/>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E6628C"/>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E6628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86481">
      <w:bodyDiv w:val="1"/>
      <w:marLeft w:val="0"/>
      <w:marRight w:val="0"/>
      <w:marTop w:val="0"/>
      <w:marBottom w:val="0"/>
      <w:divBdr>
        <w:top w:val="none" w:sz="0" w:space="0" w:color="auto"/>
        <w:left w:val="none" w:sz="0" w:space="0" w:color="auto"/>
        <w:bottom w:val="none" w:sz="0" w:space="0" w:color="auto"/>
        <w:right w:val="none" w:sz="0" w:space="0" w:color="auto"/>
      </w:divBdr>
    </w:div>
    <w:div w:id="636833639">
      <w:bodyDiv w:val="1"/>
      <w:marLeft w:val="0"/>
      <w:marRight w:val="0"/>
      <w:marTop w:val="0"/>
      <w:marBottom w:val="0"/>
      <w:divBdr>
        <w:top w:val="none" w:sz="0" w:space="0" w:color="auto"/>
        <w:left w:val="none" w:sz="0" w:space="0" w:color="auto"/>
        <w:bottom w:val="none" w:sz="0" w:space="0" w:color="auto"/>
        <w:right w:val="none" w:sz="0" w:space="0" w:color="auto"/>
      </w:divBdr>
    </w:div>
    <w:div w:id="699010093">
      <w:bodyDiv w:val="1"/>
      <w:marLeft w:val="0"/>
      <w:marRight w:val="0"/>
      <w:marTop w:val="0"/>
      <w:marBottom w:val="0"/>
      <w:divBdr>
        <w:top w:val="none" w:sz="0" w:space="0" w:color="auto"/>
        <w:left w:val="none" w:sz="0" w:space="0" w:color="auto"/>
        <w:bottom w:val="none" w:sz="0" w:space="0" w:color="auto"/>
        <w:right w:val="none" w:sz="0" w:space="0" w:color="auto"/>
      </w:divBdr>
    </w:div>
    <w:div w:id="1229152200">
      <w:bodyDiv w:val="1"/>
      <w:marLeft w:val="0"/>
      <w:marRight w:val="0"/>
      <w:marTop w:val="0"/>
      <w:marBottom w:val="0"/>
      <w:divBdr>
        <w:top w:val="none" w:sz="0" w:space="0" w:color="auto"/>
        <w:left w:val="none" w:sz="0" w:space="0" w:color="auto"/>
        <w:bottom w:val="none" w:sz="0" w:space="0" w:color="auto"/>
        <w:right w:val="none" w:sz="0" w:space="0" w:color="auto"/>
      </w:divBdr>
    </w:div>
    <w:div w:id="2048290071">
      <w:bodyDiv w:val="1"/>
      <w:marLeft w:val="0"/>
      <w:marRight w:val="0"/>
      <w:marTop w:val="0"/>
      <w:marBottom w:val="0"/>
      <w:divBdr>
        <w:top w:val="none" w:sz="0" w:space="0" w:color="auto"/>
        <w:left w:val="none" w:sz="0" w:space="0" w:color="auto"/>
        <w:bottom w:val="none" w:sz="0" w:space="0" w:color="auto"/>
        <w:right w:val="none" w:sz="0" w:space="0" w:color="auto"/>
      </w:divBdr>
    </w:div>
    <w:div w:id="21014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Drama and Theatre Arts Handbook 2022-23 - Second Year</vt:lpstr>
    </vt:vector>
  </TitlesOfParts>
  <Company>University of Birmingham</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and Theatre Arts Handbook 2022-23 - Second Year</dc:title>
  <dc:creator>Kate Dickie</dc:creator>
  <cp:lastModifiedBy>Nicola Hickman (Arts and Law)</cp:lastModifiedBy>
  <cp:revision>7</cp:revision>
  <cp:lastPrinted>2020-03-05T09:53:00Z</cp:lastPrinted>
  <dcterms:created xsi:type="dcterms:W3CDTF">2024-03-25T14:00:00Z</dcterms:created>
  <dcterms:modified xsi:type="dcterms:W3CDTF">2024-10-31T10:20:00Z</dcterms:modified>
</cp:coreProperties>
</file>