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02BF1" w14:textId="35491552" w:rsidR="001A4E4F" w:rsidRPr="002E7A7D" w:rsidRDefault="007A7699" w:rsidP="002E7A7D">
      <w:r>
        <w:rPr>
          <w:noProof/>
        </w:rPr>
        <w:drawing>
          <wp:inline distT="0" distB="0" distL="0" distR="0" wp14:anchorId="636E9F21" wp14:editId="25DB90C7">
            <wp:extent cx="2367280" cy="590550"/>
            <wp:effectExtent l="0" t="0" r="0" b="0"/>
            <wp:docPr id="329394129"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94129" name="Picture 1" descr="University of Birmingha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7280" cy="590550"/>
                    </a:xfrm>
                    <a:prstGeom prst="rect">
                      <a:avLst/>
                    </a:prstGeom>
                    <a:noFill/>
                    <a:ln>
                      <a:noFill/>
                    </a:ln>
                  </pic:spPr>
                </pic:pic>
              </a:graphicData>
            </a:graphic>
          </wp:inline>
        </w:drawing>
      </w:r>
    </w:p>
    <w:p w14:paraId="7DCF2234" w14:textId="77777777" w:rsidR="0021640E" w:rsidRPr="00DC585B" w:rsidRDefault="001A4E4F" w:rsidP="00D2580E">
      <w:pPr>
        <w:pStyle w:val="Subtitle"/>
        <w:rPr>
          <w:rFonts w:ascii="Times New Roman" w:eastAsiaTheme="majorEastAsia" w:hAnsi="Times New Roman" w:cs="Times New Roman"/>
          <w:b/>
          <w:spacing w:val="0"/>
          <w:sz w:val="32"/>
          <w:szCs w:val="12"/>
        </w:rPr>
        <w:sectPr w:rsidR="0021640E" w:rsidRPr="00DC585B" w:rsidSect="0021640E">
          <w:headerReference w:type="default" r:id="rId12"/>
          <w:footerReference w:type="default" r:id="rId13"/>
          <w:type w:val="continuous"/>
          <w:pgSz w:w="12240" w:h="15840"/>
          <w:pgMar w:top="1440" w:right="1440" w:bottom="1440" w:left="1440" w:header="708" w:footer="708" w:gutter="0"/>
          <w:cols w:space="289"/>
          <w:titlePg/>
          <w:docGrid w:linePitch="360"/>
        </w:sectPr>
      </w:pPr>
      <w:r w:rsidRPr="00DC585B">
        <w:rPr>
          <w:rFonts w:ascii="Times New Roman" w:eastAsiaTheme="majorEastAsia" w:hAnsi="Times New Roman" w:cs="Times New Roman"/>
          <w:b/>
          <w:spacing w:val="0"/>
          <w:sz w:val="32"/>
          <w:szCs w:val="12"/>
        </w:rPr>
        <w:t>Ending the criminalisation of povert</w:t>
      </w:r>
      <w:r w:rsidR="0021640E" w:rsidRPr="00DC585B">
        <w:rPr>
          <w:rFonts w:ascii="Times New Roman" w:eastAsiaTheme="majorEastAsia" w:hAnsi="Times New Roman" w:cs="Times New Roman"/>
          <w:b/>
          <w:spacing w:val="0"/>
          <w:sz w:val="32"/>
          <w:szCs w:val="12"/>
        </w:rPr>
        <w:t>y</w:t>
      </w:r>
    </w:p>
    <w:p w14:paraId="551E5F5E" w14:textId="3720DCA0" w:rsidR="00753E46" w:rsidRPr="00DC585B" w:rsidRDefault="003245D4" w:rsidP="0021640E">
      <w:pPr>
        <w:pStyle w:val="Heading2"/>
        <w:ind w:left="0" w:firstLine="0"/>
        <w:rPr>
          <w:rFonts w:ascii="Times New Roman" w:hAnsi="Times New Roman" w:cs="Times New Roman"/>
          <w:sz w:val="24"/>
          <w:szCs w:val="24"/>
        </w:rPr>
      </w:pPr>
      <w:r w:rsidRPr="00DC585B">
        <w:rPr>
          <w:rFonts w:ascii="Times New Roman" w:hAnsi="Times New Roman" w:cs="Times New Roman"/>
          <w:sz w:val="24"/>
          <w:szCs w:val="24"/>
        </w:rPr>
        <w:t>Executive summary</w:t>
      </w:r>
    </w:p>
    <w:p w14:paraId="31142A65" w14:textId="573FFE3D" w:rsidR="00915B38" w:rsidRPr="002E7A7D" w:rsidRDefault="00915B38" w:rsidP="00CC5F07">
      <w:pPr>
        <w:widowControl w:val="0"/>
        <w:rPr>
          <w:b/>
          <w:bCs/>
          <w:sz w:val="21"/>
          <w:szCs w:val="21"/>
          <w14:ligatures w14:val="none"/>
        </w:rPr>
      </w:pPr>
      <w:r w:rsidRPr="002E7A7D">
        <w:rPr>
          <w:b/>
          <w:bCs/>
          <w:sz w:val="21"/>
          <w:szCs w:val="21"/>
          <w14:ligatures w14:val="none"/>
        </w:rPr>
        <w:t xml:space="preserve">Ending the criminalisation of poverty and vulnerability through prevention and diversion is an effective way to keep communities safe. </w:t>
      </w:r>
    </w:p>
    <w:p w14:paraId="6DAB2401" w14:textId="77777777" w:rsidR="00915B38" w:rsidRPr="002E7A7D" w:rsidRDefault="00915B38" w:rsidP="00051F0D">
      <w:pPr>
        <w:pStyle w:val="ListParagraph"/>
        <w:widowControl w:val="0"/>
        <w:numPr>
          <w:ilvl w:val="0"/>
          <w:numId w:val="24"/>
        </w:numPr>
        <w:ind w:left="360"/>
        <w:rPr>
          <w:sz w:val="21"/>
          <w:szCs w:val="21"/>
          <w14:ligatures w14:val="none"/>
        </w:rPr>
      </w:pPr>
      <w:r w:rsidRPr="002E7A7D">
        <w:rPr>
          <w:b/>
          <w:bCs/>
          <w:sz w:val="21"/>
          <w:szCs w:val="21"/>
          <w14:ligatures w14:val="none"/>
        </w:rPr>
        <w:t>The criminalisation of poverty refers to the unfair treatment of individuals and communities</w:t>
      </w:r>
      <w:r w:rsidRPr="002E7A7D">
        <w:rPr>
          <w:sz w:val="21"/>
          <w:szCs w:val="21"/>
          <w14:ligatures w14:val="none"/>
        </w:rPr>
        <w:t xml:space="preserve"> by the Criminal Justice System (CJS) because of conditions of economic deprivation and/or wider vulnerability e.g. adverse childhood experiences (ACE). </w:t>
      </w:r>
    </w:p>
    <w:p w14:paraId="599126DC" w14:textId="50FEEF0C" w:rsidR="00915B38" w:rsidRPr="00BC2D5A" w:rsidRDefault="00915B38" w:rsidP="00051F0D">
      <w:pPr>
        <w:pStyle w:val="ListParagraph"/>
        <w:widowControl w:val="0"/>
        <w:numPr>
          <w:ilvl w:val="0"/>
          <w:numId w:val="24"/>
        </w:numPr>
        <w:ind w:left="360"/>
        <w:rPr>
          <w:sz w:val="21"/>
          <w:szCs w:val="21"/>
          <w14:ligatures w14:val="none"/>
        </w:rPr>
      </w:pPr>
      <w:r w:rsidRPr="002E7A7D">
        <w:rPr>
          <w:sz w:val="21"/>
          <w:szCs w:val="21"/>
          <w14:ligatures w14:val="none"/>
        </w:rPr>
        <w:t xml:space="preserve">A survey of Welsh prisoners revealed </w:t>
      </w:r>
      <w:hyperlink r:id="rId14" w:history="1">
        <w:r w:rsidRPr="00BC2D5A">
          <w:rPr>
            <w:rStyle w:val="Hyperlink"/>
            <w:bCs/>
            <w:sz w:val="21"/>
            <w:szCs w:val="21"/>
            <w14:ligatures w14:val="none"/>
          </w:rPr>
          <w:t>that 33% of them reported having experienced a parent or relative’s incarceration during their childhood.</w:t>
        </w:r>
      </w:hyperlink>
      <w:r w:rsidRPr="00BC2D5A">
        <w:rPr>
          <w:sz w:val="21"/>
          <w:szCs w:val="21"/>
          <w14:ligatures w14:val="none"/>
        </w:rPr>
        <w:t xml:space="preserve"> </w:t>
      </w:r>
    </w:p>
    <w:p w14:paraId="308CA05D" w14:textId="16FEB9BF" w:rsidR="00915B38" w:rsidRPr="002E7A7D" w:rsidRDefault="00000000" w:rsidP="00051F0D">
      <w:pPr>
        <w:pStyle w:val="ListParagraph"/>
        <w:widowControl w:val="0"/>
        <w:numPr>
          <w:ilvl w:val="0"/>
          <w:numId w:val="24"/>
        </w:numPr>
        <w:ind w:left="360"/>
        <w:rPr>
          <w:sz w:val="21"/>
          <w:szCs w:val="21"/>
          <w14:ligatures w14:val="none"/>
        </w:rPr>
      </w:pPr>
      <w:hyperlink r:id="rId15" w:history="1">
        <w:r w:rsidR="00915B38" w:rsidRPr="00BC2D5A">
          <w:rPr>
            <w:rStyle w:val="Hyperlink"/>
            <w:bCs/>
            <w:sz w:val="21"/>
            <w:szCs w:val="21"/>
            <w14:ligatures w14:val="none"/>
          </w:rPr>
          <w:t>65% of sons of prisoners</w:t>
        </w:r>
      </w:hyperlink>
      <w:r w:rsidR="00915B38" w:rsidRPr="002E7A7D">
        <w:rPr>
          <w:sz w:val="21"/>
          <w:szCs w:val="21"/>
          <w14:ligatures w14:val="none"/>
        </w:rPr>
        <w:t xml:space="preserve"> end up in the Criminal Justice System. </w:t>
      </w:r>
    </w:p>
    <w:p w14:paraId="1DF0CC7B" w14:textId="7423A3B0" w:rsidR="00915B38" w:rsidRPr="002E7A7D" w:rsidRDefault="00915B38" w:rsidP="00051F0D">
      <w:pPr>
        <w:pStyle w:val="ListParagraph"/>
        <w:widowControl w:val="0"/>
        <w:numPr>
          <w:ilvl w:val="0"/>
          <w:numId w:val="24"/>
        </w:numPr>
        <w:ind w:left="360"/>
        <w:rPr>
          <w:sz w:val="21"/>
          <w:szCs w:val="21"/>
          <w14:ligatures w14:val="none"/>
        </w:rPr>
      </w:pPr>
      <w:r w:rsidRPr="002E7A7D">
        <w:rPr>
          <w:sz w:val="21"/>
          <w:szCs w:val="21"/>
          <w14:ligatures w14:val="none"/>
        </w:rPr>
        <w:t xml:space="preserve">School exclusion affects life outcomes. In 2019, the National Crime Agency found that </w:t>
      </w:r>
      <w:hyperlink r:id="rId16" w:history="1">
        <w:r w:rsidRPr="00BC2D5A">
          <w:rPr>
            <w:rStyle w:val="Hyperlink"/>
            <w:bCs/>
            <w:sz w:val="21"/>
            <w:szCs w:val="21"/>
            <w14:ligatures w14:val="none"/>
          </w:rPr>
          <w:t>100% of children involved in County Lines had been excluded from school</w:t>
        </w:r>
        <w:r w:rsidRPr="00BC2D5A">
          <w:rPr>
            <w:rStyle w:val="Hyperlink"/>
            <w:sz w:val="21"/>
            <w:szCs w:val="21"/>
            <w14:ligatures w14:val="none"/>
          </w:rPr>
          <w:t>,</w:t>
        </w:r>
      </w:hyperlink>
      <w:r w:rsidRPr="002E7A7D">
        <w:rPr>
          <w:sz w:val="21"/>
          <w:szCs w:val="21"/>
          <w14:ligatures w14:val="none"/>
        </w:rPr>
        <w:t xml:space="preserve"> and school exclusion is a contributing factor leading to a young person’s risk of criminal exploitation. </w:t>
      </w:r>
    </w:p>
    <w:p w14:paraId="39E1431B" w14:textId="6F7FDFF5" w:rsidR="00915B38" w:rsidRPr="002E7A7D" w:rsidRDefault="00915B38" w:rsidP="00051F0D">
      <w:pPr>
        <w:pStyle w:val="ListParagraph"/>
        <w:widowControl w:val="0"/>
        <w:numPr>
          <w:ilvl w:val="0"/>
          <w:numId w:val="24"/>
        </w:numPr>
        <w:ind w:left="360"/>
        <w:rPr>
          <w:sz w:val="21"/>
          <w:szCs w:val="21"/>
          <w14:ligatures w14:val="none"/>
        </w:rPr>
      </w:pPr>
      <w:r w:rsidRPr="002E7A7D">
        <w:rPr>
          <w:sz w:val="21"/>
          <w:szCs w:val="21"/>
          <w14:ligatures w14:val="none"/>
        </w:rPr>
        <w:t xml:space="preserve">In 2012, the MOJ published a report on prisoners’ childhood and family backgrounds and found that </w:t>
      </w:r>
      <w:hyperlink r:id="rId17" w:history="1">
        <w:r w:rsidRPr="00BC2D5A">
          <w:rPr>
            <w:rStyle w:val="Hyperlink"/>
            <w:bCs/>
            <w:sz w:val="21"/>
            <w:szCs w:val="21"/>
            <w14:ligatures w14:val="none"/>
          </w:rPr>
          <w:t>62% of prisoners had been excluded from school</w:t>
        </w:r>
      </w:hyperlink>
      <w:r w:rsidRPr="002E7A7D">
        <w:rPr>
          <w:sz w:val="21"/>
          <w:szCs w:val="21"/>
          <w14:ligatures w14:val="none"/>
        </w:rPr>
        <w:t xml:space="preserve"> (a number much higher than the rate of exclusions at the national level). </w:t>
      </w:r>
    </w:p>
    <w:p w14:paraId="378D9CA6" w14:textId="0B406D3F" w:rsidR="008D5D5F" w:rsidRPr="002E7A7D" w:rsidRDefault="00915B38" w:rsidP="00051F0D">
      <w:pPr>
        <w:pStyle w:val="ListParagraph"/>
        <w:widowControl w:val="0"/>
        <w:numPr>
          <w:ilvl w:val="0"/>
          <w:numId w:val="24"/>
        </w:numPr>
        <w:ind w:left="360"/>
        <w:rPr>
          <w:rFonts w:ascii="Calibri" w:hAnsi="Calibri" w:cs="Calibri"/>
          <w:sz w:val="21"/>
          <w:szCs w:val="21"/>
          <w14:ligatures w14:val="none"/>
        </w:rPr>
      </w:pPr>
      <w:r w:rsidRPr="002E7A7D">
        <w:rPr>
          <w:sz w:val="21"/>
          <w:szCs w:val="21"/>
          <w14:ligatures w14:val="none"/>
        </w:rPr>
        <w:t xml:space="preserve">The poor may be imprisoned as a direct consequence of not paying court fines that relate to debt: between 1995 and 2018, </w:t>
      </w:r>
      <w:hyperlink r:id="rId18" w:history="1">
        <w:r w:rsidR="00BC2D5A" w:rsidRPr="00DC32D7">
          <w:rPr>
            <w:rStyle w:val="Hyperlink"/>
            <w:bCs/>
            <w:sz w:val="21"/>
            <w:szCs w:val="21"/>
            <w14:ligatures w14:val="none"/>
          </w:rPr>
          <w:t>around</w:t>
        </w:r>
        <w:r w:rsidRPr="00DC32D7">
          <w:rPr>
            <w:rStyle w:val="Hyperlink"/>
            <w:bCs/>
            <w:sz w:val="21"/>
            <w:szCs w:val="21"/>
            <w14:ligatures w14:val="none"/>
          </w:rPr>
          <w:t xml:space="preserve"> 2,200 people were sent to prison for non-payment of fines associated with using a TV Licence</w:t>
        </w:r>
      </w:hyperlink>
      <w:r w:rsidRPr="002E7A7D">
        <w:rPr>
          <w:sz w:val="21"/>
          <w:szCs w:val="21"/>
          <w14:ligatures w14:val="none"/>
        </w:rPr>
        <w:t>. Between 201</w:t>
      </w:r>
      <w:r w:rsidR="00BD6F8E">
        <w:rPr>
          <w:sz w:val="21"/>
          <w:szCs w:val="21"/>
          <w14:ligatures w14:val="none"/>
        </w:rPr>
        <w:t>1</w:t>
      </w:r>
      <w:r w:rsidRPr="002E7A7D">
        <w:rPr>
          <w:sz w:val="21"/>
          <w:szCs w:val="21"/>
          <w14:ligatures w14:val="none"/>
        </w:rPr>
        <w:t xml:space="preserve"> and 2017, </w:t>
      </w:r>
      <w:r w:rsidR="00BD6F8E">
        <w:rPr>
          <w:sz w:val="21"/>
          <w:szCs w:val="21"/>
          <w14:ligatures w14:val="none"/>
        </w:rPr>
        <w:t xml:space="preserve">almost </w:t>
      </w:r>
      <w:hyperlink r:id="rId19" w:history="1">
        <w:r w:rsidR="00BD6F8E" w:rsidRPr="00BD6F8E">
          <w:rPr>
            <w:rStyle w:val="Hyperlink"/>
            <w:sz w:val="21"/>
            <w:szCs w:val="21"/>
            <w14:ligatures w14:val="none"/>
          </w:rPr>
          <w:t>700</w:t>
        </w:r>
        <w:r w:rsidRPr="00BD6F8E">
          <w:rPr>
            <w:rStyle w:val="Hyperlink"/>
            <w:sz w:val="21"/>
            <w:szCs w:val="21"/>
            <w14:ligatures w14:val="none"/>
          </w:rPr>
          <w:t xml:space="preserve"> cases resulted in a jail order and </w:t>
        </w:r>
        <w:r w:rsidR="00BD6F8E" w:rsidRPr="00BD6F8E">
          <w:rPr>
            <w:rStyle w:val="Hyperlink"/>
            <w:sz w:val="21"/>
            <w:szCs w:val="21"/>
            <w14:ligatures w14:val="none"/>
          </w:rPr>
          <w:t>more than 7000</w:t>
        </w:r>
        <w:r w:rsidRPr="00BD6F8E">
          <w:rPr>
            <w:rStyle w:val="Hyperlink"/>
            <w:sz w:val="21"/>
            <w:szCs w:val="21"/>
            <w14:ligatures w14:val="none"/>
          </w:rPr>
          <w:t xml:space="preserve"> in a suspended committal order for </w:t>
        </w:r>
        <w:r w:rsidRPr="00BD6F8E">
          <w:rPr>
            <w:rStyle w:val="Hyperlink"/>
            <w:bCs/>
            <w:sz w:val="21"/>
            <w:szCs w:val="21"/>
            <w14:ligatures w14:val="none"/>
          </w:rPr>
          <w:t>non-payment of council tax</w:t>
        </w:r>
      </w:hyperlink>
      <w:r w:rsidRPr="002E7A7D">
        <w:rPr>
          <w:sz w:val="21"/>
          <w:szCs w:val="21"/>
          <w14:ligatures w14:val="none"/>
        </w:rPr>
        <w:t>.</w:t>
      </w:r>
    </w:p>
    <w:p w14:paraId="4DC81662" w14:textId="3BB72C85" w:rsidR="007E573F" w:rsidRPr="00DC585B" w:rsidRDefault="007E573F" w:rsidP="007E573F">
      <w:pPr>
        <w:pStyle w:val="Heading2"/>
        <w:rPr>
          <w:rFonts w:ascii="Times New Roman" w:hAnsi="Times New Roman" w:cs="Times New Roman"/>
          <w:sz w:val="24"/>
          <w:szCs w:val="24"/>
        </w:rPr>
      </w:pPr>
      <w:r w:rsidRPr="00DC585B">
        <w:rPr>
          <w:rFonts w:ascii="Times New Roman" w:hAnsi="Times New Roman" w:cs="Times New Roman"/>
          <w:sz w:val="24"/>
          <w:szCs w:val="24"/>
        </w:rPr>
        <w:t>Policy recommendations</w:t>
      </w:r>
    </w:p>
    <w:p w14:paraId="2A17ED40" w14:textId="77777777" w:rsidR="006E552E" w:rsidRPr="002E7A7D" w:rsidRDefault="006E552E" w:rsidP="00051F0D">
      <w:pPr>
        <w:pStyle w:val="ListParagraph"/>
        <w:numPr>
          <w:ilvl w:val="0"/>
          <w:numId w:val="25"/>
        </w:numPr>
        <w:ind w:left="360"/>
        <w:rPr>
          <w:sz w:val="21"/>
          <w:szCs w:val="21"/>
          <w:lang w:val="en-GB"/>
        </w:rPr>
      </w:pPr>
      <w:r w:rsidRPr="002E7A7D">
        <w:rPr>
          <w:b/>
          <w:bCs/>
          <w:sz w:val="21"/>
          <w:szCs w:val="21"/>
          <w:lang w:val="en-GB"/>
        </w:rPr>
        <w:t>End imprisonment for non-payment of fines relating to a civil debt-</w:t>
      </w:r>
      <w:r w:rsidRPr="002E7A7D">
        <w:rPr>
          <w:sz w:val="21"/>
          <w:szCs w:val="21"/>
          <w:lang w:val="en-GB"/>
        </w:rPr>
        <w:t xml:space="preserve"> i.e. for not paying the council tax, TV Licence, etc. </w:t>
      </w:r>
    </w:p>
    <w:p w14:paraId="72F576C1" w14:textId="77777777" w:rsidR="006E552E" w:rsidRPr="002E7A7D" w:rsidRDefault="006E552E" w:rsidP="00051F0D">
      <w:pPr>
        <w:pStyle w:val="ListParagraph"/>
        <w:numPr>
          <w:ilvl w:val="0"/>
          <w:numId w:val="25"/>
        </w:numPr>
        <w:ind w:left="360"/>
        <w:rPr>
          <w:sz w:val="21"/>
          <w:szCs w:val="21"/>
          <w:lang w:val="en-GB"/>
        </w:rPr>
      </w:pPr>
      <w:r w:rsidRPr="002E7A7D">
        <w:rPr>
          <w:b/>
          <w:bCs/>
          <w:sz w:val="21"/>
          <w:szCs w:val="21"/>
          <w:lang w:val="en-GB"/>
        </w:rPr>
        <w:t>Enable diversion from the CJS with well-funded community support programmes that have proven to be effective as a first option</w:t>
      </w:r>
      <w:r w:rsidRPr="002E7A7D">
        <w:rPr>
          <w:sz w:val="21"/>
          <w:szCs w:val="21"/>
          <w:lang w:val="en-GB"/>
        </w:rPr>
        <w:t xml:space="preserve">, tailored diversion programmes are cost effective and keep communities safe. </w:t>
      </w:r>
    </w:p>
    <w:p w14:paraId="4DD9C765" w14:textId="77777777" w:rsidR="006E552E" w:rsidRPr="002E7A7D" w:rsidRDefault="006E552E" w:rsidP="00051F0D">
      <w:pPr>
        <w:pStyle w:val="ListParagraph"/>
        <w:numPr>
          <w:ilvl w:val="0"/>
          <w:numId w:val="25"/>
        </w:numPr>
        <w:ind w:left="360"/>
        <w:rPr>
          <w:sz w:val="21"/>
          <w:szCs w:val="21"/>
          <w:lang w:val="en-GB"/>
        </w:rPr>
      </w:pPr>
      <w:r w:rsidRPr="002E7A7D">
        <w:rPr>
          <w:b/>
          <w:bCs/>
          <w:sz w:val="21"/>
          <w:szCs w:val="21"/>
          <w:lang w:val="en-GB"/>
        </w:rPr>
        <w:t xml:space="preserve">Consider the intergenerational impact of custody when calculating the costs of sentencing </w:t>
      </w:r>
      <w:r w:rsidRPr="002E7A7D">
        <w:rPr>
          <w:sz w:val="21"/>
          <w:szCs w:val="21"/>
          <w:lang w:val="en-GB"/>
        </w:rPr>
        <w:t xml:space="preserve">- children of prisoners are at risk of significantly worse outcomes than children not affected by parental imprisonment, including an increased risk of future offending, mental health issues and poor educational attainment, all of which will cost society more in the future. </w:t>
      </w:r>
    </w:p>
    <w:p w14:paraId="36C33C24" w14:textId="77777777" w:rsidR="006E552E" w:rsidRPr="002E7A7D" w:rsidRDefault="006E552E" w:rsidP="00051F0D">
      <w:pPr>
        <w:pStyle w:val="ListParagraph"/>
        <w:numPr>
          <w:ilvl w:val="0"/>
          <w:numId w:val="25"/>
        </w:numPr>
        <w:ind w:left="360"/>
        <w:rPr>
          <w:sz w:val="21"/>
          <w:szCs w:val="21"/>
          <w:lang w:val="en-GB"/>
        </w:rPr>
      </w:pPr>
      <w:r w:rsidRPr="002E7A7D">
        <w:rPr>
          <w:b/>
          <w:bCs/>
          <w:sz w:val="21"/>
          <w:szCs w:val="21"/>
          <w:lang w:val="en-GB"/>
        </w:rPr>
        <w:t>Minimise school exclusions</w:t>
      </w:r>
      <w:r w:rsidRPr="002E7A7D">
        <w:rPr>
          <w:sz w:val="21"/>
          <w:szCs w:val="21"/>
          <w:lang w:val="en-GB"/>
        </w:rPr>
        <w:t xml:space="preserve"> by funding innovative local initiatives and stop punitive fines. Evidence suggests that both kinds of ‘punishment’ are linked to higher risk of involvement in criminal activities and incarceration. </w:t>
      </w:r>
    </w:p>
    <w:p w14:paraId="3EE0A6E8" w14:textId="7AE711BB" w:rsidR="007E573F" w:rsidRPr="002E7A7D" w:rsidRDefault="006E552E" w:rsidP="00051F0D">
      <w:pPr>
        <w:pStyle w:val="ListParagraph"/>
        <w:numPr>
          <w:ilvl w:val="0"/>
          <w:numId w:val="25"/>
        </w:numPr>
        <w:ind w:left="360"/>
        <w:rPr>
          <w:sz w:val="21"/>
          <w:szCs w:val="21"/>
          <w:lang w:val="en-GB"/>
        </w:rPr>
      </w:pPr>
      <w:r w:rsidRPr="002E7A7D">
        <w:rPr>
          <w:b/>
          <w:bCs/>
          <w:sz w:val="21"/>
          <w:szCs w:val="21"/>
          <w:lang w:val="en-GB"/>
        </w:rPr>
        <w:t>Be forward looking!</w:t>
      </w:r>
      <w:r w:rsidRPr="002E7A7D">
        <w:rPr>
          <w:sz w:val="21"/>
          <w:szCs w:val="21"/>
          <w:lang w:val="en-GB"/>
        </w:rPr>
        <w:t xml:space="preserve"> The current cost of living crisis will have longer consequences driven by economic desperation. Consider how to effectively support both individual victims and businesses impacted while funding local initiatives to alleviate the causes of economic distress.</w:t>
      </w:r>
    </w:p>
    <w:p w14:paraId="4822C6E6" w14:textId="77777777" w:rsidR="007818C9" w:rsidRPr="00DC585B" w:rsidRDefault="007E573F" w:rsidP="007818C9">
      <w:pPr>
        <w:pStyle w:val="Heading2"/>
        <w:rPr>
          <w:rFonts w:ascii="Times New Roman" w:hAnsi="Times New Roman" w:cs="Times New Roman"/>
          <w:sz w:val="24"/>
          <w:szCs w:val="24"/>
        </w:rPr>
      </w:pPr>
      <w:r w:rsidRPr="00DC585B">
        <w:rPr>
          <w:rFonts w:ascii="Times New Roman" w:hAnsi="Times New Roman" w:cs="Times New Roman"/>
          <w:sz w:val="24"/>
          <w:szCs w:val="24"/>
        </w:rPr>
        <w:lastRenderedPageBreak/>
        <w:t>About the research</w:t>
      </w:r>
    </w:p>
    <w:p w14:paraId="085B58FA" w14:textId="263486C4" w:rsidR="007818C9" w:rsidRPr="002E7A7D" w:rsidRDefault="007818C9" w:rsidP="00711420">
      <w:pPr>
        <w:rPr>
          <w:sz w:val="21"/>
          <w:szCs w:val="21"/>
        </w:rPr>
      </w:pPr>
      <w:r w:rsidRPr="002E7A7D">
        <w:rPr>
          <w:sz w:val="21"/>
          <w:szCs w:val="21"/>
        </w:rPr>
        <w:t>The analysis of the criminalisation of poverty and vulnerability including identification of the channels through which it takes place, as well as the exploration of possible ways to prevent it, is deeply rooted in the mission of the ‘</w:t>
      </w:r>
      <w:hyperlink r:id="rId20" w:history="1">
        <w:r w:rsidRPr="002E7A7D">
          <w:rPr>
            <w:rStyle w:val="Hyperlink"/>
            <w:rFonts w:cs="Arial"/>
            <w:sz w:val="21"/>
            <w:szCs w:val="21"/>
            <w14:ligatures w14:val="none"/>
          </w:rPr>
          <w:t>Is it a Crime to be Poor’ (ICP) Alliance</w:t>
        </w:r>
      </w:hyperlink>
      <w:r w:rsidRPr="002E7A7D">
        <w:rPr>
          <w:sz w:val="21"/>
          <w:szCs w:val="21"/>
        </w:rPr>
        <w:t xml:space="preserve">*. </w:t>
      </w:r>
    </w:p>
    <w:p w14:paraId="5DECF33A" w14:textId="77777777" w:rsidR="00DA096E" w:rsidRPr="00DA096E" w:rsidRDefault="00DA096E" w:rsidP="00DA096E">
      <w:pPr>
        <w:jc w:val="both"/>
        <w:rPr>
          <w:sz w:val="21"/>
          <w:szCs w:val="21"/>
        </w:rPr>
      </w:pPr>
      <w:r w:rsidRPr="00DA096E">
        <w:rPr>
          <w:sz w:val="21"/>
          <w:szCs w:val="21"/>
        </w:rPr>
        <w:t>As part of its research, ICP has collated evidence on how the poor are disproportionately affected by the criminal justice system including research by its members which are cited in the Executive summary and Evidence-Based solutions.</w:t>
      </w:r>
    </w:p>
    <w:p w14:paraId="0D296151" w14:textId="02DB944A" w:rsidR="00711420" w:rsidRPr="00DC585B" w:rsidRDefault="00711420" w:rsidP="00711420">
      <w:pPr>
        <w:pStyle w:val="Heading3"/>
        <w:rPr>
          <w:rFonts w:ascii="Times New Roman" w:hAnsi="Times New Roman" w:cs="Times New Roman"/>
          <w:sz w:val="21"/>
          <w:szCs w:val="21"/>
        </w:rPr>
      </w:pPr>
      <w:r w:rsidRPr="00DC585B">
        <w:rPr>
          <w:rFonts w:ascii="Times New Roman" w:hAnsi="Times New Roman" w:cs="Times New Roman"/>
          <w:sz w:val="21"/>
          <w:szCs w:val="21"/>
        </w:rPr>
        <w:t>Evidence-based solutions</w:t>
      </w:r>
    </w:p>
    <w:p w14:paraId="3BA4EB8F" w14:textId="09B9F0BE" w:rsidR="00C338F8" w:rsidRPr="0086705B" w:rsidRDefault="00C338F8" w:rsidP="0086705B">
      <w:pPr>
        <w:rPr>
          <w:sz w:val="21"/>
          <w:szCs w:val="21"/>
        </w:rPr>
      </w:pPr>
      <w:r w:rsidRPr="0086705B">
        <w:rPr>
          <w:sz w:val="21"/>
          <w:szCs w:val="21"/>
        </w:rPr>
        <w:t xml:space="preserve">Solutions that divert people away from custody </w:t>
      </w:r>
      <w:r w:rsidRPr="0086705B">
        <w:rPr>
          <w:b/>
          <w:bCs/>
          <w:sz w:val="21"/>
          <w:szCs w:val="21"/>
        </w:rPr>
        <w:t>can be cost effective</w:t>
      </w:r>
      <w:r w:rsidRPr="0086705B">
        <w:rPr>
          <w:sz w:val="21"/>
          <w:szCs w:val="21"/>
        </w:rPr>
        <w:t xml:space="preserve">. See for example </w:t>
      </w:r>
      <w:hyperlink r:id="rId21" w:history="1">
        <w:r w:rsidRPr="0086705B">
          <w:rPr>
            <w:rStyle w:val="Hyperlink"/>
            <w:rFonts w:cs="Arial"/>
            <w:sz w:val="21"/>
            <w:szCs w:val="21"/>
            <w14:ligatures w14:val="none"/>
          </w:rPr>
          <w:t>Alternatives to Custody: Evidence from police force areas in England and Wales</w:t>
        </w:r>
      </w:hyperlink>
      <w:r w:rsidRPr="0086705B">
        <w:rPr>
          <w:sz w:val="21"/>
          <w:szCs w:val="21"/>
        </w:rPr>
        <w:t xml:space="preserve">. </w:t>
      </w:r>
    </w:p>
    <w:p w14:paraId="40EDADE8" w14:textId="006E3ABC" w:rsidR="00C338F8" w:rsidRPr="0086705B" w:rsidRDefault="00C338F8" w:rsidP="0086705B">
      <w:pPr>
        <w:rPr>
          <w:sz w:val="21"/>
          <w:szCs w:val="21"/>
        </w:rPr>
      </w:pPr>
      <w:r w:rsidRPr="0086705B">
        <w:rPr>
          <w:sz w:val="21"/>
          <w:szCs w:val="21"/>
        </w:rPr>
        <w:t xml:space="preserve">Further evidence shows that diverting 'offenders' from custody can reduce reoffending. For example, an evaluation of the </w:t>
      </w:r>
      <w:hyperlink r:id="rId22" w:history="1">
        <w:r w:rsidRPr="0086705B">
          <w:rPr>
            <w:rStyle w:val="Hyperlink"/>
            <w:rFonts w:cs="Arial"/>
            <w:sz w:val="21"/>
            <w:szCs w:val="21"/>
            <w14:ligatures w14:val="none"/>
          </w:rPr>
          <w:t>New Chance programme in the West Midlands</w:t>
        </w:r>
      </w:hyperlink>
      <w:r w:rsidRPr="0086705B">
        <w:rPr>
          <w:sz w:val="21"/>
          <w:szCs w:val="21"/>
        </w:rPr>
        <w:t xml:space="preserve">, working to support women offenders, showed that reoffending rates for those on the programme was lower by between 7% and 11% compared to a similar ‘control’ group. For those with substance abuse issues, this reduction was 51 - 55%, and for those with mental health issues, the reduction was 35-37% compared to the control group. </w:t>
      </w:r>
    </w:p>
    <w:p w14:paraId="793578C4" w14:textId="06343B7A" w:rsidR="00C338F8" w:rsidRPr="0086705B" w:rsidRDefault="00C338F8" w:rsidP="0086705B">
      <w:pPr>
        <w:rPr>
          <w:b/>
          <w:bCs/>
          <w:sz w:val="21"/>
          <w:szCs w:val="21"/>
        </w:rPr>
      </w:pPr>
      <w:r w:rsidRPr="0086705B">
        <w:rPr>
          <w:sz w:val="21"/>
          <w:szCs w:val="21"/>
        </w:rPr>
        <w:t xml:space="preserve">Three workshops on the cost of living organised by the </w:t>
      </w:r>
      <w:hyperlink r:id="rId23" w:history="1">
        <w:r w:rsidRPr="0086705B">
          <w:rPr>
            <w:rStyle w:val="Hyperlink"/>
            <w:rFonts w:cs="Arial"/>
            <w:sz w:val="21"/>
            <w:szCs w:val="21"/>
            <w14:ligatures w14:val="none"/>
          </w:rPr>
          <w:t>ICP alliance</w:t>
        </w:r>
      </w:hyperlink>
      <w:r w:rsidRPr="0086705B">
        <w:rPr>
          <w:sz w:val="21"/>
          <w:szCs w:val="21"/>
        </w:rPr>
        <w:t xml:space="preserve"> with law enforcement representatives, think tanks and NGO’s (including one focus group with people with ‘lived experience’) distilled the emerging evidence on the </w:t>
      </w:r>
      <w:r w:rsidRPr="00FE25D4">
        <w:rPr>
          <w:sz w:val="21"/>
          <w:szCs w:val="21"/>
        </w:rPr>
        <w:t xml:space="preserve">disproportionate impact on the poor of the risk of committing acts that may criminalise them. It also showed how local support can alleviate the </w:t>
      </w:r>
      <w:proofErr w:type="gramStart"/>
      <w:r w:rsidRPr="00FE25D4">
        <w:rPr>
          <w:sz w:val="21"/>
          <w:szCs w:val="21"/>
        </w:rPr>
        <w:t>problem,</w:t>
      </w:r>
      <w:r w:rsidRPr="0086705B">
        <w:rPr>
          <w:sz w:val="21"/>
          <w:szCs w:val="21"/>
        </w:rPr>
        <w:t xml:space="preserve"> and</w:t>
      </w:r>
      <w:proofErr w:type="gramEnd"/>
      <w:r w:rsidRPr="0086705B">
        <w:rPr>
          <w:sz w:val="21"/>
          <w:szCs w:val="21"/>
        </w:rPr>
        <w:t xml:space="preserve"> highlighted the need to scale up such initiatives. </w:t>
      </w:r>
    </w:p>
    <w:p w14:paraId="45BC3AE9" w14:textId="6A05B66C" w:rsidR="00C338F8" w:rsidRPr="00DC585B" w:rsidRDefault="00C338F8" w:rsidP="00C338F8">
      <w:pPr>
        <w:pStyle w:val="Heading2"/>
        <w:rPr>
          <w:rFonts w:ascii="Times New Roman" w:hAnsi="Times New Roman" w:cs="Times New Roman"/>
          <w:sz w:val="24"/>
          <w:szCs w:val="24"/>
        </w:rPr>
      </w:pPr>
      <w:r w:rsidRPr="00DC585B">
        <w:rPr>
          <w:rFonts w:ascii="Times New Roman" w:hAnsi="Times New Roman" w:cs="Times New Roman"/>
          <w:sz w:val="24"/>
          <w:szCs w:val="24"/>
        </w:rPr>
        <w:t xml:space="preserve">Conclusion: Implementing </w:t>
      </w:r>
      <w:proofErr w:type="gramStart"/>
      <w:r w:rsidRPr="00DC585B">
        <w:rPr>
          <w:rFonts w:ascii="Times New Roman" w:hAnsi="Times New Roman" w:cs="Times New Roman"/>
          <w:sz w:val="24"/>
          <w:szCs w:val="24"/>
        </w:rPr>
        <w:t>evidence based</w:t>
      </w:r>
      <w:proofErr w:type="gramEnd"/>
      <w:r w:rsidRPr="00DC585B">
        <w:rPr>
          <w:rFonts w:ascii="Times New Roman" w:hAnsi="Times New Roman" w:cs="Times New Roman"/>
          <w:sz w:val="24"/>
          <w:szCs w:val="24"/>
        </w:rPr>
        <w:t xml:space="preserve"> support programmes</w:t>
      </w:r>
    </w:p>
    <w:p w14:paraId="36227E96" w14:textId="3BC9C808" w:rsidR="00052EA6" w:rsidRPr="002E7A7D" w:rsidRDefault="00241DF5" w:rsidP="0037618A">
      <w:pPr>
        <w:rPr>
          <w:sz w:val="21"/>
          <w:szCs w:val="21"/>
        </w:rPr>
      </w:pPr>
      <w:r>
        <w:rPr>
          <w:noProof/>
          <w:lang w:val="en-GB"/>
        </w:rPr>
        <w:drawing>
          <wp:anchor distT="0" distB="0" distL="114300" distR="114300" simplePos="0" relativeHeight="251658240" behindDoc="1" locked="0" layoutInCell="1" allowOverlap="1" wp14:anchorId="252E5644" wp14:editId="3EB56CAA">
            <wp:simplePos x="0" y="0"/>
            <wp:positionH relativeFrom="margin">
              <wp:posOffset>3060700</wp:posOffset>
            </wp:positionH>
            <wp:positionV relativeFrom="paragraph">
              <wp:posOffset>-553720</wp:posOffset>
            </wp:positionV>
            <wp:extent cx="832485" cy="1034415"/>
            <wp:effectExtent l="0" t="0" r="5715" b="0"/>
            <wp:wrapTight wrapText="bothSides">
              <wp:wrapPolygon edited="0">
                <wp:start x="0" y="0"/>
                <wp:lineTo x="0" y="21083"/>
                <wp:lineTo x="21254" y="21083"/>
                <wp:lineTo x="21254" y="0"/>
                <wp:lineTo x="0" y="0"/>
              </wp:wrapPolygon>
            </wp:wrapTight>
            <wp:docPr id="954508911" name="Picture 1" descr="Is it a crime to be po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08911" name="Picture 1" descr="Is it a crime to be poor?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2485" cy="1034415"/>
                    </a:xfrm>
                    <a:prstGeom prst="rect">
                      <a:avLst/>
                    </a:prstGeom>
                    <a:noFill/>
                  </pic:spPr>
                </pic:pic>
              </a:graphicData>
            </a:graphic>
            <wp14:sizeRelH relativeFrom="page">
              <wp14:pctWidth>0</wp14:pctWidth>
            </wp14:sizeRelH>
            <wp14:sizeRelV relativeFrom="page">
              <wp14:pctHeight>0</wp14:pctHeight>
            </wp14:sizeRelV>
          </wp:anchor>
        </w:drawing>
      </w:r>
      <w:r w:rsidR="00052EA6" w:rsidRPr="002E7A7D">
        <w:rPr>
          <w:sz w:val="21"/>
          <w:szCs w:val="21"/>
        </w:rPr>
        <w:t xml:space="preserve">Given the current cost of living crisis, more and more people are facing poverty and are </w:t>
      </w:r>
      <w:r w:rsidR="00052EA6" w:rsidRPr="002E7A7D">
        <w:rPr>
          <w:sz w:val="21"/>
          <w:szCs w:val="21"/>
        </w:rPr>
        <w:t xml:space="preserve">desperately struggling to make ends meet with consequent implications for potential criminalisation, something borne out by the emerging evidence that has been shared by practitioners and people with lived experiences. </w:t>
      </w:r>
    </w:p>
    <w:p w14:paraId="2CDB9F13" w14:textId="1378B487" w:rsidR="00052EA6" w:rsidRPr="002E7A7D" w:rsidRDefault="00052EA6" w:rsidP="0037618A">
      <w:pPr>
        <w:rPr>
          <w:sz w:val="21"/>
          <w:szCs w:val="21"/>
        </w:rPr>
      </w:pPr>
      <w:r w:rsidRPr="002E7A7D">
        <w:rPr>
          <w:sz w:val="21"/>
          <w:szCs w:val="21"/>
        </w:rPr>
        <w:t xml:space="preserve">It is therefore more important than ever to shape policy and practice to address the vulnerabilities that lead to such crimes and </w:t>
      </w:r>
      <w:hyperlink r:id="rId25" w:history="1">
        <w:r w:rsidRPr="00CC5F07">
          <w:rPr>
            <w:rStyle w:val="Hyperlink"/>
            <w:bCs/>
            <w:sz w:val="21"/>
            <w:szCs w:val="21"/>
          </w:rPr>
          <w:t>implement evidence based support programmes to divert the vulnerable from the CJS</w:t>
        </w:r>
      </w:hyperlink>
      <w:r w:rsidRPr="002E7A7D">
        <w:rPr>
          <w:sz w:val="21"/>
          <w:szCs w:val="21"/>
        </w:rPr>
        <w:t xml:space="preserve">. Research shows that such programmes not only cost a fraction of traditional CJS processing (including incarceration) but are also more effective in </w:t>
      </w:r>
      <w:r w:rsidRPr="002E7A7D">
        <w:rPr>
          <w:b/>
          <w:bCs/>
          <w:sz w:val="21"/>
          <w:szCs w:val="21"/>
        </w:rPr>
        <w:t>keeping our communities safe</w:t>
      </w:r>
      <w:r w:rsidRPr="002E7A7D">
        <w:rPr>
          <w:sz w:val="21"/>
          <w:szCs w:val="21"/>
        </w:rPr>
        <w:t xml:space="preserve">. </w:t>
      </w:r>
    </w:p>
    <w:p w14:paraId="134083C4" w14:textId="6CF95642" w:rsidR="007818C9" w:rsidRPr="002E7A7D" w:rsidRDefault="00052EA6" w:rsidP="007818C9">
      <w:pPr>
        <w:rPr>
          <w:sz w:val="21"/>
          <w:szCs w:val="21"/>
          <w:lang w:val="en-GB"/>
        </w:rPr>
      </w:pPr>
      <w:r w:rsidRPr="002E7A7D">
        <w:rPr>
          <w:sz w:val="21"/>
          <w:szCs w:val="21"/>
        </w:rPr>
        <w:t xml:space="preserve">Public opinion also favours alternatives to custody. Data published by Revolving Doors (2022) shows </w:t>
      </w:r>
      <w:hyperlink r:id="rId26" w:anchor=":~:text=Three%20quarters%20(76%25)%20of,to%20address%20this%20financial%20hardship." w:history="1">
        <w:r w:rsidRPr="004426C4">
          <w:rPr>
            <w:rStyle w:val="Hyperlink"/>
            <w:sz w:val="21"/>
            <w:szCs w:val="21"/>
          </w:rPr>
          <w:t>76% of UK adults think that rising levels of poverty will lead to increase in crime but the majority (68%) are against imprisonment for poverty-driven crime.</w:t>
        </w:r>
      </w:hyperlink>
      <w:r w:rsidRPr="002E7A7D">
        <w:rPr>
          <w:sz w:val="21"/>
          <w:szCs w:val="21"/>
        </w:rPr>
        <w:t xml:space="preserve"> </w:t>
      </w:r>
    </w:p>
    <w:p w14:paraId="1F15BAB2" w14:textId="22A71BCD" w:rsidR="007E573F" w:rsidRPr="00DC585B" w:rsidRDefault="007E573F" w:rsidP="007E573F">
      <w:pPr>
        <w:pStyle w:val="Heading2"/>
        <w:rPr>
          <w:rFonts w:ascii="Times New Roman" w:hAnsi="Times New Roman" w:cs="Times New Roman"/>
          <w:sz w:val="24"/>
          <w:szCs w:val="24"/>
        </w:rPr>
      </w:pPr>
      <w:r w:rsidRPr="00DC585B">
        <w:rPr>
          <w:rFonts w:ascii="Times New Roman" w:hAnsi="Times New Roman" w:cs="Times New Roman"/>
          <w:sz w:val="24"/>
          <w:szCs w:val="24"/>
        </w:rPr>
        <w:t>Contact</w:t>
      </w:r>
    </w:p>
    <w:p w14:paraId="3F109293" w14:textId="1C4654C9" w:rsidR="00F421A5" w:rsidRPr="002E7A7D" w:rsidRDefault="00F421A5" w:rsidP="00F421A5">
      <w:pPr>
        <w:rPr>
          <w:sz w:val="21"/>
          <w:szCs w:val="21"/>
        </w:rPr>
      </w:pPr>
      <w:r w:rsidRPr="002E7A7D">
        <w:rPr>
          <w:b/>
          <w:bCs/>
          <w:sz w:val="21"/>
          <w:szCs w:val="21"/>
        </w:rPr>
        <w:t>Professor Siddhartha Bandyopadhyay</w:t>
      </w:r>
      <w:r w:rsidRPr="002E7A7D">
        <w:rPr>
          <w:sz w:val="21"/>
          <w:szCs w:val="21"/>
        </w:rPr>
        <w:t>, Professor of Economics, Director, Centre for Crime, Justice and Policing, University of Birmingham.</w:t>
      </w:r>
      <w:r w:rsidRPr="002E7A7D">
        <w:rPr>
          <w:sz w:val="21"/>
          <w:szCs w:val="21"/>
        </w:rPr>
        <w:br/>
      </w:r>
      <w:hyperlink r:id="rId27" w:history="1">
        <w:r w:rsidRPr="002E7A7D">
          <w:rPr>
            <w:rStyle w:val="Hyperlink"/>
            <w:rFonts w:cs="Arial"/>
            <w:sz w:val="21"/>
            <w:szCs w:val="21"/>
            <w14:ligatures w14:val="none"/>
          </w:rPr>
          <w:t>s.bandyopadhyay@bham.ac.uk</w:t>
        </w:r>
      </w:hyperlink>
      <w:r w:rsidRPr="002E7A7D">
        <w:rPr>
          <w:sz w:val="21"/>
          <w:szCs w:val="21"/>
        </w:rPr>
        <w:t xml:space="preserve"> </w:t>
      </w:r>
    </w:p>
    <w:p w14:paraId="58991B85" w14:textId="09896642" w:rsidR="00F421A5" w:rsidRPr="002E7A7D" w:rsidRDefault="00F421A5" w:rsidP="00F421A5">
      <w:pPr>
        <w:rPr>
          <w:sz w:val="21"/>
          <w:szCs w:val="21"/>
        </w:rPr>
      </w:pPr>
      <w:r w:rsidRPr="002E7A7D">
        <w:rPr>
          <w:b/>
          <w:bCs/>
          <w:sz w:val="21"/>
          <w:szCs w:val="21"/>
        </w:rPr>
        <w:t>Dr Juste Abramovaite</w:t>
      </w:r>
      <w:r w:rsidRPr="002E7A7D">
        <w:rPr>
          <w:sz w:val="21"/>
          <w:szCs w:val="21"/>
        </w:rPr>
        <w:t xml:space="preserve">, Senior Research Fellow, Institute for Global Innovation, University of Birmingham. </w:t>
      </w:r>
      <w:r w:rsidRPr="002E7A7D">
        <w:rPr>
          <w:sz w:val="21"/>
          <w:szCs w:val="21"/>
        </w:rPr>
        <w:br/>
      </w:r>
      <w:hyperlink r:id="rId28" w:history="1">
        <w:r w:rsidRPr="002E7A7D">
          <w:rPr>
            <w:rStyle w:val="Hyperlink"/>
            <w:rFonts w:cs="Arial"/>
            <w:sz w:val="21"/>
            <w:szCs w:val="21"/>
            <w14:ligatures w14:val="none"/>
          </w:rPr>
          <w:t>j.abramovaite@bham.ac.uk</w:t>
        </w:r>
      </w:hyperlink>
      <w:r w:rsidRPr="002E7A7D">
        <w:rPr>
          <w:sz w:val="21"/>
          <w:szCs w:val="21"/>
        </w:rPr>
        <w:t xml:space="preserve"> </w:t>
      </w:r>
    </w:p>
    <w:p w14:paraId="38B0D713" w14:textId="6681E336" w:rsidR="00F421A5" w:rsidRPr="002E7A7D" w:rsidRDefault="00F421A5" w:rsidP="00C93B8C">
      <w:pPr>
        <w:rPr>
          <w:sz w:val="21"/>
          <w:szCs w:val="21"/>
        </w:rPr>
      </w:pPr>
      <w:r w:rsidRPr="002E7A7D">
        <w:rPr>
          <w:b/>
          <w:bCs/>
          <w:sz w:val="21"/>
          <w:szCs w:val="21"/>
        </w:rPr>
        <w:t>Dr Debjani Dasgupta</w:t>
      </w:r>
      <w:r w:rsidRPr="002E7A7D">
        <w:rPr>
          <w:sz w:val="21"/>
          <w:szCs w:val="21"/>
        </w:rPr>
        <w:t>, Research Fellow, University of Birmingham.</w:t>
      </w:r>
      <w:r w:rsidRPr="002E7A7D">
        <w:rPr>
          <w:sz w:val="21"/>
          <w:szCs w:val="21"/>
        </w:rPr>
        <w:br/>
      </w:r>
      <w:hyperlink r:id="rId29" w:history="1">
        <w:r w:rsidRPr="002E7A7D">
          <w:rPr>
            <w:rStyle w:val="Hyperlink"/>
            <w:rFonts w:cs="Arial"/>
            <w:sz w:val="21"/>
            <w:szCs w:val="21"/>
            <w14:ligatures w14:val="none"/>
          </w:rPr>
          <w:t>d.dasgupta@bham.ac.uk</w:t>
        </w:r>
      </w:hyperlink>
    </w:p>
    <w:p w14:paraId="0109A0E9" w14:textId="2A6CFB3F" w:rsidR="00C93B8C" w:rsidRPr="002E7A7D" w:rsidRDefault="00C93B8C" w:rsidP="00C93B8C">
      <w:pPr>
        <w:rPr>
          <w:sz w:val="21"/>
          <w:szCs w:val="21"/>
        </w:rPr>
      </w:pPr>
      <w:r w:rsidRPr="002E7A7D">
        <w:rPr>
          <w:sz w:val="21"/>
          <w:szCs w:val="21"/>
        </w:rPr>
        <w:t xml:space="preserve">*The </w:t>
      </w:r>
      <w:hyperlink r:id="rId30" w:history="1">
        <w:r w:rsidRPr="002E7A7D">
          <w:rPr>
            <w:rStyle w:val="Hyperlink"/>
            <w:rFonts w:cs="Arial"/>
            <w:sz w:val="21"/>
            <w:szCs w:val="21"/>
            <w14:ligatures w14:val="none"/>
          </w:rPr>
          <w:t>‘Is it a Crime to be Poor?</w:t>
        </w:r>
      </w:hyperlink>
      <w:r w:rsidRPr="002E7A7D">
        <w:rPr>
          <w:sz w:val="21"/>
          <w:szCs w:val="21"/>
        </w:rPr>
        <w:t>’ (ICP) alliance is a diverse group of people who, either individually or as part of their organisation, are working to end the criminalisation of poverty. ICP believes it violates equality under the law and principles of social justice.</w:t>
      </w:r>
    </w:p>
    <w:p w14:paraId="696EABD6" w14:textId="0B8F7DF9" w:rsidR="00C93B8C" w:rsidRDefault="00C93B8C" w:rsidP="00C93B8C">
      <w:pPr>
        <w:widowControl w:val="0"/>
        <w:rPr>
          <w:rFonts w:ascii="Calibri" w:hAnsi="Calibri" w:cs="Calibri"/>
          <w:sz w:val="20"/>
          <w:szCs w:val="20"/>
          <w14:ligatures w14:val="none"/>
        </w:rPr>
      </w:pPr>
      <w:r>
        <w:rPr>
          <w14:ligatures w14:val="none"/>
        </w:rPr>
        <w:t> </w:t>
      </w:r>
    </w:p>
    <w:p w14:paraId="3670849F" w14:textId="1AE07434" w:rsidR="00A20F1A" w:rsidRDefault="00241DF5" w:rsidP="008A2EEF">
      <w:pPr>
        <w:rPr>
          <w:lang w:val="en-GB"/>
        </w:rPr>
      </w:pPr>
      <w:r>
        <w:rPr>
          <w:rFonts w:cs="Arial"/>
          <w:noProof/>
        </w:rPr>
        <w:drawing>
          <wp:anchor distT="0" distB="0" distL="114300" distR="114300" simplePos="0" relativeHeight="251659264" behindDoc="1" locked="0" layoutInCell="1" allowOverlap="1" wp14:anchorId="04974051" wp14:editId="57D0D337">
            <wp:simplePos x="0" y="0"/>
            <wp:positionH relativeFrom="column">
              <wp:align>right</wp:align>
            </wp:positionH>
            <wp:positionV relativeFrom="paragraph">
              <wp:posOffset>-219075</wp:posOffset>
            </wp:positionV>
            <wp:extent cx="1579880" cy="889000"/>
            <wp:effectExtent l="0" t="0" r="0" b="0"/>
            <wp:wrapTight wrapText="bothSides">
              <wp:wrapPolygon edited="0">
                <wp:start x="1042" y="1851"/>
                <wp:lineTo x="1042" y="18051"/>
                <wp:lineTo x="7814" y="19903"/>
                <wp:lineTo x="9376" y="19903"/>
                <wp:lineTo x="20836" y="18514"/>
                <wp:lineTo x="21096" y="13423"/>
                <wp:lineTo x="19794" y="12034"/>
                <wp:lineTo x="14585" y="10183"/>
                <wp:lineTo x="14846" y="4629"/>
                <wp:lineTo x="13283" y="2777"/>
                <wp:lineTo x="8074" y="1851"/>
                <wp:lineTo x="1042" y="1851"/>
              </wp:wrapPolygon>
            </wp:wrapTight>
            <wp:docPr id="2418956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95610" name="Picture 1">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79880" cy="889000"/>
                    </a:xfrm>
                    <a:prstGeom prst="rect">
                      <a:avLst/>
                    </a:prstGeom>
                  </pic:spPr>
                </pic:pic>
              </a:graphicData>
            </a:graphic>
            <wp14:sizeRelH relativeFrom="page">
              <wp14:pctWidth>0</wp14:pctWidth>
            </wp14:sizeRelH>
            <wp14:sizeRelV relativeFrom="page">
              <wp14:pctHeight>0</wp14:pctHeight>
            </wp14:sizeRelV>
          </wp:anchor>
        </w:drawing>
      </w:r>
    </w:p>
    <w:p w14:paraId="097873F0" w14:textId="398C02C9" w:rsidR="007E40F1" w:rsidRPr="008A2EEF" w:rsidRDefault="007E40F1" w:rsidP="00DE6391">
      <w:pPr>
        <w:rPr>
          <w:lang w:val="en-GB"/>
        </w:rPr>
      </w:pPr>
    </w:p>
    <w:sectPr w:rsidR="007E40F1" w:rsidRPr="008A2EEF" w:rsidSect="0021640E">
      <w:type w:val="continuous"/>
      <w:pgSz w:w="12240" w:h="15840"/>
      <w:pgMar w:top="1440" w:right="1440" w:bottom="1440" w:left="1440" w:header="708" w:footer="708" w:gutter="0"/>
      <w:cols w:num="2" w:space="28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C83EC" w14:textId="77777777" w:rsidR="00486D55" w:rsidRDefault="00486D55" w:rsidP="007140C0">
      <w:pPr>
        <w:spacing w:after="0" w:line="240" w:lineRule="auto"/>
      </w:pPr>
      <w:r>
        <w:separator/>
      </w:r>
    </w:p>
  </w:endnote>
  <w:endnote w:type="continuationSeparator" w:id="0">
    <w:p w14:paraId="713D4EA1" w14:textId="77777777" w:rsidR="00486D55" w:rsidRDefault="00486D55" w:rsidP="0071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512192"/>
      <w:docPartObj>
        <w:docPartGallery w:val="Page Numbers (Bottom of Page)"/>
        <w:docPartUnique/>
      </w:docPartObj>
    </w:sdtPr>
    <w:sdtContent>
      <w:sdt>
        <w:sdtPr>
          <w:id w:val="-1769616900"/>
          <w:docPartObj>
            <w:docPartGallery w:val="Page Numbers (Top of Page)"/>
            <w:docPartUnique/>
          </w:docPartObj>
        </w:sdtPr>
        <w:sdtContent>
          <w:p w14:paraId="50E6E557" w14:textId="660BA2B4" w:rsidR="005B627A" w:rsidRPr="005B627A" w:rsidRDefault="005B627A">
            <w:pPr>
              <w:pStyle w:val="Footer"/>
              <w:jc w:val="right"/>
            </w:pPr>
            <w:r w:rsidRPr="005B627A">
              <w:t xml:space="preserve">Page </w:t>
            </w:r>
            <w:r w:rsidRPr="005B627A">
              <w:rPr>
                <w:szCs w:val="24"/>
              </w:rPr>
              <w:fldChar w:fldCharType="begin"/>
            </w:r>
            <w:r w:rsidRPr="005B627A">
              <w:instrText xml:space="preserve"> PAGE </w:instrText>
            </w:r>
            <w:r w:rsidRPr="005B627A">
              <w:rPr>
                <w:szCs w:val="24"/>
              </w:rPr>
              <w:fldChar w:fldCharType="separate"/>
            </w:r>
            <w:r w:rsidRPr="005B627A">
              <w:rPr>
                <w:noProof/>
              </w:rPr>
              <w:t>2</w:t>
            </w:r>
            <w:r w:rsidRPr="005B627A">
              <w:rPr>
                <w:szCs w:val="24"/>
              </w:rPr>
              <w:fldChar w:fldCharType="end"/>
            </w:r>
            <w:r w:rsidRPr="005B627A">
              <w:t xml:space="preserve"> of </w:t>
            </w:r>
            <w:r w:rsidR="00133A7C">
              <w:fldChar w:fldCharType="begin"/>
            </w:r>
            <w:r w:rsidR="00133A7C">
              <w:instrText xml:space="preserve"> NUMPAGES  </w:instrText>
            </w:r>
            <w:r w:rsidR="00133A7C">
              <w:fldChar w:fldCharType="separate"/>
            </w:r>
            <w:r w:rsidRPr="005B627A">
              <w:rPr>
                <w:noProof/>
              </w:rPr>
              <w:t>2</w:t>
            </w:r>
            <w:r w:rsidR="00133A7C">
              <w:rPr>
                <w:noProof/>
              </w:rPr>
              <w:fldChar w:fldCharType="end"/>
            </w:r>
          </w:p>
        </w:sdtContent>
      </w:sdt>
    </w:sdtContent>
  </w:sdt>
  <w:p w14:paraId="152CD727" w14:textId="77777777" w:rsidR="005B627A" w:rsidRDefault="005B6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6570E" w14:textId="77777777" w:rsidR="00486D55" w:rsidRDefault="00486D55" w:rsidP="007140C0">
      <w:pPr>
        <w:spacing w:after="0" w:line="240" w:lineRule="auto"/>
      </w:pPr>
      <w:r>
        <w:separator/>
      </w:r>
    </w:p>
  </w:footnote>
  <w:footnote w:type="continuationSeparator" w:id="0">
    <w:p w14:paraId="476EA691" w14:textId="77777777" w:rsidR="00486D55" w:rsidRDefault="00486D55" w:rsidP="00714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F126" w14:textId="77777777" w:rsidR="002E7A7D" w:rsidRDefault="002E7A7D" w:rsidP="002E7A7D">
    <w:r>
      <w:t>Professor Siddhartha Bandyopadhyay, Dr Juste Abramovaite, Dr Debjani Dasgupta</w:t>
    </w:r>
  </w:p>
  <w:p w14:paraId="20C4E0D4" w14:textId="5FD9A042" w:rsidR="007140C0" w:rsidRPr="002E7A7D" w:rsidRDefault="007140C0" w:rsidP="002E7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2A4"/>
    <w:multiLevelType w:val="hybridMultilevel"/>
    <w:tmpl w:val="1BB8AA9A"/>
    <w:lvl w:ilvl="0" w:tplc="10090001">
      <w:start w:val="1"/>
      <w:numFmt w:val="bullet"/>
      <w:lvlText w:val=""/>
      <w:lvlJc w:val="left"/>
      <w:pPr>
        <w:ind w:left="7654" w:hanging="360"/>
      </w:pPr>
      <w:rPr>
        <w:rFonts w:ascii="Symbol" w:hAnsi="Symbol" w:hint="default"/>
      </w:rPr>
    </w:lvl>
    <w:lvl w:ilvl="1" w:tplc="10090003" w:tentative="1">
      <w:start w:val="1"/>
      <w:numFmt w:val="bullet"/>
      <w:lvlText w:val="o"/>
      <w:lvlJc w:val="left"/>
      <w:pPr>
        <w:ind w:left="8374" w:hanging="360"/>
      </w:pPr>
      <w:rPr>
        <w:rFonts w:ascii="Courier New" w:hAnsi="Courier New" w:cs="Courier New" w:hint="default"/>
      </w:rPr>
    </w:lvl>
    <w:lvl w:ilvl="2" w:tplc="10090005" w:tentative="1">
      <w:start w:val="1"/>
      <w:numFmt w:val="bullet"/>
      <w:lvlText w:val=""/>
      <w:lvlJc w:val="left"/>
      <w:pPr>
        <w:ind w:left="9094" w:hanging="360"/>
      </w:pPr>
      <w:rPr>
        <w:rFonts w:ascii="Wingdings" w:hAnsi="Wingdings" w:hint="default"/>
      </w:rPr>
    </w:lvl>
    <w:lvl w:ilvl="3" w:tplc="10090001" w:tentative="1">
      <w:start w:val="1"/>
      <w:numFmt w:val="bullet"/>
      <w:lvlText w:val=""/>
      <w:lvlJc w:val="left"/>
      <w:pPr>
        <w:ind w:left="9814" w:hanging="360"/>
      </w:pPr>
      <w:rPr>
        <w:rFonts w:ascii="Symbol" w:hAnsi="Symbol" w:hint="default"/>
      </w:rPr>
    </w:lvl>
    <w:lvl w:ilvl="4" w:tplc="10090003" w:tentative="1">
      <w:start w:val="1"/>
      <w:numFmt w:val="bullet"/>
      <w:lvlText w:val="o"/>
      <w:lvlJc w:val="left"/>
      <w:pPr>
        <w:ind w:left="10534" w:hanging="360"/>
      </w:pPr>
      <w:rPr>
        <w:rFonts w:ascii="Courier New" w:hAnsi="Courier New" w:cs="Courier New" w:hint="default"/>
      </w:rPr>
    </w:lvl>
    <w:lvl w:ilvl="5" w:tplc="10090005" w:tentative="1">
      <w:start w:val="1"/>
      <w:numFmt w:val="bullet"/>
      <w:lvlText w:val=""/>
      <w:lvlJc w:val="left"/>
      <w:pPr>
        <w:ind w:left="11254" w:hanging="360"/>
      </w:pPr>
      <w:rPr>
        <w:rFonts w:ascii="Wingdings" w:hAnsi="Wingdings" w:hint="default"/>
      </w:rPr>
    </w:lvl>
    <w:lvl w:ilvl="6" w:tplc="10090001" w:tentative="1">
      <w:start w:val="1"/>
      <w:numFmt w:val="bullet"/>
      <w:lvlText w:val=""/>
      <w:lvlJc w:val="left"/>
      <w:pPr>
        <w:ind w:left="11974" w:hanging="360"/>
      </w:pPr>
      <w:rPr>
        <w:rFonts w:ascii="Symbol" w:hAnsi="Symbol" w:hint="default"/>
      </w:rPr>
    </w:lvl>
    <w:lvl w:ilvl="7" w:tplc="10090003" w:tentative="1">
      <w:start w:val="1"/>
      <w:numFmt w:val="bullet"/>
      <w:lvlText w:val="o"/>
      <w:lvlJc w:val="left"/>
      <w:pPr>
        <w:ind w:left="12694" w:hanging="360"/>
      </w:pPr>
      <w:rPr>
        <w:rFonts w:ascii="Courier New" w:hAnsi="Courier New" w:cs="Courier New" w:hint="default"/>
      </w:rPr>
    </w:lvl>
    <w:lvl w:ilvl="8" w:tplc="10090005" w:tentative="1">
      <w:start w:val="1"/>
      <w:numFmt w:val="bullet"/>
      <w:lvlText w:val=""/>
      <w:lvlJc w:val="left"/>
      <w:pPr>
        <w:ind w:left="13414" w:hanging="360"/>
      </w:pPr>
      <w:rPr>
        <w:rFonts w:ascii="Wingdings" w:hAnsi="Wingdings" w:hint="default"/>
      </w:rPr>
    </w:lvl>
  </w:abstractNum>
  <w:abstractNum w:abstractNumId="1" w15:restartNumberingAfterBreak="0">
    <w:nsid w:val="0A093F76"/>
    <w:multiLevelType w:val="hybridMultilevel"/>
    <w:tmpl w:val="0ECE3E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270E6A"/>
    <w:multiLevelType w:val="hybridMultilevel"/>
    <w:tmpl w:val="45E8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F3A95"/>
    <w:multiLevelType w:val="hybridMultilevel"/>
    <w:tmpl w:val="61B8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2142B"/>
    <w:multiLevelType w:val="hybridMultilevel"/>
    <w:tmpl w:val="BE229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942773"/>
    <w:multiLevelType w:val="hybridMultilevel"/>
    <w:tmpl w:val="46FA6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AA5370"/>
    <w:multiLevelType w:val="hybridMultilevel"/>
    <w:tmpl w:val="3D985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9C1842"/>
    <w:multiLevelType w:val="hybridMultilevel"/>
    <w:tmpl w:val="33440E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24B5B66"/>
    <w:multiLevelType w:val="hybridMultilevel"/>
    <w:tmpl w:val="61B868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773A3"/>
    <w:multiLevelType w:val="hybridMultilevel"/>
    <w:tmpl w:val="E76A60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0B47DE"/>
    <w:multiLevelType w:val="hybridMultilevel"/>
    <w:tmpl w:val="89A63D6A"/>
    <w:lvl w:ilvl="0" w:tplc="95B60A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F0893"/>
    <w:multiLevelType w:val="hybridMultilevel"/>
    <w:tmpl w:val="4CFA8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9047B9"/>
    <w:multiLevelType w:val="hybridMultilevel"/>
    <w:tmpl w:val="A274AA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390D73"/>
    <w:multiLevelType w:val="hybridMultilevel"/>
    <w:tmpl w:val="D5281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D15EDC"/>
    <w:multiLevelType w:val="hybridMultilevel"/>
    <w:tmpl w:val="BCA4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35DE9"/>
    <w:multiLevelType w:val="hybridMultilevel"/>
    <w:tmpl w:val="F07C70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2974FB"/>
    <w:multiLevelType w:val="hybridMultilevel"/>
    <w:tmpl w:val="0A7EC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452F36"/>
    <w:multiLevelType w:val="hybridMultilevel"/>
    <w:tmpl w:val="DD4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328AD"/>
    <w:multiLevelType w:val="hybridMultilevel"/>
    <w:tmpl w:val="7B9E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55ACE"/>
    <w:multiLevelType w:val="hybridMultilevel"/>
    <w:tmpl w:val="0ECE3E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1F71C4"/>
    <w:multiLevelType w:val="hybridMultilevel"/>
    <w:tmpl w:val="96688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1E00F5"/>
    <w:multiLevelType w:val="hybridMultilevel"/>
    <w:tmpl w:val="22BE20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7A3F5E"/>
    <w:multiLevelType w:val="hybridMultilevel"/>
    <w:tmpl w:val="7B50232E"/>
    <w:lvl w:ilvl="0" w:tplc="BE84695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5B0C1F"/>
    <w:multiLevelType w:val="hybridMultilevel"/>
    <w:tmpl w:val="74904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935870"/>
    <w:multiLevelType w:val="hybridMultilevel"/>
    <w:tmpl w:val="A0542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DCA75B2"/>
    <w:multiLevelType w:val="hybridMultilevel"/>
    <w:tmpl w:val="E392E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24188053">
    <w:abstractNumId w:val="10"/>
  </w:num>
  <w:num w:numId="2" w16cid:durableId="2014843297">
    <w:abstractNumId w:val="19"/>
  </w:num>
  <w:num w:numId="3" w16cid:durableId="1093161251">
    <w:abstractNumId w:val="1"/>
  </w:num>
  <w:num w:numId="4" w16cid:durableId="627706451">
    <w:abstractNumId w:val="3"/>
  </w:num>
  <w:num w:numId="5" w16cid:durableId="1817649535">
    <w:abstractNumId w:val="8"/>
  </w:num>
  <w:num w:numId="6" w16cid:durableId="1135030652">
    <w:abstractNumId w:val="21"/>
  </w:num>
  <w:num w:numId="7" w16cid:durableId="149836276">
    <w:abstractNumId w:val="0"/>
  </w:num>
  <w:num w:numId="8" w16cid:durableId="927814570">
    <w:abstractNumId w:val="24"/>
  </w:num>
  <w:num w:numId="9" w16cid:durableId="1149517422">
    <w:abstractNumId w:val="23"/>
  </w:num>
  <w:num w:numId="10" w16cid:durableId="467481393">
    <w:abstractNumId w:val="15"/>
  </w:num>
  <w:num w:numId="11" w16cid:durableId="34157222">
    <w:abstractNumId w:val="12"/>
  </w:num>
  <w:num w:numId="12" w16cid:durableId="445467696">
    <w:abstractNumId w:val="11"/>
  </w:num>
  <w:num w:numId="13" w16cid:durableId="764499238">
    <w:abstractNumId w:val="9"/>
  </w:num>
  <w:num w:numId="14" w16cid:durableId="1177116468">
    <w:abstractNumId w:val="7"/>
  </w:num>
  <w:num w:numId="15" w16cid:durableId="445858203">
    <w:abstractNumId w:val="4"/>
  </w:num>
  <w:num w:numId="16" w16cid:durableId="675309734">
    <w:abstractNumId w:val="6"/>
  </w:num>
  <w:num w:numId="17" w16cid:durableId="605388454">
    <w:abstractNumId w:val="13"/>
  </w:num>
  <w:num w:numId="18" w16cid:durableId="1929314657">
    <w:abstractNumId w:val="16"/>
  </w:num>
  <w:num w:numId="19" w16cid:durableId="2092046333">
    <w:abstractNumId w:val="25"/>
  </w:num>
  <w:num w:numId="20" w16cid:durableId="434180540">
    <w:abstractNumId w:val="5"/>
  </w:num>
  <w:num w:numId="21" w16cid:durableId="553279152">
    <w:abstractNumId w:val="22"/>
  </w:num>
  <w:num w:numId="22" w16cid:durableId="1003557871">
    <w:abstractNumId w:val="18"/>
  </w:num>
  <w:num w:numId="23" w16cid:durableId="527135760">
    <w:abstractNumId w:val="17"/>
  </w:num>
  <w:num w:numId="24" w16cid:durableId="1630474716">
    <w:abstractNumId w:val="2"/>
  </w:num>
  <w:num w:numId="25" w16cid:durableId="888302938">
    <w:abstractNumId w:val="20"/>
  </w:num>
  <w:num w:numId="26" w16cid:durableId="73088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48"/>
    <w:rsid w:val="00007BDD"/>
    <w:rsid w:val="0002618E"/>
    <w:rsid w:val="000379CE"/>
    <w:rsid w:val="00051F0D"/>
    <w:rsid w:val="00052EA6"/>
    <w:rsid w:val="00056B40"/>
    <w:rsid w:val="000A3134"/>
    <w:rsid w:val="000C0170"/>
    <w:rsid w:val="00111269"/>
    <w:rsid w:val="00124D3B"/>
    <w:rsid w:val="00125564"/>
    <w:rsid w:val="00133A7C"/>
    <w:rsid w:val="00140237"/>
    <w:rsid w:val="00160718"/>
    <w:rsid w:val="001941A9"/>
    <w:rsid w:val="001A4E4F"/>
    <w:rsid w:val="001A768A"/>
    <w:rsid w:val="001B424F"/>
    <w:rsid w:val="001B7E00"/>
    <w:rsid w:val="001D04E7"/>
    <w:rsid w:val="001E5BD9"/>
    <w:rsid w:val="001F3CA2"/>
    <w:rsid w:val="001F7F48"/>
    <w:rsid w:val="00207D21"/>
    <w:rsid w:val="0021640E"/>
    <w:rsid w:val="00220091"/>
    <w:rsid w:val="0022704F"/>
    <w:rsid w:val="00241DF5"/>
    <w:rsid w:val="002459E9"/>
    <w:rsid w:val="00252CB2"/>
    <w:rsid w:val="002748C9"/>
    <w:rsid w:val="00287780"/>
    <w:rsid w:val="002A2F9B"/>
    <w:rsid w:val="002A7426"/>
    <w:rsid w:val="002B7919"/>
    <w:rsid w:val="002E4D93"/>
    <w:rsid w:val="002E7A7D"/>
    <w:rsid w:val="003031C3"/>
    <w:rsid w:val="003245D4"/>
    <w:rsid w:val="00353756"/>
    <w:rsid w:val="0037155C"/>
    <w:rsid w:val="003734C7"/>
    <w:rsid w:val="0037618A"/>
    <w:rsid w:val="00390EBF"/>
    <w:rsid w:val="0039260D"/>
    <w:rsid w:val="003A468D"/>
    <w:rsid w:val="003B4501"/>
    <w:rsid w:val="003B5AEB"/>
    <w:rsid w:val="003E2895"/>
    <w:rsid w:val="0040211E"/>
    <w:rsid w:val="00407EBA"/>
    <w:rsid w:val="00412FC0"/>
    <w:rsid w:val="004426C4"/>
    <w:rsid w:val="0048044B"/>
    <w:rsid w:val="00486D55"/>
    <w:rsid w:val="004B15E7"/>
    <w:rsid w:val="004F56E9"/>
    <w:rsid w:val="00510E3F"/>
    <w:rsid w:val="0055527B"/>
    <w:rsid w:val="0057279A"/>
    <w:rsid w:val="00580D46"/>
    <w:rsid w:val="00591D23"/>
    <w:rsid w:val="005B627A"/>
    <w:rsid w:val="005D1A5A"/>
    <w:rsid w:val="005E41A1"/>
    <w:rsid w:val="00600223"/>
    <w:rsid w:val="006241FF"/>
    <w:rsid w:val="00656DFC"/>
    <w:rsid w:val="00670750"/>
    <w:rsid w:val="00690E1D"/>
    <w:rsid w:val="006A0C9A"/>
    <w:rsid w:val="006A5A40"/>
    <w:rsid w:val="006B4D5C"/>
    <w:rsid w:val="006C2AB4"/>
    <w:rsid w:val="006E32B6"/>
    <w:rsid w:val="006E552E"/>
    <w:rsid w:val="006F279A"/>
    <w:rsid w:val="00710885"/>
    <w:rsid w:val="00711420"/>
    <w:rsid w:val="007140C0"/>
    <w:rsid w:val="00733EBB"/>
    <w:rsid w:val="007378C6"/>
    <w:rsid w:val="00743E57"/>
    <w:rsid w:val="00753E46"/>
    <w:rsid w:val="00761561"/>
    <w:rsid w:val="00776EA6"/>
    <w:rsid w:val="007818C9"/>
    <w:rsid w:val="00784989"/>
    <w:rsid w:val="007A2E2A"/>
    <w:rsid w:val="007A7699"/>
    <w:rsid w:val="007A7B3B"/>
    <w:rsid w:val="007D43B7"/>
    <w:rsid w:val="007E11EC"/>
    <w:rsid w:val="007E1F31"/>
    <w:rsid w:val="007E40F1"/>
    <w:rsid w:val="007E48E3"/>
    <w:rsid w:val="007E573F"/>
    <w:rsid w:val="00823B42"/>
    <w:rsid w:val="0083661F"/>
    <w:rsid w:val="00841F33"/>
    <w:rsid w:val="00845CD0"/>
    <w:rsid w:val="00854A6C"/>
    <w:rsid w:val="0085726D"/>
    <w:rsid w:val="0086705B"/>
    <w:rsid w:val="0087540B"/>
    <w:rsid w:val="0088706A"/>
    <w:rsid w:val="008971A4"/>
    <w:rsid w:val="008A2EEF"/>
    <w:rsid w:val="008A3E1F"/>
    <w:rsid w:val="008C18D4"/>
    <w:rsid w:val="008C220E"/>
    <w:rsid w:val="008D5D5F"/>
    <w:rsid w:val="00915B38"/>
    <w:rsid w:val="00927D87"/>
    <w:rsid w:val="00931A83"/>
    <w:rsid w:val="00943C6C"/>
    <w:rsid w:val="00947D1E"/>
    <w:rsid w:val="00975923"/>
    <w:rsid w:val="00982C50"/>
    <w:rsid w:val="00991254"/>
    <w:rsid w:val="00994064"/>
    <w:rsid w:val="00995803"/>
    <w:rsid w:val="009A63AF"/>
    <w:rsid w:val="009C225F"/>
    <w:rsid w:val="009F6137"/>
    <w:rsid w:val="00A20F1A"/>
    <w:rsid w:val="00A27F05"/>
    <w:rsid w:val="00A50C63"/>
    <w:rsid w:val="00A60023"/>
    <w:rsid w:val="00A60677"/>
    <w:rsid w:val="00A75CF0"/>
    <w:rsid w:val="00A80034"/>
    <w:rsid w:val="00A8380B"/>
    <w:rsid w:val="00A923D2"/>
    <w:rsid w:val="00AA64DC"/>
    <w:rsid w:val="00AB274D"/>
    <w:rsid w:val="00AC258B"/>
    <w:rsid w:val="00AC36A1"/>
    <w:rsid w:val="00AE57B9"/>
    <w:rsid w:val="00AF01CD"/>
    <w:rsid w:val="00AF1CAC"/>
    <w:rsid w:val="00B210DF"/>
    <w:rsid w:val="00B63456"/>
    <w:rsid w:val="00B6534F"/>
    <w:rsid w:val="00BA564F"/>
    <w:rsid w:val="00BB1374"/>
    <w:rsid w:val="00BC2D5A"/>
    <w:rsid w:val="00BD6F8E"/>
    <w:rsid w:val="00C23352"/>
    <w:rsid w:val="00C338F8"/>
    <w:rsid w:val="00C365BA"/>
    <w:rsid w:val="00C426F5"/>
    <w:rsid w:val="00C67661"/>
    <w:rsid w:val="00C67EC8"/>
    <w:rsid w:val="00C93B8C"/>
    <w:rsid w:val="00CB2914"/>
    <w:rsid w:val="00CC55AA"/>
    <w:rsid w:val="00CC5F07"/>
    <w:rsid w:val="00CD5BCC"/>
    <w:rsid w:val="00CE0456"/>
    <w:rsid w:val="00D11A3F"/>
    <w:rsid w:val="00D21265"/>
    <w:rsid w:val="00D2580E"/>
    <w:rsid w:val="00D32B5D"/>
    <w:rsid w:val="00D51D89"/>
    <w:rsid w:val="00D57B42"/>
    <w:rsid w:val="00D90C19"/>
    <w:rsid w:val="00DA096E"/>
    <w:rsid w:val="00DB5DCC"/>
    <w:rsid w:val="00DB7E1B"/>
    <w:rsid w:val="00DC32D7"/>
    <w:rsid w:val="00DC585B"/>
    <w:rsid w:val="00DC5C53"/>
    <w:rsid w:val="00DD0449"/>
    <w:rsid w:val="00DE6391"/>
    <w:rsid w:val="00DF15E5"/>
    <w:rsid w:val="00E40C01"/>
    <w:rsid w:val="00E62B62"/>
    <w:rsid w:val="00E6356E"/>
    <w:rsid w:val="00E63924"/>
    <w:rsid w:val="00E824D8"/>
    <w:rsid w:val="00E868C0"/>
    <w:rsid w:val="00EB612A"/>
    <w:rsid w:val="00EC42DE"/>
    <w:rsid w:val="00EC76F8"/>
    <w:rsid w:val="00EE4E33"/>
    <w:rsid w:val="00F41B55"/>
    <w:rsid w:val="00F421A5"/>
    <w:rsid w:val="00F603D5"/>
    <w:rsid w:val="00F62209"/>
    <w:rsid w:val="00F67B5D"/>
    <w:rsid w:val="00F72E07"/>
    <w:rsid w:val="00F7415F"/>
    <w:rsid w:val="00F8617A"/>
    <w:rsid w:val="00F86182"/>
    <w:rsid w:val="00FA559F"/>
    <w:rsid w:val="00FB2B66"/>
    <w:rsid w:val="00FE25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7A5D0"/>
  <w15:chartTrackingRefBased/>
  <w15:docId w15:val="{7FDCB885-6057-4C73-951C-6C320BCE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C0"/>
    <w:rPr>
      <w:rFonts w:ascii="Arial" w:hAnsi="Arial"/>
      <w:sz w:val="24"/>
    </w:rPr>
  </w:style>
  <w:style w:type="paragraph" w:styleId="Heading1">
    <w:name w:val="heading 1"/>
    <w:basedOn w:val="Normal"/>
    <w:next w:val="Normal"/>
    <w:link w:val="Heading1Char"/>
    <w:uiPriority w:val="9"/>
    <w:qFormat/>
    <w:rsid w:val="00743E57"/>
    <w:pPr>
      <w:keepNext/>
      <w:keepLines/>
      <w:spacing w:before="2400" w:after="120"/>
      <w:ind w:right="2835"/>
      <w:outlineLvl w:val="0"/>
    </w:pPr>
    <w:rPr>
      <w:rFonts w:ascii="Times New Roman" w:eastAsiaTheme="majorEastAsia" w:hAnsi="Times New Roman" w:cstheme="majorBidi"/>
      <w:b/>
      <w:color w:val="000000" w:themeColor="text1"/>
      <w:sz w:val="96"/>
      <w:szCs w:val="32"/>
    </w:rPr>
  </w:style>
  <w:style w:type="paragraph" w:styleId="Heading2">
    <w:name w:val="heading 2"/>
    <w:basedOn w:val="Normal"/>
    <w:next w:val="Normal"/>
    <w:link w:val="Heading2Char"/>
    <w:uiPriority w:val="9"/>
    <w:unhideWhenUsed/>
    <w:qFormat/>
    <w:rsid w:val="0085726D"/>
    <w:pPr>
      <w:keepNext/>
      <w:keepLines/>
      <w:spacing w:before="160" w:after="120"/>
      <w:ind w:left="360" w:hanging="360"/>
      <w:outlineLvl w:val="1"/>
    </w:pPr>
    <w:rPr>
      <w:rFonts w:eastAsiaTheme="majorEastAsia" w:cstheme="majorBidi"/>
      <w:b/>
      <w:sz w:val="28"/>
      <w:szCs w:val="26"/>
      <w:lang w:val="en-GB"/>
    </w:rPr>
  </w:style>
  <w:style w:type="paragraph" w:styleId="Heading3">
    <w:name w:val="heading 3"/>
    <w:basedOn w:val="Normal"/>
    <w:next w:val="Normal"/>
    <w:link w:val="Heading3Char"/>
    <w:uiPriority w:val="9"/>
    <w:unhideWhenUsed/>
    <w:qFormat/>
    <w:rsid w:val="002459E9"/>
    <w:pPr>
      <w:keepNext/>
      <w:keepLines/>
      <w:spacing w:before="280" w:after="24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semiHidden/>
    <w:unhideWhenUsed/>
    <w:qFormat/>
    <w:rsid w:val="002459E9"/>
    <w:pPr>
      <w:keepNext/>
      <w:keepLines/>
      <w:spacing w:before="160" w:after="1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E57"/>
    <w:rPr>
      <w:rFonts w:ascii="Times New Roman" w:eastAsiaTheme="majorEastAsia" w:hAnsi="Times New Roman" w:cstheme="majorBidi"/>
      <w:b/>
      <w:color w:val="000000" w:themeColor="text1"/>
      <w:sz w:val="96"/>
      <w:szCs w:val="32"/>
    </w:rPr>
  </w:style>
  <w:style w:type="character" w:customStyle="1" w:styleId="Heading2Char">
    <w:name w:val="Heading 2 Char"/>
    <w:basedOn w:val="DefaultParagraphFont"/>
    <w:link w:val="Heading2"/>
    <w:uiPriority w:val="9"/>
    <w:rsid w:val="0085726D"/>
    <w:rPr>
      <w:rFonts w:ascii="Arial" w:eastAsiaTheme="majorEastAsia" w:hAnsi="Arial" w:cstheme="majorBidi"/>
      <w:b/>
      <w:sz w:val="28"/>
      <w:szCs w:val="26"/>
      <w:lang w:val="en-GB"/>
    </w:rPr>
  </w:style>
  <w:style w:type="paragraph" w:styleId="Header">
    <w:name w:val="header"/>
    <w:basedOn w:val="Normal"/>
    <w:link w:val="HeaderChar"/>
    <w:uiPriority w:val="99"/>
    <w:unhideWhenUsed/>
    <w:rsid w:val="007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C0"/>
    <w:rPr>
      <w:rFonts w:ascii="Arial" w:hAnsi="Arial"/>
      <w:sz w:val="24"/>
    </w:rPr>
  </w:style>
  <w:style w:type="paragraph" w:styleId="Footer">
    <w:name w:val="footer"/>
    <w:basedOn w:val="Normal"/>
    <w:link w:val="FooterChar"/>
    <w:uiPriority w:val="99"/>
    <w:unhideWhenUsed/>
    <w:rsid w:val="007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C0"/>
    <w:rPr>
      <w:rFonts w:ascii="Arial" w:hAnsi="Arial"/>
      <w:sz w:val="24"/>
    </w:rPr>
  </w:style>
  <w:style w:type="character" w:styleId="Hyperlink">
    <w:name w:val="Hyperlink"/>
    <w:basedOn w:val="DefaultParagraphFont"/>
    <w:uiPriority w:val="99"/>
    <w:unhideWhenUsed/>
    <w:rsid w:val="007140C0"/>
    <w:rPr>
      <w:color w:val="007838" w:themeColor="hyperlink"/>
      <w:u w:val="single"/>
    </w:rPr>
  </w:style>
  <w:style w:type="character" w:styleId="UnresolvedMention">
    <w:name w:val="Unresolved Mention"/>
    <w:basedOn w:val="DefaultParagraphFont"/>
    <w:uiPriority w:val="99"/>
    <w:semiHidden/>
    <w:unhideWhenUsed/>
    <w:rsid w:val="007140C0"/>
    <w:rPr>
      <w:color w:val="605E5C"/>
      <w:shd w:val="clear" w:color="auto" w:fill="E1DFDD"/>
    </w:rPr>
  </w:style>
  <w:style w:type="character" w:styleId="Strong">
    <w:name w:val="Strong"/>
    <w:basedOn w:val="DefaultParagraphFont"/>
    <w:qFormat/>
    <w:rsid w:val="002459E9"/>
    <w:rPr>
      <w:rFonts w:ascii="Arial" w:hAnsi="Arial"/>
      <w:b/>
      <w:bCs/>
    </w:rPr>
  </w:style>
  <w:style w:type="table" w:styleId="TableGrid">
    <w:name w:val="Table Grid"/>
    <w:basedOn w:val="TableNormal"/>
    <w:uiPriority w:val="39"/>
    <w:rsid w:val="0071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134"/>
    <w:pPr>
      <w:spacing w:before="240" w:after="240"/>
      <w:ind w:left="720"/>
    </w:pPr>
  </w:style>
  <w:style w:type="character" w:customStyle="1" w:styleId="Heading3Char">
    <w:name w:val="Heading 3 Char"/>
    <w:basedOn w:val="DefaultParagraphFont"/>
    <w:link w:val="Heading3"/>
    <w:uiPriority w:val="9"/>
    <w:rsid w:val="002459E9"/>
    <w:rPr>
      <w:rFonts w:ascii="Arial" w:eastAsiaTheme="majorEastAsia" w:hAnsi="Arial" w:cstheme="majorBidi"/>
      <w:b/>
      <w:i/>
      <w:color w:val="000000" w:themeColor="text1"/>
      <w:sz w:val="24"/>
      <w:szCs w:val="24"/>
    </w:rPr>
  </w:style>
  <w:style w:type="table" w:styleId="GridTable1Light">
    <w:name w:val="Grid Table 1 Light"/>
    <w:basedOn w:val="TableNormal"/>
    <w:uiPriority w:val="46"/>
    <w:rsid w:val="00D212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D04E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rsid w:val="001D04E7"/>
    <w:pPr>
      <w:spacing w:after="0" w:line="240" w:lineRule="auto"/>
    </w:pPr>
    <w:tblPr>
      <w:tblStyleRowBandSize w:val="1"/>
      <w:tblStyleColBandSize w:val="1"/>
      <w:tblBorders>
        <w:top w:val="single" w:sz="2" w:space="0" w:color="9553D9" w:themeColor="accent4" w:themeTint="99"/>
        <w:bottom w:val="single" w:sz="2" w:space="0" w:color="9553D9" w:themeColor="accent4" w:themeTint="99"/>
        <w:insideH w:val="single" w:sz="2" w:space="0" w:color="9553D9" w:themeColor="accent4" w:themeTint="99"/>
        <w:insideV w:val="single" w:sz="2" w:space="0" w:color="9553D9" w:themeColor="accent4" w:themeTint="99"/>
      </w:tblBorders>
    </w:tblPr>
    <w:tblStylePr w:type="firstRow">
      <w:rPr>
        <w:b/>
        <w:bCs/>
      </w:rPr>
      <w:tblPr/>
      <w:tcPr>
        <w:tcBorders>
          <w:top w:val="nil"/>
          <w:bottom w:val="single" w:sz="12" w:space="0" w:color="9553D9" w:themeColor="accent4" w:themeTint="99"/>
          <w:insideH w:val="nil"/>
          <w:insideV w:val="nil"/>
        </w:tcBorders>
        <w:shd w:val="clear" w:color="auto" w:fill="FFFFFF" w:themeFill="background1"/>
      </w:tcPr>
    </w:tblStylePr>
    <w:tblStylePr w:type="lastRow">
      <w:rPr>
        <w:b/>
        <w:bCs/>
      </w:rPr>
      <w:tblPr/>
      <w:tcPr>
        <w:tcBorders>
          <w:top w:val="double" w:sz="2" w:space="0" w:color="9553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C5F2" w:themeFill="accent4" w:themeFillTint="33"/>
      </w:tcPr>
    </w:tblStylePr>
    <w:tblStylePr w:type="band1Horz">
      <w:tblPr/>
      <w:tcPr>
        <w:shd w:val="clear" w:color="auto" w:fill="DBC5F2" w:themeFill="accent4" w:themeFillTint="33"/>
      </w:tcPr>
    </w:tblStylePr>
  </w:style>
  <w:style w:type="table" w:styleId="PlainTable1">
    <w:name w:val="Plain Table 1"/>
    <w:basedOn w:val="TableNormal"/>
    <w:uiPriority w:val="41"/>
    <w:rsid w:val="001D04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nseQuote">
    <w:name w:val="Intense Quote"/>
    <w:aliases w:val="Block Quote"/>
    <w:basedOn w:val="Normal"/>
    <w:next w:val="Normal"/>
    <w:link w:val="IntenseQuoteChar"/>
    <w:uiPriority w:val="30"/>
    <w:qFormat/>
    <w:rsid w:val="0039260D"/>
    <w:pPr>
      <w:spacing w:before="360" w:after="360"/>
      <w:ind w:left="864" w:right="864"/>
    </w:pPr>
    <w:rPr>
      <w:i/>
      <w:iCs/>
    </w:rPr>
  </w:style>
  <w:style w:type="character" w:customStyle="1" w:styleId="IntenseQuoteChar">
    <w:name w:val="Intense Quote Char"/>
    <w:aliases w:val="Block Quote Char"/>
    <w:basedOn w:val="DefaultParagraphFont"/>
    <w:link w:val="IntenseQuote"/>
    <w:uiPriority w:val="30"/>
    <w:rsid w:val="0039260D"/>
    <w:rPr>
      <w:rFonts w:ascii="Arial" w:hAnsi="Arial"/>
      <w:i/>
      <w:iCs/>
      <w:sz w:val="24"/>
    </w:rPr>
  </w:style>
  <w:style w:type="paragraph" w:styleId="FootnoteText">
    <w:name w:val="footnote text"/>
    <w:basedOn w:val="Normal"/>
    <w:link w:val="FootnoteTextChar"/>
    <w:uiPriority w:val="99"/>
    <w:semiHidden/>
    <w:unhideWhenUsed/>
    <w:rsid w:val="00BB1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374"/>
    <w:rPr>
      <w:rFonts w:ascii="Arial" w:hAnsi="Arial"/>
      <w:sz w:val="20"/>
      <w:szCs w:val="20"/>
    </w:rPr>
  </w:style>
  <w:style w:type="character" w:styleId="FootnoteReference">
    <w:name w:val="footnote reference"/>
    <w:basedOn w:val="DefaultParagraphFont"/>
    <w:uiPriority w:val="99"/>
    <w:semiHidden/>
    <w:unhideWhenUsed/>
    <w:rsid w:val="00BB1374"/>
    <w:rPr>
      <w:vertAlign w:val="superscript"/>
    </w:rPr>
  </w:style>
  <w:style w:type="paragraph" w:styleId="Quote">
    <w:name w:val="Quote"/>
    <w:basedOn w:val="Normal"/>
    <w:next w:val="Normal"/>
    <w:link w:val="QuoteChar"/>
    <w:uiPriority w:val="29"/>
    <w:qFormat/>
    <w:rsid w:val="003B5AEB"/>
    <w:pPr>
      <w:spacing w:before="200"/>
      <w:ind w:left="864" w:right="864"/>
      <w:jc w:val="center"/>
    </w:pPr>
    <w:rPr>
      <w:i/>
      <w:iCs/>
      <w:color w:val="262626" w:themeColor="text1" w:themeTint="D9"/>
      <w:sz w:val="28"/>
    </w:rPr>
  </w:style>
  <w:style w:type="character" w:customStyle="1" w:styleId="QuoteChar">
    <w:name w:val="Quote Char"/>
    <w:basedOn w:val="DefaultParagraphFont"/>
    <w:link w:val="Quote"/>
    <w:uiPriority w:val="29"/>
    <w:rsid w:val="003B5AEB"/>
    <w:rPr>
      <w:rFonts w:ascii="Arial" w:hAnsi="Arial"/>
      <w:i/>
      <w:iCs/>
      <w:color w:val="262626" w:themeColor="text1" w:themeTint="D9"/>
      <w:sz w:val="28"/>
    </w:rPr>
  </w:style>
  <w:style w:type="character" w:styleId="FollowedHyperlink">
    <w:name w:val="FollowedHyperlink"/>
    <w:basedOn w:val="DefaultParagraphFont"/>
    <w:uiPriority w:val="99"/>
    <w:semiHidden/>
    <w:unhideWhenUsed/>
    <w:rsid w:val="00761561"/>
    <w:rPr>
      <w:color w:val="0057BF" w:themeColor="followedHyperlink"/>
      <w:u w:val="single"/>
    </w:rPr>
  </w:style>
  <w:style w:type="character" w:customStyle="1" w:styleId="cf01">
    <w:name w:val="cf01"/>
    <w:basedOn w:val="DefaultParagraphFont"/>
    <w:rsid w:val="00784989"/>
    <w:rPr>
      <w:rFonts w:ascii="Segoe UI" w:hAnsi="Segoe UI" w:cs="Segoe UI" w:hint="default"/>
      <w:sz w:val="18"/>
      <w:szCs w:val="18"/>
    </w:rPr>
  </w:style>
  <w:style w:type="paragraph" w:styleId="BodyTextIndent">
    <w:name w:val="Body Text Indent"/>
    <w:basedOn w:val="Normal"/>
    <w:link w:val="BodyTextIndentChar"/>
    <w:unhideWhenUsed/>
    <w:rsid w:val="00007BDD"/>
    <w:pPr>
      <w:spacing w:after="0" w:line="360" w:lineRule="auto"/>
      <w:ind w:left="720"/>
    </w:pPr>
    <w:rPr>
      <w:rFonts w:ascii="Frutiger 55 Roman" w:eastAsia="Times New Roman" w:hAnsi="Frutiger 55 Roman" w:cs="Times New Roman"/>
      <w:kern w:val="0"/>
      <w:sz w:val="18"/>
      <w:szCs w:val="24"/>
      <w:lang w:val="en-GB"/>
      <w14:ligatures w14:val="none"/>
    </w:rPr>
  </w:style>
  <w:style w:type="character" w:customStyle="1" w:styleId="BodyTextIndentChar">
    <w:name w:val="Body Text Indent Char"/>
    <w:basedOn w:val="DefaultParagraphFont"/>
    <w:link w:val="BodyTextIndent"/>
    <w:rsid w:val="00007BDD"/>
    <w:rPr>
      <w:rFonts w:ascii="Frutiger 55 Roman" w:eastAsia="Times New Roman" w:hAnsi="Frutiger 55 Roman" w:cs="Times New Roman"/>
      <w:kern w:val="0"/>
      <w:sz w:val="18"/>
      <w:szCs w:val="24"/>
      <w:lang w:val="en-GB"/>
      <w14:ligatures w14:val="none"/>
    </w:rPr>
  </w:style>
  <w:style w:type="paragraph" w:styleId="NoSpacing">
    <w:name w:val="No Spacing"/>
    <w:uiPriority w:val="1"/>
    <w:qFormat/>
    <w:rsid w:val="00252CB2"/>
    <w:pPr>
      <w:spacing w:before="120" w:after="120" w:line="240" w:lineRule="auto"/>
    </w:pPr>
    <w:rPr>
      <w:rFonts w:ascii="Arial" w:eastAsia="Times New Roman" w:hAnsi="Arial" w:cs="Times New Roman"/>
      <w:kern w:val="0"/>
      <w:sz w:val="24"/>
      <w:szCs w:val="24"/>
      <w:lang w:val="en-US"/>
      <w14:ligatures w14:val="none"/>
    </w:rPr>
  </w:style>
  <w:style w:type="paragraph" w:styleId="Subtitle">
    <w:name w:val="Subtitle"/>
    <w:basedOn w:val="Normal"/>
    <w:next w:val="Normal"/>
    <w:link w:val="SubtitleChar"/>
    <w:uiPriority w:val="11"/>
    <w:qFormat/>
    <w:rsid w:val="00D2580E"/>
    <w:pPr>
      <w:numPr>
        <w:ilvl w:val="1"/>
      </w:numPr>
      <w:ind w:right="2835"/>
    </w:pPr>
    <w:rPr>
      <w:rFonts w:eastAsiaTheme="minorEastAsia"/>
      <w:color w:val="000000" w:themeColor="text1"/>
      <w:spacing w:val="15"/>
      <w:sz w:val="40"/>
    </w:rPr>
  </w:style>
  <w:style w:type="character" w:customStyle="1" w:styleId="SubtitleChar">
    <w:name w:val="Subtitle Char"/>
    <w:basedOn w:val="DefaultParagraphFont"/>
    <w:link w:val="Subtitle"/>
    <w:uiPriority w:val="11"/>
    <w:rsid w:val="00D2580E"/>
    <w:rPr>
      <w:rFonts w:ascii="Arial" w:eastAsiaTheme="minorEastAsia" w:hAnsi="Arial"/>
      <w:color w:val="000000" w:themeColor="text1"/>
      <w:spacing w:val="15"/>
      <w:sz w:val="40"/>
    </w:rPr>
  </w:style>
  <w:style w:type="paragraph" w:customStyle="1" w:styleId="WeActivateSignoff">
    <w:name w:val="We Activate Sign off"/>
    <w:basedOn w:val="Normal"/>
    <w:link w:val="WeActivateSignoffChar"/>
    <w:qFormat/>
    <w:rsid w:val="002748C9"/>
    <w:pPr>
      <w:pBdr>
        <w:bottom w:val="single" w:sz="4" w:space="1" w:color="C59A00" w:themeColor="background2"/>
      </w:pBdr>
      <w:spacing w:before="3000" w:after="240" w:line="360" w:lineRule="auto"/>
      <w:ind w:right="6804"/>
    </w:pPr>
  </w:style>
  <w:style w:type="character" w:customStyle="1" w:styleId="WeActivateSignoffChar">
    <w:name w:val="We Activate Sign off Char"/>
    <w:basedOn w:val="DefaultParagraphFont"/>
    <w:link w:val="WeActivateSignoff"/>
    <w:rsid w:val="002748C9"/>
    <w:rPr>
      <w:rFonts w:ascii="Arial" w:hAnsi="Arial"/>
      <w:sz w:val="24"/>
    </w:rPr>
  </w:style>
  <w:style w:type="paragraph" w:styleId="TOC1">
    <w:name w:val="toc 1"/>
    <w:basedOn w:val="Normal"/>
    <w:next w:val="Normal"/>
    <w:autoRedefine/>
    <w:uiPriority w:val="39"/>
    <w:unhideWhenUsed/>
    <w:rsid w:val="006A5A40"/>
    <w:pPr>
      <w:spacing w:after="100"/>
    </w:pPr>
  </w:style>
  <w:style w:type="paragraph" w:styleId="TOC2">
    <w:name w:val="toc 2"/>
    <w:basedOn w:val="Normal"/>
    <w:next w:val="Normal"/>
    <w:autoRedefine/>
    <w:uiPriority w:val="39"/>
    <w:unhideWhenUsed/>
    <w:rsid w:val="006A5A40"/>
    <w:pPr>
      <w:spacing w:after="100"/>
      <w:ind w:left="240"/>
    </w:pPr>
  </w:style>
  <w:style w:type="character" w:styleId="IntenseEmphasis">
    <w:name w:val="Intense Emphasis"/>
    <w:basedOn w:val="DefaultParagraphFont"/>
    <w:uiPriority w:val="21"/>
    <w:qFormat/>
    <w:rsid w:val="002459E9"/>
    <w:rPr>
      <w:rFonts w:ascii="Arial" w:hAnsi="Arial"/>
      <w:i/>
      <w:iCs/>
      <w:color w:val="007838" w:themeColor="accent1"/>
    </w:rPr>
  </w:style>
  <w:style w:type="character" w:customStyle="1" w:styleId="Heading4Char">
    <w:name w:val="Heading 4 Char"/>
    <w:basedOn w:val="DefaultParagraphFont"/>
    <w:link w:val="Heading4"/>
    <w:uiPriority w:val="9"/>
    <w:semiHidden/>
    <w:rsid w:val="002459E9"/>
    <w:rPr>
      <w:rFonts w:ascii="Arial" w:eastAsiaTheme="majorEastAsia" w:hAnsi="Arial" w:cstheme="majorBidi"/>
      <w:i/>
      <w:iCs/>
      <w:color w:val="000000" w:themeColor="text1"/>
      <w:sz w:val="24"/>
    </w:rPr>
  </w:style>
  <w:style w:type="character" w:styleId="SubtleEmphasis">
    <w:name w:val="Subtle Emphasis"/>
    <w:basedOn w:val="DefaultParagraphFont"/>
    <w:uiPriority w:val="19"/>
    <w:qFormat/>
    <w:rsid w:val="002459E9"/>
    <w:rPr>
      <w:rFonts w:ascii="Arial" w:hAnsi="Arial"/>
      <w:i/>
      <w:iCs/>
      <w:color w:val="404040" w:themeColor="text1" w:themeTint="BF"/>
    </w:rPr>
  </w:style>
  <w:style w:type="character" w:styleId="Emphasis">
    <w:name w:val="Emphasis"/>
    <w:basedOn w:val="DefaultParagraphFont"/>
    <w:uiPriority w:val="20"/>
    <w:qFormat/>
    <w:rsid w:val="002459E9"/>
    <w:rPr>
      <w:rFonts w:ascii="Arial" w:hAnsi="Arial"/>
      <w:b/>
      <w:i/>
      <w:iCs/>
    </w:rPr>
  </w:style>
  <w:style w:type="character" w:styleId="SubtleReference">
    <w:name w:val="Subtle Reference"/>
    <w:basedOn w:val="DefaultParagraphFont"/>
    <w:uiPriority w:val="31"/>
    <w:qFormat/>
    <w:rsid w:val="002459E9"/>
    <w:rPr>
      <w:rFonts w:ascii="Arial" w:hAnsi="Arial"/>
      <w:i/>
      <w:smallCaps/>
      <w:color w:val="404040" w:themeColor="text1" w:themeTint="BF"/>
    </w:rPr>
  </w:style>
  <w:style w:type="character" w:styleId="IntenseReference">
    <w:name w:val="Intense Reference"/>
    <w:basedOn w:val="DefaultParagraphFont"/>
    <w:uiPriority w:val="32"/>
    <w:qFormat/>
    <w:rsid w:val="002459E9"/>
    <w:rPr>
      <w:rFonts w:ascii="Arial" w:hAnsi="Arial"/>
      <w:b/>
      <w:bCs/>
      <w:smallCaps/>
      <w:color w:val="007838" w:themeColor="accent1"/>
      <w:spacing w:val="5"/>
    </w:rPr>
  </w:style>
  <w:style w:type="character" w:styleId="BookTitle">
    <w:name w:val="Book Title"/>
    <w:basedOn w:val="DefaultParagraphFont"/>
    <w:uiPriority w:val="33"/>
    <w:qFormat/>
    <w:rsid w:val="002459E9"/>
    <w:rPr>
      <w:rFonts w:ascii="Arial" w:hAnsi="Arial"/>
      <w:b/>
      <w:bCs/>
      <w:i/>
      <w:iCs/>
      <w:spacing w:val="5"/>
    </w:rPr>
  </w:style>
  <w:style w:type="paragraph" w:styleId="Caption">
    <w:name w:val="caption"/>
    <w:basedOn w:val="Normal"/>
    <w:next w:val="Normal"/>
    <w:uiPriority w:val="35"/>
    <w:semiHidden/>
    <w:unhideWhenUsed/>
    <w:qFormat/>
    <w:rsid w:val="00125564"/>
    <w:pPr>
      <w:spacing w:after="200" w:line="240" w:lineRule="auto"/>
    </w:pPr>
    <w:rPr>
      <w:i/>
      <w:iCs/>
      <w:color w:val="3C3C3B" w:themeColor="text2"/>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98292">
      <w:bodyDiv w:val="1"/>
      <w:marLeft w:val="0"/>
      <w:marRight w:val="0"/>
      <w:marTop w:val="0"/>
      <w:marBottom w:val="0"/>
      <w:divBdr>
        <w:top w:val="none" w:sz="0" w:space="0" w:color="auto"/>
        <w:left w:val="none" w:sz="0" w:space="0" w:color="auto"/>
        <w:bottom w:val="none" w:sz="0" w:space="0" w:color="auto"/>
        <w:right w:val="none" w:sz="0" w:space="0" w:color="auto"/>
      </w:divBdr>
    </w:div>
    <w:div w:id="196625604">
      <w:bodyDiv w:val="1"/>
      <w:marLeft w:val="0"/>
      <w:marRight w:val="0"/>
      <w:marTop w:val="0"/>
      <w:marBottom w:val="0"/>
      <w:divBdr>
        <w:top w:val="none" w:sz="0" w:space="0" w:color="auto"/>
        <w:left w:val="none" w:sz="0" w:space="0" w:color="auto"/>
        <w:bottom w:val="none" w:sz="0" w:space="0" w:color="auto"/>
        <w:right w:val="none" w:sz="0" w:space="0" w:color="auto"/>
      </w:divBdr>
    </w:div>
    <w:div w:id="449974521">
      <w:bodyDiv w:val="1"/>
      <w:marLeft w:val="0"/>
      <w:marRight w:val="0"/>
      <w:marTop w:val="0"/>
      <w:marBottom w:val="0"/>
      <w:divBdr>
        <w:top w:val="none" w:sz="0" w:space="0" w:color="auto"/>
        <w:left w:val="none" w:sz="0" w:space="0" w:color="auto"/>
        <w:bottom w:val="none" w:sz="0" w:space="0" w:color="auto"/>
        <w:right w:val="none" w:sz="0" w:space="0" w:color="auto"/>
      </w:divBdr>
    </w:div>
    <w:div w:id="685985688">
      <w:bodyDiv w:val="1"/>
      <w:marLeft w:val="0"/>
      <w:marRight w:val="0"/>
      <w:marTop w:val="0"/>
      <w:marBottom w:val="0"/>
      <w:divBdr>
        <w:top w:val="none" w:sz="0" w:space="0" w:color="auto"/>
        <w:left w:val="none" w:sz="0" w:space="0" w:color="auto"/>
        <w:bottom w:val="none" w:sz="0" w:space="0" w:color="auto"/>
        <w:right w:val="none" w:sz="0" w:space="0" w:color="auto"/>
      </w:divBdr>
    </w:div>
    <w:div w:id="873613425">
      <w:bodyDiv w:val="1"/>
      <w:marLeft w:val="0"/>
      <w:marRight w:val="0"/>
      <w:marTop w:val="0"/>
      <w:marBottom w:val="0"/>
      <w:divBdr>
        <w:top w:val="none" w:sz="0" w:space="0" w:color="auto"/>
        <w:left w:val="none" w:sz="0" w:space="0" w:color="auto"/>
        <w:bottom w:val="none" w:sz="0" w:space="0" w:color="auto"/>
        <w:right w:val="none" w:sz="0" w:space="0" w:color="auto"/>
      </w:divBdr>
    </w:div>
    <w:div w:id="879975252">
      <w:bodyDiv w:val="1"/>
      <w:marLeft w:val="0"/>
      <w:marRight w:val="0"/>
      <w:marTop w:val="0"/>
      <w:marBottom w:val="0"/>
      <w:divBdr>
        <w:top w:val="none" w:sz="0" w:space="0" w:color="auto"/>
        <w:left w:val="none" w:sz="0" w:space="0" w:color="auto"/>
        <w:bottom w:val="none" w:sz="0" w:space="0" w:color="auto"/>
        <w:right w:val="none" w:sz="0" w:space="0" w:color="auto"/>
      </w:divBdr>
    </w:div>
    <w:div w:id="1322582931">
      <w:bodyDiv w:val="1"/>
      <w:marLeft w:val="0"/>
      <w:marRight w:val="0"/>
      <w:marTop w:val="0"/>
      <w:marBottom w:val="0"/>
      <w:divBdr>
        <w:top w:val="none" w:sz="0" w:space="0" w:color="auto"/>
        <w:left w:val="none" w:sz="0" w:space="0" w:color="auto"/>
        <w:bottom w:val="none" w:sz="0" w:space="0" w:color="auto"/>
        <w:right w:val="none" w:sz="0" w:space="0" w:color="auto"/>
      </w:divBdr>
    </w:div>
    <w:div w:id="1510563666">
      <w:bodyDiv w:val="1"/>
      <w:marLeft w:val="0"/>
      <w:marRight w:val="0"/>
      <w:marTop w:val="0"/>
      <w:marBottom w:val="0"/>
      <w:divBdr>
        <w:top w:val="none" w:sz="0" w:space="0" w:color="auto"/>
        <w:left w:val="none" w:sz="0" w:space="0" w:color="auto"/>
        <w:bottom w:val="none" w:sz="0" w:space="0" w:color="auto"/>
        <w:right w:val="none" w:sz="0" w:space="0" w:color="auto"/>
      </w:divBdr>
    </w:div>
    <w:div w:id="1515995475">
      <w:bodyDiv w:val="1"/>
      <w:marLeft w:val="0"/>
      <w:marRight w:val="0"/>
      <w:marTop w:val="0"/>
      <w:marBottom w:val="0"/>
      <w:divBdr>
        <w:top w:val="none" w:sz="0" w:space="0" w:color="auto"/>
        <w:left w:val="none" w:sz="0" w:space="0" w:color="auto"/>
        <w:bottom w:val="none" w:sz="0" w:space="0" w:color="auto"/>
        <w:right w:val="none" w:sz="0" w:space="0" w:color="auto"/>
      </w:divBdr>
    </w:div>
    <w:div w:id="18023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questions-statements.parliament.uk/written-questions/detail/2020-03-09/26808" TargetMode="External"/><Relationship Id="rId26" Type="http://schemas.openxmlformats.org/officeDocument/2006/relationships/hyperlink" Target="https://revolving-doors.org.uk/majority-of-uk-public-believe-rising-poverty-will-lead-to-increase-in-crime-and-this-shouldnt-lead-to-prison/" TargetMode="External"/><Relationship Id="rId3" Type="http://schemas.openxmlformats.org/officeDocument/2006/relationships/customXml" Target="../customXml/item3.xml"/><Relationship Id="rId21" Type="http://schemas.openxmlformats.org/officeDocument/2006/relationships/hyperlink" Target="https://academic.oup.com/bjc/article/59/4/800/523300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ssets.publishing.service.gov.uk/government/uploads/system/uploads/attachment_data/file/278837/prisoners-childhood-family-backgrounds.pdf" TargetMode="External"/><Relationship Id="rId25" Type="http://schemas.openxmlformats.org/officeDocument/2006/relationships/hyperlink" Target="https://www.justiceinspectorates.gov.uk/hmiprobation/research/the-evidence-base-youth-offending-services/specific-types-of-delivery/divers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volving-doors.org.uk/time-to-break-the-school-to-prison-pipeline/" TargetMode="External"/><Relationship Id="rId20" Type="http://schemas.openxmlformats.org/officeDocument/2006/relationships/hyperlink" Target="https://crimetobepoor.org/" TargetMode="External"/><Relationship Id="rId29" Type="http://schemas.openxmlformats.org/officeDocument/2006/relationships/hyperlink" Target="mailto:d.dasgupta@bha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icco.org.uk/userfiles/downloads/5c90a660c3051-executive-summary-web-version.pdf" TargetMode="External"/><Relationship Id="rId23" Type="http://schemas.openxmlformats.org/officeDocument/2006/relationships/hyperlink" Target="https://crimetobepoor.org/" TargetMode="External"/><Relationship Id="rId28" Type="http://schemas.openxmlformats.org/officeDocument/2006/relationships/hyperlink" Target="mailto:j.abramovaite@bham.ac.uk" TargetMode="External"/><Relationship Id="rId10" Type="http://schemas.openxmlformats.org/officeDocument/2006/relationships/endnotes" Target="endnotes.xml"/><Relationship Id="rId19" Type="http://schemas.openxmlformats.org/officeDocument/2006/relationships/hyperlink" Target="https://www.smf.co.uk/press-release-scrap-prison-terms-for-council-tax-debt-says-qc/"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w.nhs.wales/files/aces/the-prisoner-ace-survey/" TargetMode="External"/><Relationship Id="rId22" Type="http://schemas.openxmlformats.org/officeDocument/2006/relationships/hyperlink" Target="https://academic.oup.com/bjc/article/59/4/800/5233006" TargetMode="External"/><Relationship Id="rId27" Type="http://schemas.openxmlformats.org/officeDocument/2006/relationships/hyperlink" Target="mailto:s.bandyopadhyay@bham.ac.uk" TargetMode="External"/><Relationship Id="rId30" Type="http://schemas.openxmlformats.org/officeDocument/2006/relationships/hyperlink" Target="https://crimetobepoor.org/"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yjaj\OneDrive%20-%20University%20of%20Birmingham\QA\Special%20Collections\Special%20Collections%20Policy%20-%20Accessible.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3C3C3B"/>
      </a:dk2>
      <a:lt2>
        <a:srgbClr val="C59A00"/>
      </a:lt2>
      <a:accent1>
        <a:srgbClr val="007838"/>
      </a:accent1>
      <a:accent2>
        <a:srgbClr val="00788E"/>
      </a:accent2>
      <a:accent3>
        <a:srgbClr val="0057BF"/>
      </a:accent3>
      <a:accent4>
        <a:srgbClr val="501D83"/>
      </a:accent4>
      <a:accent5>
        <a:srgbClr val="DB0661"/>
      </a:accent5>
      <a:accent6>
        <a:srgbClr val="CF4527"/>
      </a:accent6>
      <a:hlink>
        <a:srgbClr val="007838"/>
      </a:hlink>
      <a:folHlink>
        <a:srgbClr val="0057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75cec7-7e7c-4052-8797-185a20106aa9" xsi:nil="true"/>
    <lcf76f155ced4ddcb4097134ff3c332f xmlns="41a39341-79ea-44d6-85e4-75c150cb81b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8EA6A78B6EFB4D9985178F3F279F4C" ma:contentTypeVersion="18" ma:contentTypeDescription="Create a new document." ma:contentTypeScope="" ma:versionID="dcad0c5baa66ccf7fdc00f8125d9294f">
  <xsd:schema xmlns:xsd="http://www.w3.org/2001/XMLSchema" xmlns:xs="http://www.w3.org/2001/XMLSchema" xmlns:p="http://schemas.microsoft.com/office/2006/metadata/properties" xmlns:ns2="41a39341-79ea-44d6-85e4-75c150cb81b7" xmlns:ns3="b375cec7-7e7c-4052-8797-185a20106aa9" targetNamespace="http://schemas.microsoft.com/office/2006/metadata/properties" ma:root="true" ma:fieldsID="1931648a65dec171c1df855da6744be3" ns2:_="" ns3:_="">
    <xsd:import namespace="41a39341-79ea-44d6-85e4-75c150cb81b7"/>
    <xsd:import namespace="b375cec7-7e7c-4052-8797-185a20106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341-79ea-44d6-85e4-75c150cb8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5cec7-7e7c-4052-8797-185a20106a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e3114-2252-4770-abc4-52e392dc5334}" ma:internalName="TaxCatchAll" ma:showField="CatchAllData" ma:web="b375cec7-7e7c-4052-8797-185a20106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67B24-3F0B-4981-AA4F-E5C5A669F2CA}">
  <ds:schemaRefs>
    <ds:schemaRef ds:uri="http://schemas.microsoft.com/office/2006/metadata/properties"/>
    <ds:schemaRef ds:uri="http://schemas.microsoft.com/office/infopath/2007/PartnerControls"/>
    <ds:schemaRef ds:uri="b375cec7-7e7c-4052-8797-185a20106aa9"/>
    <ds:schemaRef ds:uri="41a39341-79ea-44d6-85e4-75c150cb81b7"/>
  </ds:schemaRefs>
</ds:datastoreItem>
</file>

<file path=customXml/itemProps2.xml><?xml version="1.0" encoding="utf-8"?>
<ds:datastoreItem xmlns:ds="http://schemas.openxmlformats.org/officeDocument/2006/customXml" ds:itemID="{6707D331-0B62-4934-BE72-D0C03DAE468A}">
  <ds:schemaRefs>
    <ds:schemaRef ds:uri="http://schemas.openxmlformats.org/officeDocument/2006/bibliography"/>
  </ds:schemaRefs>
</ds:datastoreItem>
</file>

<file path=customXml/itemProps3.xml><?xml version="1.0" encoding="utf-8"?>
<ds:datastoreItem xmlns:ds="http://schemas.openxmlformats.org/officeDocument/2006/customXml" ds:itemID="{F3CFDDF9-C10D-4C97-9044-7CF8D6B54C46}">
  <ds:schemaRefs>
    <ds:schemaRef ds:uri="http://schemas.microsoft.com/sharepoint/v3/contenttype/forms"/>
  </ds:schemaRefs>
</ds:datastoreItem>
</file>

<file path=customXml/itemProps4.xml><?xml version="1.0" encoding="utf-8"?>
<ds:datastoreItem xmlns:ds="http://schemas.openxmlformats.org/officeDocument/2006/customXml" ds:itemID="{E035C808-94BC-4283-9DDD-71AECAA3C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341-79ea-44d6-85e4-75c150cb81b7"/>
    <ds:schemaRef ds:uri="b375cec7-7e7c-4052-8797-185a20106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Special Collections Policy - Accessible</Template>
  <TotalTime>4</TotalTime>
  <Pages>2</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Bandyopadhyay, Abramovaite, Dasgupta- Criminalisation of poverty</vt:lpstr>
    </vt:vector>
  </TitlesOfParts>
  <Manager/>
  <Company>University of Birmingham</Company>
  <LinksUpToDate>false</LinksUpToDate>
  <CharactersWithSpaces>7494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Bandyopadhyay, Abramovaite, Dasgupta- Criminalisation of poverty</dc:title>
  <dc:subject/>
  <dc:creator>Nicholas Brown (Social Sciences)</dc:creator>
  <cp:keywords/>
  <dc:description/>
  <cp:lastModifiedBy>Nicholas Brown (Social Sciences)</cp:lastModifiedBy>
  <cp:revision>4</cp:revision>
  <cp:lastPrinted>2024-08-06T09:11:00Z</cp:lastPrinted>
  <dcterms:created xsi:type="dcterms:W3CDTF">2024-07-15T12:44:00Z</dcterms:created>
  <dcterms:modified xsi:type="dcterms:W3CDTF">2024-08-06T09:11:00Z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0x010100968EA6A78B6EFB4D9985178F3F279F4C</vt:lpwstr>
  </property>
  <property fmtid="{D5CDD505-2E9C-101B-9397-08002B2CF9AE}" pid="3" name="MediaServiceImageTags">
    <vt:lpwstr/>
  </property>
</Properties>
</file>