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8EB7F" w14:textId="77777777" w:rsidR="00DD02BA" w:rsidRDefault="007A7699" w:rsidP="00DD02BA">
      <w:pPr>
        <w:rPr>
          <w:rFonts w:ascii="Times New Roman" w:eastAsiaTheme="majorEastAsia" w:hAnsi="Times New Roman" w:cstheme="majorBidi"/>
          <w:b/>
          <w:sz w:val="80"/>
          <w:szCs w:val="80"/>
        </w:rPr>
      </w:pPr>
      <w:bookmarkStart w:id="0" w:name="_Hlk167620042"/>
      <w:bookmarkEnd w:id="0"/>
      <w:r>
        <w:rPr>
          <w:noProof/>
          <w:lang w:val="en-GB" w:eastAsia="en-GB"/>
        </w:rPr>
        <w:drawing>
          <wp:inline distT="0" distB="0" distL="0" distR="0" wp14:anchorId="75D80D4C" wp14:editId="7C83026F">
            <wp:extent cx="2367280" cy="590550"/>
            <wp:effectExtent l="0" t="0" r="0" b="0"/>
            <wp:docPr id="329394129" name="Picture 1"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94129" name="Picture 1" descr="University of Birmingham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7280" cy="590550"/>
                    </a:xfrm>
                    <a:prstGeom prst="rect">
                      <a:avLst/>
                    </a:prstGeom>
                    <a:noFill/>
                    <a:ln>
                      <a:noFill/>
                    </a:ln>
                  </pic:spPr>
                </pic:pic>
              </a:graphicData>
            </a:graphic>
          </wp:inline>
        </w:drawing>
      </w:r>
      <w:r w:rsidR="00DD02BA">
        <w:rPr>
          <w:rFonts w:ascii="Times New Roman" w:eastAsiaTheme="majorEastAsia" w:hAnsi="Times New Roman" w:cstheme="majorBidi"/>
          <w:b/>
          <w:sz w:val="80"/>
          <w:szCs w:val="80"/>
        </w:rPr>
        <w:br/>
      </w:r>
    </w:p>
    <w:p w14:paraId="3C3DFB8D" w14:textId="3109F997" w:rsidR="00DD02BA" w:rsidRPr="00DD02BA" w:rsidRDefault="00DD02BA" w:rsidP="00DD02BA">
      <w:r w:rsidRPr="00DD02BA">
        <w:rPr>
          <w:rFonts w:ascii="Times New Roman" w:eastAsiaTheme="majorEastAsia" w:hAnsi="Times New Roman" w:cstheme="majorBidi"/>
          <w:b/>
          <w:sz w:val="80"/>
          <w:szCs w:val="80"/>
        </w:rPr>
        <w:t xml:space="preserve">Allotments and Well-Being </w:t>
      </w:r>
    </w:p>
    <w:p w14:paraId="22F1CB67" w14:textId="38F22338" w:rsidR="00D2580E" w:rsidRDefault="00DD02BA" w:rsidP="00DD02BA">
      <w:pPr>
        <w:pStyle w:val="Subtitle"/>
        <w:ind w:right="1644"/>
      </w:pPr>
      <w:r w:rsidRPr="00DD02BA">
        <w:t>Findings from a Birmingham Study</w:t>
      </w:r>
    </w:p>
    <w:p w14:paraId="01C9BD87" w14:textId="48828ADF" w:rsidR="00DD02BA" w:rsidRDefault="00DD02BA" w:rsidP="00DD02BA">
      <w:pPr>
        <w:jc w:val="center"/>
      </w:pPr>
      <w:r>
        <w:br/>
      </w:r>
      <w:r>
        <w:rPr>
          <w:noProof/>
          <w:lang w:val="en-GB" w:eastAsia="en-GB"/>
        </w:rPr>
        <w:drawing>
          <wp:inline distT="0" distB="0" distL="0" distR="0" wp14:anchorId="38841095" wp14:editId="4690F9A5">
            <wp:extent cx="4825218" cy="3618914"/>
            <wp:effectExtent l="0" t="0" r="0" b="635"/>
            <wp:docPr id="301824979" name="Picture 1" descr="An allotment with many plant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24979" name="Picture 1" descr="An allotment with many plants and tre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2169" cy="3624127"/>
                    </a:xfrm>
                    <a:prstGeom prst="rect">
                      <a:avLst/>
                    </a:prstGeom>
                  </pic:spPr>
                </pic:pic>
              </a:graphicData>
            </a:graphic>
          </wp:inline>
        </w:drawing>
      </w:r>
    </w:p>
    <w:p w14:paraId="1D690B63" w14:textId="77777777" w:rsidR="00DD02BA" w:rsidRDefault="00DD02BA" w:rsidP="00DD02BA"/>
    <w:p w14:paraId="5CE8B042" w14:textId="63879E32" w:rsidR="00DD02BA" w:rsidRDefault="00DD02BA" w:rsidP="00DD02BA">
      <w:r w:rsidRPr="00DD02BA">
        <w:t xml:space="preserve">Dr. Jon Bloomfield </w:t>
      </w:r>
      <w:r>
        <w:t xml:space="preserve">and </w:t>
      </w:r>
      <w:r w:rsidRPr="00DD02BA">
        <w:t>David Draycott</w:t>
      </w:r>
    </w:p>
    <w:p w14:paraId="17E12FA9" w14:textId="3378834A" w:rsidR="007E40F1" w:rsidRDefault="00DD02BA" w:rsidP="00DD02BA">
      <w:r>
        <w:t>June 2024</w:t>
      </w:r>
    </w:p>
    <w:p w14:paraId="67D7A521" w14:textId="77777777" w:rsidR="00B210DF" w:rsidRDefault="007E40F1" w:rsidP="00DD02BA">
      <w:pPr>
        <w:jc w:val="right"/>
      </w:pPr>
      <w:r>
        <w:rPr>
          <w:rFonts w:cs="Arial"/>
          <w:noProof/>
          <w:lang w:val="en-GB" w:eastAsia="en-GB"/>
        </w:rPr>
        <w:drawing>
          <wp:inline distT="0" distB="0" distL="0" distR="0" wp14:anchorId="490156D5" wp14:editId="73CACFFC">
            <wp:extent cx="1580483" cy="889000"/>
            <wp:effectExtent l="0" t="0" r="0" b="0"/>
            <wp:docPr id="241895610" name="Picture 1" descr="A yellow line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95610" name="Picture 1" descr="A yellow line on a black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8115" cy="932667"/>
                    </a:xfrm>
                    <a:prstGeom prst="rect">
                      <a:avLst/>
                    </a:prstGeom>
                  </pic:spPr>
                </pic:pic>
              </a:graphicData>
            </a:graphic>
          </wp:inline>
        </w:drawing>
      </w:r>
      <w:r w:rsidR="00B210DF">
        <w:br w:type="page"/>
      </w:r>
    </w:p>
    <w:p w14:paraId="23E7E77B" w14:textId="4BDA3788" w:rsidR="00D057CF" w:rsidRDefault="00D057CF">
      <w:pPr>
        <w:rPr>
          <w:rFonts w:ascii="Calibri" w:eastAsia="Calibri" w:hAnsi="Calibri" w:cs="Times New Roman"/>
          <w:sz w:val="22"/>
          <w:lang w:val="en-GB"/>
        </w:rPr>
      </w:pPr>
      <w:r>
        <w:rPr>
          <w:noProof/>
          <w:lang w:val="en-GB" w:eastAsia="en-GB"/>
        </w:rPr>
        <w:lastRenderedPageBreak/>
        <w:drawing>
          <wp:inline distT="0" distB="0" distL="0" distR="0" wp14:anchorId="0D913EF1" wp14:editId="3F8DE2ED">
            <wp:extent cx="5855110" cy="7806814"/>
            <wp:effectExtent l="0" t="0" r="0" b="3810"/>
            <wp:docPr id="1451974015" name="Picture 2" descr="An allotment with plant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74015" name="Picture 2" descr="An allotment with plants and tre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5014" cy="7846686"/>
                    </a:xfrm>
                    <a:prstGeom prst="rect">
                      <a:avLst/>
                    </a:prstGeom>
                  </pic:spPr>
                </pic:pic>
              </a:graphicData>
            </a:graphic>
          </wp:inline>
        </w:drawing>
      </w:r>
      <w:r>
        <w:rPr>
          <w:rFonts w:ascii="Calibri" w:eastAsia="Calibri" w:hAnsi="Calibri" w:cs="Times New Roman"/>
          <w:sz w:val="22"/>
          <w:lang w:val="en-GB"/>
        </w:rPr>
        <w:br w:type="page"/>
      </w:r>
    </w:p>
    <w:p w14:paraId="3082B962" w14:textId="559A84DD" w:rsidR="00DD02BA" w:rsidRPr="00DD02BA" w:rsidRDefault="00DD02BA" w:rsidP="00DD02BA">
      <w:pPr>
        <w:spacing w:after="200" w:line="276" w:lineRule="auto"/>
        <w:rPr>
          <w:rFonts w:ascii="Calibri" w:eastAsia="Times New Roman" w:hAnsi="Calibri" w:cs="Calibri"/>
          <w:color w:val="000000"/>
          <w:kern w:val="0"/>
          <w:sz w:val="22"/>
          <w:lang w:val="en-GB" w:eastAsia="en-GB"/>
          <w14:ligatures w14:val="none"/>
        </w:rPr>
      </w:pPr>
      <w:r w:rsidRPr="00DD02BA">
        <w:rPr>
          <w:rFonts w:ascii="Calibri" w:eastAsia="Calibri" w:hAnsi="Calibri" w:cs="Times New Roman"/>
          <w:sz w:val="22"/>
          <w:lang w:val="en-GB"/>
        </w:rPr>
        <w:lastRenderedPageBreak/>
        <w:t xml:space="preserve">Allotments have been an under-stated feature of Britain’s urban life for many decades. After years of slow decline there are now signs of growth </w:t>
      </w:r>
      <w:r w:rsidRPr="00DD02BA">
        <w:rPr>
          <w:rFonts w:ascii="Calibri" w:eastAsia="Times New Roman" w:hAnsi="Calibri" w:cs="Calibri"/>
          <w:color w:val="000000"/>
          <w:kern w:val="0"/>
          <w:sz w:val="22"/>
          <w:lang w:val="en-GB" w:eastAsia="en-GB"/>
          <w14:ligatures w14:val="none"/>
        </w:rPr>
        <w:t xml:space="preserve">across the UK. Waiting lists for plots are rising as the climate crisis and a growing recognition of the importance of the environment and nature sparks </w:t>
      </w:r>
      <w:r w:rsidR="00BB4E40" w:rsidRPr="00DD02BA">
        <w:rPr>
          <w:rFonts w:ascii="Calibri" w:eastAsia="Times New Roman" w:hAnsi="Calibri" w:cs="Calibri"/>
          <w:color w:val="000000"/>
          <w:kern w:val="0"/>
          <w:sz w:val="22"/>
          <w:lang w:val="en-GB" w:eastAsia="en-GB"/>
          <w14:ligatures w14:val="none"/>
        </w:rPr>
        <w:t>a revival</w:t>
      </w:r>
      <w:r w:rsidRPr="00DD02BA">
        <w:rPr>
          <w:rFonts w:ascii="Calibri" w:eastAsia="Times New Roman" w:hAnsi="Calibri" w:cs="Calibri"/>
          <w:color w:val="000000"/>
          <w:kern w:val="0"/>
          <w:sz w:val="22"/>
          <w:lang w:val="en-GB" w:eastAsia="en-GB"/>
          <w14:ligatures w14:val="none"/>
        </w:rPr>
        <w:t xml:space="preserve"> of interest. Yet little research on current plot-holders has been undertaken. </w:t>
      </w:r>
    </w:p>
    <w:p w14:paraId="220EA557" w14:textId="689FDB49" w:rsidR="00DD02BA" w:rsidRPr="00DD02BA" w:rsidRDefault="00DD02BA" w:rsidP="00DD02BA">
      <w:pPr>
        <w:keepNext/>
        <w:keepLines/>
        <w:spacing w:before="40" w:after="0" w:line="276" w:lineRule="auto"/>
        <w:outlineLvl w:val="1"/>
        <w:rPr>
          <w:rFonts w:ascii="Calibri" w:eastAsia="Times New Roman" w:hAnsi="Calibri" w:cs="Calibri"/>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 xml:space="preserve">To rectify this, </w:t>
      </w:r>
      <w:r w:rsidR="00452906" w:rsidRPr="00452906">
        <w:rPr>
          <w:rFonts w:asciiTheme="minorHAnsi" w:hAnsiTheme="minorHAnsi" w:cstheme="minorHAnsi"/>
          <w:iCs/>
          <w:sz w:val="22"/>
        </w:rPr>
        <w:t>the Institute of Local Government Studies (Inlogov) at</w:t>
      </w:r>
      <w:r w:rsidR="00452906">
        <w:rPr>
          <w:sz w:val="22"/>
        </w:rPr>
        <w:t xml:space="preserve"> </w:t>
      </w:r>
      <w:r w:rsidRPr="00DD02BA">
        <w:rPr>
          <w:rFonts w:ascii="Calibri" w:eastAsia="Times New Roman" w:hAnsi="Calibri" w:cs="Calibri"/>
          <w:color w:val="000000"/>
          <w:kern w:val="0"/>
          <w:sz w:val="22"/>
          <w:lang w:val="en-GB" w:eastAsia="en-GB"/>
          <w14:ligatures w14:val="none"/>
        </w:rPr>
        <w:t>the</w:t>
      </w:r>
      <w:r w:rsidR="00452906">
        <w:rPr>
          <w:rFonts w:ascii="Calibri" w:eastAsia="Times New Roman" w:hAnsi="Calibri" w:cs="Calibri"/>
          <w:color w:val="000000"/>
          <w:kern w:val="0"/>
          <w:sz w:val="22"/>
          <w:lang w:val="en-GB" w:eastAsia="en-GB"/>
          <w14:ligatures w14:val="none"/>
        </w:rPr>
        <w:t xml:space="preserve"> </w:t>
      </w:r>
      <w:r w:rsidRPr="00DD02BA">
        <w:rPr>
          <w:rFonts w:ascii="Calibri" w:eastAsia="Times New Roman" w:hAnsi="Calibri" w:cs="Calibri"/>
          <w:color w:val="000000"/>
          <w:kern w:val="0"/>
          <w:sz w:val="22"/>
          <w:lang w:val="en-GB" w:eastAsia="en-GB"/>
          <w14:ligatures w14:val="none"/>
        </w:rPr>
        <w:t>University of Birmingham organised a study that collected information directly from allotment users and site secretaries in partnership with the Birmingham District Allotments Confederation (BDAC). The study focused on the Birmingham allotment estate that provides plots across 113 sites in the city.</w:t>
      </w:r>
      <w:r w:rsidRPr="00DD02BA">
        <w:rPr>
          <w:rFonts w:ascii="Calibri" w:eastAsia="Times New Roman" w:hAnsi="Calibri" w:cs="Calibri"/>
          <w:color w:val="FF0000"/>
          <w:kern w:val="0"/>
          <w:sz w:val="22"/>
          <w:lang w:val="en-GB" w:eastAsia="en-GB"/>
          <w14:ligatures w14:val="none"/>
        </w:rPr>
        <w:t xml:space="preserve"> </w:t>
      </w:r>
      <w:r w:rsidRPr="00DD02BA">
        <w:rPr>
          <w:rFonts w:ascii="Calibri" w:eastAsia="Times New Roman" w:hAnsi="Calibri" w:cs="Calibri"/>
          <w:kern w:val="0"/>
          <w:sz w:val="22"/>
          <w:lang w:val="en-GB" w:eastAsia="en-GB"/>
          <w14:ligatures w14:val="none"/>
        </w:rPr>
        <w:t>H</w:t>
      </w:r>
      <w:r w:rsidRPr="00DD02BA">
        <w:rPr>
          <w:rFonts w:ascii="Calibri" w:eastAsia="Times New Roman" w:hAnsi="Calibri" w:cs="Calibri"/>
          <w:color w:val="000000"/>
          <w:kern w:val="0"/>
          <w:sz w:val="22"/>
          <w:lang w:val="en-GB" w:eastAsia="en-GB"/>
          <w14:ligatures w14:val="none"/>
        </w:rPr>
        <w:t xml:space="preserve">osted on the BDAC website and open to all plot-holders in the city, </w:t>
      </w:r>
      <w:r w:rsidRPr="00DD02BA">
        <w:rPr>
          <w:rFonts w:ascii="Calibri" w:eastAsia="Times New Roman" w:hAnsi="Calibri" w:cs="Calibri"/>
          <w:kern w:val="0"/>
          <w:sz w:val="22"/>
          <w:lang w:val="en-GB" w:eastAsia="en-GB"/>
          <w14:ligatures w14:val="none"/>
        </w:rPr>
        <w:t xml:space="preserve">876 valid forms were completed, which represented 14% of current plot-holders. Along with secretaries’ returns from fifty sites and a range of interviews the study enabled the authors to compile a wide-ranging picture of allotment life in today’s Birmingham. </w:t>
      </w:r>
    </w:p>
    <w:p w14:paraId="26E9D20C" w14:textId="77777777" w:rsidR="00DD02BA" w:rsidRPr="00DD02BA" w:rsidRDefault="00DD02BA" w:rsidP="00DD02BA">
      <w:pPr>
        <w:keepNext/>
        <w:keepLines/>
        <w:spacing w:before="40" w:after="0" w:line="276" w:lineRule="auto"/>
        <w:outlineLvl w:val="1"/>
        <w:rPr>
          <w:rFonts w:ascii="Calibri" w:eastAsia="Times New Roman" w:hAnsi="Calibri" w:cs="Calibri"/>
          <w:color w:val="000000"/>
          <w:kern w:val="0"/>
          <w:sz w:val="22"/>
          <w:lang w:val="en-GB" w:eastAsia="en-GB"/>
          <w14:ligatures w14:val="none"/>
        </w:rPr>
      </w:pPr>
    </w:p>
    <w:p w14:paraId="732BEF39" w14:textId="77777777" w:rsidR="00DD02BA" w:rsidRPr="00DD02BA" w:rsidRDefault="00DD02BA" w:rsidP="00DD02BA">
      <w:pPr>
        <w:pStyle w:val="Heading2"/>
        <w:rPr>
          <w:rFonts w:eastAsia="Times New Roman"/>
          <w:lang w:eastAsia="en-GB"/>
        </w:rPr>
      </w:pPr>
      <w:r w:rsidRPr="00DD02BA">
        <w:rPr>
          <w:rFonts w:eastAsia="Times New Roman"/>
          <w:lang w:eastAsia="en-GB"/>
        </w:rPr>
        <w:t>What did we find?</w:t>
      </w:r>
    </w:p>
    <w:p w14:paraId="4F236B6A" w14:textId="77777777" w:rsidR="00DD02BA" w:rsidRPr="00DD02BA" w:rsidRDefault="00DD02BA" w:rsidP="00DD02BA">
      <w:pPr>
        <w:pStyle w:val="Heading3"/>
        <w:rPr>
          <w:rFonts w:eastAsia="Times New Roman"/>
        </w:rPr>
      </w:pPr>
      <w:r w:rsidRPr="00DD02BA">
        <w:rPr>
          <w:rFonts w:eastAsia="Times New Roman"/>
        </w:rPr>
        <w:t xml:space="preserve">The Changing Face of Plot-holders     </w:t>
      </w:r>
    </w:p>
    <w:p w14:paraId="1CDC91E9" w14:textId="10184683" w:rsidR="00DD02BA" w:rsidRPr="00DD02BA" w:rsidRDefault="00DD02BA" w:rsidP="00DD02BA">
      <w:pPr>
        <w:spacing w:after="200" w:line="276" w:lineRule="auto"/>
        <w:rPr>
          <w:rFonts w:ascii="Calibri" w:eastAsia="Times New Roman" w:hAnsi="Calibri" w:cs="Calibri"/>
          <w:sz w:val="22"/>
          <w:lang w:val="en-GB"/>
        </w:rPr>
      </w:pPr>
      <w:r w:rsidRPr="00DD02BA">
        <w:rPr>
          <w:rFonts w:ascii="Calibri" w:eastAsia="Times New Roman" w:hAnsi="Calibri" w:cs="Calibri"/>
          <w:sz w:val="22"/>
          <w:lang w:val="en-GB"/>
        </w:rPr>
        <w:t xml:space="preserve">The standard image of allotment holders has been of a stable, elderly male population. Yet this Birmingham study shows that allotments are in a process of profound change. Firstly, allotments are no longer a man’s world. On our returns, women have edged marginally ahead of men with more tenancies now held by women, 50%:49%. Secondly, there is a growing spread of ages. While 50% of plot-holders are 65 years or older, a fifth are between 30-49 years old with almost 30% aged between 50 -64. The only category with negligible involvement </w:t>
      </w:r>
      <w:r w:rsidR="00BB4E40" w:rsidRPr="00DD02BA">
        <w:rPr>
          <w:rFonts w:ascii="Calibri" w:eastAsia="Times New Roman" w:hAnsi="Calibri" w:cs="Calibri"/>
          <w:sz w:val="22"/>
          <w:lang w:val="en-GB"/>
        </w:rPr>
        <w:t>is</w:t>
      </w:r>
      <w:r w:rsidRPr="00DD02BA">
        <w:rPr>
          <w:rFonts w:ascii="Calibri" w:eastAsia="Times New Roman" w:hAnsi="Calibri" w:cs="Calibri"/>
          <w:sz w:val="22"/>
          <w:lang w:val="en-GB"/>
        </w:rPr>
        <w:t xml:space="preserve"> the under 30s at 2%. </w:t>
      </w:r>
      <w:r w:rsidR="00BB4E40" w:rsidRPr="00DD02BA">
        <w:rPr>
          <w:rFonts w:ascii="Calibri" w:eastAsia="Times New Roman" w:hAnsi="Calibri" w:cs="Calibri"/>
          <w:sz w:val="22"/>
          <w:lang w:val="en-GB"/>
        </w:rPr>
        <w:t>Also,</w:t>
      </w:r>
      <w:r w:rsidRPr="00DD02BA">
        <w:rPr>
          <w:rFonts w:ascii="Calibri" w:eastAsia="Times New Roman" w:hAnsi="Calibri" w:cs="Calibri"/>
          <w:sz w:val="22"/>
          <w:lang w:val="en-GB"/>
        </w:rPr>
        <w:t xml:space="preserve"> more people with office jobs or a professional background are involved along with growing ethnic diversity. </w:t>
      </w:r>
    </w:p>
    <w:p w14:paraId="54D6474C" w14:textId="77777777" w:rsidR="00DD02BA" w:rsidRPr="00DD02BA" w:rsidRDefault="00DD02BA" w:rsidP="00DD02BA">
      <w:pPr>
        <w:spacing w:after="200" w:line="276" w:lineRule="auto"/>
        <w:rPr>
          <w:rFonts w:ascii="Calibri" w:eastAsia="Times New Roman" w:hAnsi="Calibri" w:cs="Calibri"/>
          <w:color w:val="000000"/>
          <w:sz w:val="22"/>
          <w:lang w:val="en-GB"/>
        </w:rPr>
      </w:pPr>
      <w:r w:rsidRPr="00DD02BA">
        <w:rPr>
          <w:rFonts w:ascii="Calibri" w:eastAsia="Times New Roman" w:hAnsi="Calibri" w:cs="Calibri"/>
          <w:color w:val="000000"/>
          <w:sz w:val="22"/>
          <w:lang w:val="en-GB"/>
        </w:rPr>
        <w:t xml:space="preserve">There is also a clear shift away from the operation of the standard size 250 sq. metre plot. Many sites encourage new tenants to take up half rather than full plots or have introduced more flexible plot sizes.  On the latest figures there are now 1851 half-plot tenancies in the city nearly 30% of the total, while in addition there are now 278 mini-plots and 60 raised beds particularly suited to people with disabilities. As one branch secretary explained, “there is no longer a one size fits all policy. We’re becoming much more flexible.” This flexibility helps older plot-holders too. </w:t>
      </w:r>
    </w:p>
    <w:tbl>
      <w:tblPr>
        <w:tblStyle w:val="TableGrid1"/>
        <w:tblW w:w="0" w:type="auto"/>
        <w:tblLook w:val="04A0" w:firstRow="1" w:lastRow="0" w:firstColumn="1" w:lastColumn="0" w:noHBand="0" w:noVBand="1"/>
      </w:tblPr>
      <w:tblGrid>
        <w:gridCol w:w="9016"/>
      </w:tblGrid>
      <w:tr w:rsidR="00DD02BA" w:rsidRPr="00DD02BA" w14:paraId="56A552CA" w14:textId="77777777" w:rsidTr="00D35ACE">
        <w:tc>
          <w:tcPr>
            <w:tcW w:w="9016" w:type="dxa"/>
          </w:tcPr>
          <w:p w14:paraId="3B7A1C88" w14:textId="507ED3A6" w:rsidR="00DD02BA" w:rsidRPr="00DD02BA" w:rsidRDefault="00DD02BA" w:rsidP="00DD02BA">
            <w:pPr>
              <w:spacing w:after="200" w:line="276" w:lineRule="auto"/>
              <w:rPr>
                <w:rFonts w:ascii="Calibri" w:eastAsia="Times New Roman" w:hAnsi="Calibri" w:cs="Calibri"/>
                <w:color w:val="000000"/>
                <w:sz w:val="22"/>
              </w:rPr>
            </w:pPr>
            <w:r w:rsidRPr="00DD02BA">
              <w:rPr>
                <w:rFonts w:ascii="Calibri" w:eastAsia="Times New Roman" w:hAnsi="Calibri" w:cs="Calibri"/>
                <w:color w:val="000000"/>
                <w:sz w:val="22"/>
              </w:rPr>
              <w:t xml:space="preserve">“I really love growing vegetables and spuds. But after thirty years a whole plot is getting too much for me. My back’s going and I can’t take it. </w:t>
            </w:r>
            <w:r w:rsidR="00BB4E40" w:rsidRPr="00DD02BA">
              <w:rPr>
                <w:rFonts w:ascii="Calibri" w:eastAsia="Times New Roman" w:hAnsi="Calibri" w:cs="Calibri"/>
                <w:color w:val="000000"/>
                <w:sz w:val="22"/>
              </w:rPr>
              <w:t>So,</w:t>
            </w:r>
            <w:r w:rsidRPr="00DD02BA">
              <w:rPr>
                <w:rFonts w:ascii="Calibri" w:eastAsia="Times New Roman" w:hAnsi="Calibri" w:cs="Calibri"/>
                <w:color w:val="000000"/>
                <w:sz w:val="22"/>
              </w:rPr>
              <w:t xml:space="preserve"> I’m cutting out the spuds and last autumn I went down to a half plot. That’ll be enough for me now.” </w:t>
            </w:r>
            <w:r w:rsidRPr="00DD02BA">
              <w:rPr>
                <w:rFonts w:ascii="Calibri" w:eastAsia="Times New Roman" w:hAnsi="Calibri" w:cs="Calibri"/>
                <w:color w:val="000000"/>
                <w:sz w:val="22"/>
              </w:rPr>
              <w:br/>
              <w:t>Dave.</w:t>
            </w:r>
          </w:p>
        </w:tc>
      </w:tr>
    </w:tbl>
    <w:p w14:paraId="1F65F0DE" w14:textId="77777777" w:rsidR="00DD02BA" w:rsidRPr="00DD02BA" w:rsidRDefault="00DD02BA" w:rsidP="00DD02BA">
      <w:pPr>
        <w:spacing w:after="200" w:line="276" w:lineRule="auto"/>
        <w:ind w:left="720"/>
        <w:contextualSpacing/>
        <w:rPr>
          <w:rFonts w:ascii="Calibri" w:eastAsia="Times New Roman" w:hAnsi="Calibri" w:cs="Calibri"/>
          <w:b/>
          <w:color w:val="000000"/>
          <w:sz w:val="22"/>
          <w:lang w:val="en-GB"/>
        </w:rPr>
      </w:pPr>
    </w:p>
    <w:p w14:paraId="24D63431" w14:textId="77777777" w:rsidR="00DD02BA" w:rsidRPr="00DD02BA" w:rsidRDefault="00DD02BA" w:rsidP="00DD02BA">
      <w:pPr>
        <w:pStyle w:val="Heading4"/>
      </w:pPr>
      <w:r w:rsidRPr="00DD02BA">
        <w:lastRenderedPageBreak/>
        <w:t>Crops Harvested</w:t>
      </w:r>
    </w:p>
    <w:p w14:paraId="489CF07A" w14:textId="03A46795" w:rsidR="00DD02BA" w:rsidRPr="00DD02BA" w:rsidRDefault="00DD02BA" w:rsidP="00DD02BA">
      <w:pPr>
        <w:spacing w:after="200" w:line="276" w:lineRule="auto"/>
        <w:rPr>
          <w:rFonts w:ascii="Calibri" w:eastAsia="Times New Roman" w:hAnsi="Calibri" w:cs="Calibri"/>
          <w:color w:val="000000"/>
          <w:sz w:val="22"/>
          <w:lang w:val="en-GB"/>
        </w:rPr>
      </w:pPr>
      <w:r w:rsidRPr="00DD02BA">
        <w:rPr>
          <w:rFonts w:ascii="Calibri" w:eastAsia="Times New Roman" w:hAnsi="Calibri" w:cs="Calibri"/>
          <w:color w:val="000000"/>
          <w:sz w:val="22"/>
          <w:lang w:val="en-GB"/>
        </w:rPr>
        <w:t xml:space="preserve">Most plot-holders see their allotment as a serious commitment. It’s a substantial leisure activity. During the main growing months - spring, </w:t>
      </w:r>
      <w:r w:rsidR="00BB4E40" w:rsidRPr="00DD02BA">
        <w:rPr>
          <w:rFonts w:ascii="Calibri" w:eastAsia="Times New Roman" w:hAnsi="Calibri" w:cs="Calibri"/>
          <w:color w:val="000000"/>
          <w:sz w:val="22"/>
          <w:lang w:val="en-GB"/>
        </w:rPr>
        <w:t>summer,</w:t>
      </w:r>
      <w:r w:rsidRPr="00DD02BA">
        <w:rPr>
          <w:rFonts w:ascii="Calibri" w:eastAsia="Times New Roman" w:hAnsi="Calibri" w:cs="Calibri"/>
          <w:color w:val="000000"/>
          <w:sz w:val="22"/>
          <w:lang w:val="en-GB"/>
        </w:rPr>
        <w:t xml:space="preserve"> and early autumn - three-quarters of plot-holders go to their plot at least 3-4 times a week and grow a wide variety of crops.</w:t>
      </w:r>
    </w:p>
    <w:p w14:paraId="47C24665" w14:textId="77777777" w:rsidR="00DD02BA" w:rsidRPr="00DD02BA" w:rsidRDefault="00DD02BA" w:rsidP="00DD02BA">
      <w:pPr>
        <w:spacing w:after="200" w:line="276" w:lineRule="auto"/>
        <w:rPr>
          <w:rFonts w:ascii="Calibri" w:eastAsia="Calibri" w:hAnsi="Calibri" w:cs="Times New Roman"/>
          <w:kern w:val="0"/>
          <w:sz w:val="22"/>
          <w:lang w:val="en-GB"/>
          <w14:ligatures w14:val="none"/>
        </w:rPr>
      </w:pPr>
    </w:p>
    <w:p w14:paraId="031374E0" w14:textId="6F1E4934" w:rsidR="00DD02BA" w:rsidRPr="00DD02BA" w:rsidRDefault="00DD02BA" w:rsidP="00BB4E40">
      <w:pPr>
        <w:spacing w:after="0" w:line="240" w:lineRule="auto"/>
        <w:jc w:val="center"/>
        <w:rPr>
          <w:rFonts w:ascii="Calibri" w:eastAsia="Calibri" w:hAnsi="Calibri" w:cs="Times New Roman"/>
          <w:b/>
          <w:bCs/>
          <w:sz w:val="22"/>
          <w:lang w:val="en-GB"/>
        </w:rPr>
      </w:pPr>
      <w:r w:rsidRPr="00DD02BA">
        <w:rPr>
          <w:rFonts w:ascii="Calibri" w:eastAsia="Calibri" w:hAnsi="Calibri" w:cs="Times New Roman"/>
          <w:b/>
          <w:bCs/>
          <w:sz w:val="22"/>
          <w:lang w:val="en-GB"/>
        </w:rPr>
        <w:t>Figure 1</w:t>
      </w:r>
      <w:r w:rsidR="00BB4E40">
        <w:rPr>
          <w:rFonts w:ascii="Calibri" w:eastAsia="Calibri" w:hAnsi="Calibri" w:cs="Times New Roman"/>
          <w:b/>
          <w:bCs/>
          <w:sz w:val="22"/>
          <w:lang w:val="en-GB"/>
        </w:rPr>
        <w:t>:</w:t>
      </w:r>
      <w:r w:rsidRPr="00DD02BA">
        <w:rPr>
          <w:rFonts w:ascii="Calibri" w:eastAsia="Calibri" w:hAnsi="Calibri" w:cs="Times New Roman"/>
          <w:b/>
          <w:bCs/>
          <w:sz w:val="22"/>
          <w:lang w:val="en-GB"/>
        </w:rPr>
        <w:t xml:space="preserve"> </w:t>
      </w:r>
      <w:r w:rsidR="00BB4E40">
        <w:rPr>
          <w:rFonts w:ascii="Calibri" w:eastAsia="Calibri" w:hAnsi="Calibri" w:cs="Times New Roman"/>
          <w:b/>
          <w:bCs/>
          <w:sz w:val="22"/>
          <w:lang w:val="en-GB"/>
        </w:rPr>
        <w:t xml:space="preserve"> </w:t>
      </w:r>
      <w:r w:rsidRPr="00DD02BA">
        <w:rPr>
          <w:rFonts w:ascii="Calibri" w:eastAsia="Calibri" w:hAnsi="Calibri" w:cs="Times New Roman"/>
          <w:b/>
          <w:bCs/>
          <w:sz w:val="22"/>
          <w:lang w:val="en-GB"/>
        </w:rPr>
        <w:t>How often do you go to the plot in summer?</w:t>
      </w:r>
      <w:r w:rsidR="00BB4E40">
        <w:rPr>
          <w:rFonts w:ascii="Calibri" w:eastAsia="Calibri" w:hAnsi="Calibri" w:cs="Times New Roman"/>
          <w:b/>
          <w:bCs/>
          <w:sz w:val="22"/>
          <w:lang w:val="en-GB"/>
        </w:rPr>
        <w:br/>
      </w:r>
    </w:p>
    <w:tbl>
      <w:tblPr>
        <w:tblW w:w="7808" w:type="dxa"/>
        <w:tblInd w:w="108" w:type="dxa"/>
        <w:tblLook w:val="04A0" w:firstRow="1" w:lastRow="0" w:firstColumn="1" w:lastColumn="0" w:noHBand="0" w:noVBand="1"/>
      </w:tblPr>
      <w:tblGrid>
        <w:gridCol w:w="1176"/>
        <w:gridCol w:w="976"/>
        <w:gridCol w:w="976"/>
        <w:gridCol w:w="976"/>
        <w:gridCol w:w="976"/>
        <w:gridCol w:w="976"/>
        <w:gridCol w:w="976"/>
        <w:gridCol w:w="976"/>
      </w:tblGrid>
      <w:tr w:rsidR="00DD02BA" w:rsidRPr="00DD02BA" w14:paraId="12382C04" w14:textId="77777777" w:rsidTr="00D35ACE">
        <w:trPr>
          <w:trHeight w:val="288"/>
        </w:trPr>
        <w:tc>
          <w:tcPr>
            <w:tcW w:w="976" w:type="dxa"/>
            <w:tcBorders>
              <w:top w:val="nil"/>
              <w:left w:val="nil"/>
              <w:bottom w:val="nil"/>
              <w:right w:val="nil"/>
            </w:tcBorders>
            <w:shd w:val="clear" w:color="auto" w:fill="auto"/>
            <w:noWrap/>
            <w:vAlign w:val="bottom"/>
            <w:hideMark/>
          </w:tcPr>
          <w:p w14:paraId="1C77633C"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noProof/>
                <w:color w:val="000000"/>
                <w:kern w:val="0"/>
                <w:sz w:val="22"/>
                <w:lang w:val="en-GB" w:eastAsia="en-GB"/>
                <w14:ligatures w14:val="none"/>
              </w:rPr>
              <w:drawing>
                <wp:anchor distT="0" distB="0" distL="114300" distR="114300" simplePos="0" relativeHeight="251659264" behindDoc="0" locked="0" layoutInCell="1" allowOverlap="1" wp14:anchorId="573E2184" wp14:editId="18577B0F">
                  <wp:simplePos x="0" y="0"/>
                  <wp:positionH relativeFrom="column">
                    <wp:posOffset>22860</wp:posOffset>
                  </wp:positionH>
                  <wp:positionV relativeFrom="paragraph">
                    <wp:posOffset>-15240</wp:posOffset>
                  </wp:positionV>
                  <wp:extent cx="4587240" cy="2758440"/>
                  <wp:effectExtent l="0" t="0" r="3810" b="3810"/>
                  <wp:wrapNone/>
                  <wp:docPr id="8" name="Chart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D02BA" w:rsidRPr="00DD02BA" w14:paraId="0603E33F" w14:textId="77777777" w:rsidTr="00D35ACE">
              <w:trPr>
                <w:trHeight w:val="288"/>
                <w:tblCellSpacing w:w="0" w:type="dxa"/>
              </w:trPr>
              <w:tc>
                <w:tcPr>
                  <w:tcW w:w="960" w:type="dxa"/>
                  <w:tcBorders>
                    <w:top w:val="nil"/>
                    <w:left w:val="nil"/>
                    <w:bottom w:val="nil"/>
                    <w:right w:val="nil"/>
                  </w:tcBorders>
                  <w:shd w:val="clear" w:color="auto" w:fill="auto"/>
                  <w:noWrap/>
                  <w:vAlign w:val="bottom"/>
                  <w:hideMark/>
                </w:tcPr>
                <w:p w14:paraId="2B26AE92"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r>
          </w:tbl>
          <w:p w14:paraId="5E3190F2"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2E92826F"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45A2B317"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0DBD603C"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3521A056"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6610C21B"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2BF36EDC"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34F0BAB9"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r>
      <w:tr w:rsidR="00DD02BA" w:rsidRPr="00DD02BA" w14:paraId="5971A787" w14:textId="77777777" w:rsidTr="00D35ACE">
        <w:trPr>
          <w:trHeight w:val="288"/>
        </w:trPr>
        <w:tc>
          <w:tcPr>
            <w:tcW w:w="976" w:type="dxa"/>
            <w:tcBorders>
              <w:top w:val="nil"/>
              <w:left w:val="nil"/>
              <w:bottom w:val="nil"/>
              <w:right w:val="nil"/>
            </w:tcBorders>
            <w:shd w:val="clear" w:color="auto" w:fill="auto"/>
            <w:noWrap/>
            <w:vAlign w:val="bottom"/>
            <w:hideMark/>
          </w:tcPr>
          <w:p w14:paraId="0FFD6302"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06CBF722"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59D477B1"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47009ED0"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7DD95F69"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172E34C9"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62ABBD63"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718D6BE8"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r>
      <w:tr w:rsidR="00DD02BA" w:rsidRPr="00DD02BA" w14:paraId="3BBACFB1" w14:textId="77777777" w:rsidTr="00D35ACE">
        <w:trPr>
          <w:trHeight w:val="288"/>
        </w:trPr>
        <w:tc>
          <w:tcPr>
            <w:tcW w:w="976" w:type="dxa"/>
            <w:tcBorders>
              <w:top w:val="nil"/>
              <w:left w:val="nil"/>
              <w:bottom w:val="nil"/>
              <w:right w:val="nil"/>
            </w:tcBorders>
            <w:shd w:val="clear" w:color="auto" w:fill="auto"/>
            <w:noWrap/>
            <w:vAlign w:val="bottom"/>
            <w:hideMark/>
          </w:tcPr>
          <w:p w14:paraId="7834D6CF"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1E21AB34"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0CB1A1DE"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159B6910"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061A531F"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3AF38A9A"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2C191495"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59375B6A"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r>
      <w:tr w:rsidR="00DD02BA" w:rsidRPr="00DD02BA" w14:paraId="7B5CF246" w14:textId="77777777" w:rsidTr="00D35ACE">
        <w:trPr>
          <w:trHeight w:val="288"/>
        </w:trPr>
        <w:tc>
          <w:tcPr>
            <w:tcW w:w="976" w:type="dxa"/>
            <w:tcBorders>
              <w:top w:val="nil"/>
              <w:left w:val="nil"/>
              <w:bottom w:val="nil"/>
              <w:right w:val="nil"/>
            </w:tcBorders>
            <w:shd w:val="clear" w:color="auto" w:fill="auto"/>
            <w:noWrap/>
            <w:vAlign w:val="bottom"/>
            <w:hideMark/>
          </w:tcPr>
          <w:p w14:paraId="08BE9F82"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13F9E86A"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7555E819"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7BB5ECC2"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0D48BB0D"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3A3C9CD7"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4259CA02"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c>
          <w:tcPr>
            <w:tcW w:w="976" w:type="dxa"/>
            <w:tcBorders>
              <w:top w:val="nil"/>
              <w:left w:val="nil"/>
              <w:bottom w:val="nil"/>
              <w:right w:val="nil"/>
            </w:tcBorders>
            <w:shd w:val="clear" w:color="auto" w:fill="auto"/>
            <w:noWrap/>
            <w:vAlign w:val="bottom"/>
            <w:hideMark/>
          </w:tcPr>
          <w:p w14:paraId="09A789C5" w14:textId="77777777" w:rsidR="00DD02BA" w:rsidRPr="00DD02BA" w:rsidRDefault="00DD02BA" w:rsidP="00DD02BA">
            <w:pPr>
              <w:spacing w:after="0" w:line="240" w:lineRule="auto"/>
              <w:jc w:val="center"/>
              <w:rPr>
                <w:rFonts w:ascii="Calibri" w:eastAsia="Times New Roman" w:hAnsi="Calibri" w:cs="Calibri"/>
                <w:color w:val="000000"/>
                <w:kern w:val="0"/>
                <w:sz w:val="22"/>
                <w:lang w:val="en-GB" w:eastAsia="en-GB"/>
                <w14:ligatures w14:val="none"/>
              </w:rPr>
            </w:pPr>
          </w:p>
        </w:tc>
      </w:tr>
    </w:tbl>
    <w:p w14:paraId="37C771F9" w14:textId="77777777" w:rsidR="00DD02BA" w:rsidRPr="00DD02BA" w:rsidRDefault="00DD02BA" w:rsidP="00DD02BA">
      <w:pPr>
        <w:spacing w:after="200" w:line="276" w:lineRule="auto"/>
        <w:rPr>
          <w:rFonts w:ascii="Calibri" w:eastAsia="Calibri" w:hAnsi="Calibri" w:cs="Times New Roman"/>
          <w:kern w:val="0"/>
          <w:sz w:val="22"/>
          <w:lang w:val="en-GB"/>
          <w14:ligatures w14:val="none"/>
        </w:rPr>
      </w:pPr>
    </w:p>
    <w:p w14:paraId="796C31C0" w14:textId="77777777" w:rsidR="00DD02BA" w:rsidRPr="00DD02BA" w:rsidRDefault="00DD02BA" w:rsidP="00DD02BA">
      <w:pPr>
        <w:spacing w:after="200" w:line="276" w:lineRule="auto"/>
        <w:rPr>
          <w:rFonts w:ascii="Calibri" w:eastAsia="Calibri" w:hAnsi="Calibri" w:cs="Times New Roman"/>
          <w:sz w:val="22"/>
          <w:lang w:val="en-GB"/>
        </w:rPr>
      </w:pPr>
    </w:p>
    <w:p w14:paraId="46BD79DA" w14:textId="77777777" w:rsidR="00DD02BA" w:rsidRPr="00DD02BA" w:rsidRDefault="00DD02BA" w:rsidP="00DD02BA">
      <w:pPr>
        <w:spacing w:after="200" w:line="276" w:lineRule="auto"/>
        <w:rPr>
          <w:rFonts w:ascii="Calibri" w:eastAsia="Calibri" w:hAnsi="Calibri" w:cs="Times New Roman"/>
          <w:sz w:val="22"/>
          <w:lang w:val="en-GB"/>
        </w:rPr>
      </w:pPr>
    </w:p>
    <w:p w14:paraId="6DF877A2" w14:textId="77777777" w:rsidR="00DD02BA" w:rsidRPr="00DD02BA" w:rsidRDefault="00DD02BA" w:rsidP="00DD02BA">
      <w:pPr>
        <w:spacing w:after="200" w:line="276" w:lineRule="auto"/>
        <w:rPr>
          <w:rFonts w:ascii="Calibri" w:eastAsia="Calibri" w:hAnsi="Calibri" w:cs="Times New Roman"/>
          <w:sz w:val="22"/>
          <w:lang w:val="en-GB"/>
        </w:rPr>
      </w:pPr>
    </w:p>
    <w:p w14:paraId="70128114" w14:textId="77777777" w:rsidR="00DD02BA" w:rsidRPr="00DD02BA" w:rsidRDefault="00DD02BA" w:rsidP="00DD02BA">
      <w:pPr>
        <w:spacing w:after="200" w:line="276" w:lineRule="auto"/>
        <w:rPr>
          <w:rFonts w:ascii="Calibri" w:eastAsia="Calibri" w:hAnsi="Calibri" w:cs="Times New Roman"/>
          <w:sz w:val="22"/>
          <w:lang w:val="en-GB"/>
        </w:rPr>
      </w:pPr>
    </w:p>
    <w:p w14:paraId="10EEC698" w14:textId="77777777" w:rsidR="00DD02BA" w:rsidRPr="00DD02BA" w:rsidRDefault="00DD02BA" w:rsidP="00DD02BA">
      <w:pPr>
        <w:spacing w:after="200" w:line="276" w:lineRule="auto"/>
        <w:rPr>
          <w:rFonts w:ascii="Calibri" w:eastAsia="Calibri" w:hAnsi="Calibri" w:cs="Times New Roman"/>
          <w:sz w:val="22"/>
          <w:lang w:val="en-GB"/>
        </w:rPr>
      </w:pPr>
    </w:p>
    <w:p w14:paraId="33455F1B" w14:textId="77777777" w:rsidR="00DD02BA" w:rsidRPr="00DD02BA" w:rsidRDefault="00DD02BA" w:rsidP="00DD02BA">
      <w:pPr>
        <w:spacing w:after="200" w:line="276" w:lineRule="auto"/>
        <w:rPr>
          <w:rFonts w:ascii="Calibri" w:eastAsia="Calibri" w:hAnsi="Calibri" w:cs="Times New Roman"/>
          <w:sz w:val="22"/>
          <w:lang w:val="en-GB"/>
        </w:rPr>
      </w:pPr>
    </w:p>
    <w:p w14:paraId="075E56E5" w14:textId="69CE0613" w:rsidR="00DD02BA" w:rsidRPr="00DD02BA" w:rsidRDefault="00DD02BA" w:rsidP="00DD02BA">
      <w:pPr>
        <w:spacing w:after="200" w:line="276" w:lineRule="auto"/>
        <w:rPr>
          <w:rFonts w:ascii="Calibri" w:eastAsia="Calibri" w:hAnsi="Calibri" w:cs="Times New Roman"/>
          <w:sz w:val="22"/>
          <w:lang w:val="en-GB"/>
        </w:rPr>
      </w:pPr>
      <w:r w:rsidRPr="00DD02BA">
        <w:rPr>
          <w:rFonts w:ascii="Calibri" w:eastAsia="Calibri" w:hAnsi="Calibri" w:cs="Times New Roman"/>
          <w:sz w:val="22"/>
          <w:lang w:val="en-GB"/>
        </w:rPr>
        <w:t xml:space="preserve">The survey suggests that 88% of plot-holders grow potatoes.  The most popular other vegetables are onions and shallots, brassicas, </w:t>
      </w:r>
      <w:r w:rsidR="00BB4E40" w:rsidRPr="00DD02BA">
        <w:rPr>
          <w:rFonts w:ascii="Calibri" w:eastAsia="Calibri" w:hAnsi="Calibri" w:cs="Times New Roman"/>
          <w:sz w:val="22"/>
          <w:lang w:val="en-GB"/>
        </w:rPr>
        <w:t>tomatoes,</w:t>
      </w:r>
      <w:r w:rsidRPr="00DD02BA">
        <w:rPr>
          <w:rFonts w:ascii="Calibri" w:eastAsia="Calibri" w:hAnsi="Calibri" w:cs="Times New Roman"/>
          <w:sz w:val="22"/>
          <w:lang w:val="en-GB"/>
        </w:rPr>
        <w:t xml:space="preserve"> and courgettes with more than three-quarters of plot-holders cultivating these crops, while a similar proportion grow at least ten different vegetables on their plot. Rather less fruit than vegetables is grown but fruit growing is still very popular with over three quarters of plot-holders engaged. The most popular fruits are strawberries, </w:t>
      </w:r>
      <w:r w:rsidR="00BB4E40" w:rsidRPr="00DD02BA">
        <w:rPr>
          <w:rFonts w:ascii="Calibri" w:eastAsia="Calibri" w:hAnsi="Calibri" w:cs="Times New Roman"/>
          <w:sz w:val="22"/>
          <w:lang w:val="en-GB"/>
        </w:rPr>
        <w:t>rhubarb,</w:t>
      </w:r>
      <w:r w:rsidRPr="00DD02BA">
        <w:rPr>
          <w:rFonts w:ascii="Calibri" w:eastAsia="Calibri" w:hAnsi="Calibri" w:cs="Times New Roman"/>
          <w:sz w:val="22"/>
          <w:lang w:val="en-GB"/>
        </w:rPr>
        <w:t xml:space="preserve"> and raspberries with more than two-thirds of all fruit-growing plot-holders cultivating these fruits. </w:t>
      </w:r>
    </w:p>
    <w:p w14:paraId="493838A0" w14:textId="77777777" w:rsidR="00DD02BA" w:rsidRPr="00DD02BA" w:rsidRDefault="00DD02BA" w:rsidP="00DD02BA">
      <w:pPr>
        <w:spacing w:after="200" w:line="276" w:lineRule="auto"/>
        <w:rPr>
          <w:rFonts w:ascii="Calibri" w:eastAsia="Calibri" w:hAnsi="Calibri" w:cs="Times New Roman"/>
          <w:sz w:val="22"/>
          <w:lang w:val="en-GB"/>
        </w:rPr>
      </w:pPr>
      <w:r w:rsidRPr="00DD02BA">
        <w:rPr>
          <w:rFonts w:ascii="Calibri" w:eastAsia="Calibri" w:hAnsi="Calibri" w:cs="Times New Roman"/>
          <w:sz w:val="22"/>
          <w:lang w:val="en-GB"/>
        </w:rPr>
        <w:t>Taken as a whole and excluding those who were unable to record any figures, our sample indicates that on average 100 kg. of fresh produce was harvested on each plot in the city.</w:t>
      </w:r>
    </w:p>
    <w:tbl>
      <w:tblPr>
        <w:tblW w:w="0" w:type="auto"/>
        <w:tblLook w:val="04A0" w:firstRow="1" w:lastRow="0" w:firstColumn="1" w:lastColumn="0" w:noHBand="0" w:noVBand="1"/>
      </w:tblPr>
      <w:tblGrid>
        <w:gridCol w:w="1705"/>
        <w:gridCol w:w="1629"/>
        <w:gridCol w:w="1823"/>
        <w:gridCol w:w="1253"/>
        <w:gridCol w:w="1461"/>
      </w:tblGrid>
      <w:tr w:rsidR="00DD02BA" w:rsidRPr="00DD02BA" w14:paraId="755B25C4" w14:textId="77777777" w:rsidTr="00BB4E40">
        <w:trPr>
          <w:trHeight w:val="320"/>
        </w:trPr>
        <w:tc>
          <w:tcPr>
            <w:tcW w:w="0" w:type="auto"/>
            <w:tcBorders>
              <w:top w:val="nil"/>
              <w:left w:val="nil"/>
              <w:bottom w:val="single" w:sz="4" w:space="0" w:color="auto"/>
              <w:right w:val="nil"/>
            </w:tcBorders>
            <w:shd w:val="clear" w:color="auto" w:fill="auto"/>
            <w:noWrap/>
            <w:vAlign w:val="bottom"/>
            <w:hideMark/>
          </w:tcPr>
          <w:p w14:paraId="0CE13D20" w14:textId="77777777" w:rsidR="00DD02BA" w:rsidRPr="00DD02BA" w:rsidRDefault="00DD02BA" w:rsidP="00DD02BA">
            <w:pPr>
              <w:spacing w:after="0" w:line="240" w:lineRule="auto"/>
              <w:rPr>
                <w:rFonts w:ascii="Calibri" w:eastAsia="Calibri" w:hAnsi="Calibri" w:cs="Times New Roman"/>
                <w:sz w:val="22"/>
                <w:lang w:val="en-GB"/>
              </w:rPr>
            </w:pPr>
          </w:p>
        </w:tc>
        <w:tc>
          <w:tcPr>
            <w:tcW w:w="0" w:type="auto"/>
            <w:gridSpan w:val="4"/>
            <w:tcBorders>
              <w:top w:val="nil"/>
              <w:left w:val="nil"/>
              <w:bottom w:val="single" w:sz="4" w:space="0" w:color="auto"/>
              <w:right w:val="nil"/>
            </w:tcBorders>
            <w:shd w:val="clear" w:color="auto" w:fill="auto"/>
            <w:noWrap/>
            <w:vAlign w:val="bottom"/>
            <w:hideMark/>
          </w:tcPr>
          <w:p w14:paraId="37F2B6CA" w14:textId="52930D43" w:rsidR="00DD02BA" w:rsidRPr="00DD02BA" w:rsidRDefault="00DD02BA" w:rsidP="00BB4E40">
            <w:pPr>
              <w:spacing w:after="0" w:line="240" w:lineRule="auto"/>
              <w:rPr>
                <w:rFonts w:ascii="Calibri" w:eastAsia="Calibri" w:hAnsi="Calibri" w:cs="Times New Roman"/>
                <w:b/>
                <w:bCs/>
                <w:sz w:val="22"/>
                <w:lang w:val="en-GB"/>
              </w:rPr>
            </w:pPr>
            <w:r w:rsidRPr="00DD02BA">
              <w:rPr>
                <w:rFonts w:ascii="Calibri" w:eastAsia="Calibri" w:hAnsi="Calibri" w:cs="Times New Roman"/>
                <w:b/>
                <w:bCs/>
                <w:sz w:val="22"/>
                <w:lang w:val="en-GB"/>
              </w:rPr>
              <w:t>Table 1</w:t>
            </w:r>
            <w:r w:rsidR="00BB4E40">
              <w:rPr>
                <w:rFonts w:ascii="Calibri" w:eastAsia="Calibri" w:hAnsi="Calibri" w:cs="Times New Roman"/>
                <w:b/>
                <w:bCs/>
                <w:sz w:val="22"/>
                <w:lang w:val="en-GB"/>
              </w:rPr>
              <w:t xml:space="preserve">:  </w:t>
            </w:r>
            <w:r w:rsidRPr="00DD02BA">
              <w:rPr>
                <w:rFonts w:ascii="Calibri" w:eastAsia="Calibri" w:hAnsi="Calibri" w:cs="Times New Roman"/>
                <w:b/>
                <w:bCs/>
                <w:sz w:val="22"/>
                <w:lang w:val="en-GB"/>
              </w:rPr>
              <w:t>Estimated weight of produce harvested in 2023 (kg)</w:t>
            </w:r>
            <w:r w:rsidR="00BB4E40" w:rsidRPr="00BB4E40">
              <w:rPr>
                <w:rFonts w:ascii="Calibri" w:eastAsia="Calibri" w:hAnsi="Calibri" w:cs="Times New Roman"/>
                <w:b/>
                <w:bCs/>
                <w:sz w:val="22"/>
                <w:lang w:val="en-GB"/>
              </w:rPr>
              <w:br/>
            </w:r>
          </w:p>
        </w:tc>
      </w:tr>
      <w:tr w:rsidR="00DD02BA" w:rsidRPr="00DD02BA" w14:paraId="085950D8" w14:textId="77777777" w:rsidTr="00BB4E40">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4CDDC" w14:textId="77777777"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A3BED" w14:textId="510AE36F"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Potatoes grown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C61F" w14:textId="29C4073F"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Vegetables grown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250A2" w14:textId="6056C145"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Fruit grown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C0144" w14:textId="7B41558B"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Total produce</w:t>
            </w:r>
          </w:p>
        </w:tc>
      </w:tr>
      <w:tr w:rsidR="00DD02BA" w:rsidRPr="00DD02BA" w14:paraId="0256A606" w14:textId="77777777" w:rsidTr="00BB4E40">
        <w:trPr>
          <w:trHeight w:val="3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F185A" w14:textId="77777777"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Overall weight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62323" w14:textId="77777777"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21,924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EEBE0" w14:textId="77777777"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35,985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DB5F" w14:textId="77777777"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13,927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BB40A" w14:textId="77777777"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71,836</w:t>
            </w:r>
          </w:p>
        </w:tc>
      </w:tr>
      <w:tr w:rsidR="00DD02BA" w:rsidRPr="00DD02BA" w14:paraId="28E09B49" w14:textId="77777777" w:rsidTr="00BB4E40">
        <w:trPr>
          <w:trHeight w:val="3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BE51B" w14:textId="03E34DEE"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Average per plot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12E1B" w14:textId="147BC1C4"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27E7F" w14:textId="77777777"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p>
          <w:p w14:paraId="1BCBD349" w14:textId="6AC530E0"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568D0" w14:textId="77777777"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p>
          <w:p w14:paraId="3442F6D7" w14:textId="29F0F5D1"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45294" w14:textId="1C1310E5" w:rsidR="00DD02BA" w:rsidRPr="00DD02BA" w:rsidRDefault="00DD02BA" w:rsidP="00BB4E40">
            <w:pPr>
              <w:spacing w:after="0" w:line="240" w:lineRule="auto"/>
              <w:jc w:val="center"/>
              <w:rPr>
                <w:rFonts w:ascii="Calibri" w:eastAsia="Times New Roman" w:hAnsi="Calibri" w:cs="Calibri"/>
                <w:color w:val="000000"/>
                <w:kern w:val="0"/>
                <w:sz w:val="22"/>
                <w:lang w:val="en-GB" w:eastAsia="en-GB"/>
                <w14:ligatures w14:val="none"/>
              </w:rPr>
            </w:pPr>
            <w:r w:rsidRPr="00DD02BA">
              <w:rPr>
                <w:rFonts w:ascii="Calibri" w:eastAsia="Times New Roman" w:hAnsi="Calibri" w:cs="Calibri"/>
                <w:color w:val="000000"/>
                <w:kern w:val="0"/>
                <w:sz w:val="22"/>
                <w:lang w:val="en-GB" w:eastAsia="en-GB"/>
                <w14:ligatures w14:val="none"/>
              </w:rPr>
              <w:t>100</w:t>
            </w:r>
          </w:p>
        </w:tc>
      </w:tr>
    </w:tbl>
    <w:p w14:paraId="4BB1F6BE" w14:textId="77777777" w:rsidR="00DD02BA" w:rsidRPr="00DD02BA" w:rsidRDefault="00DD02BA" w:rsidP="00DD02BA">
      <w:pPr>
        <w:spacing w:after="200" w:line="276" w:lineRule="auto"/>
        <w:rPr>
          <w:rFonts w:ascii="Calibri" w:eastAsia="Times New Roman" w:hAnsi="Calibri" w:cs="Calibri"/>
          <w:b/>
          <w:color w:val="000000"/>
          <w:sz w:val="22"/>
          <w:lang w:val="en-GB"/>
        </w:rPr>
      </w:pPr>
    </w:p>
    <w:p w14:paraId="0553ABD9" w14:textId="77777777" w:rsidR="00DD02BA" w:rsidRPr="00DD02BA" w:rsidRDefault="00DD02BA" w:rsidP="00DD02BA">
      <w:pPr>
        <w:spacing w:after="200" w:line="276" w:lineRule="auto"/>
        <w:rPr>
          <w:rFonts w:ascii="Calibri" w:eastAsia="Times New Roman" w:hAnsi="Calibri" w:cs="Calibri"/>
          <w:b/>
          <w:bCs/>
          <w:color w:val="000000"/>
          <w:sz w:val="22"/>
          <w:lang w:val="en-GB"/>
        </w:rPr>
      </w:pPr>
      <w:r w:rsidRPr="00DD02BA">
        <w:rPr>
          <w:rFonts w:ascii="Calibri" w:eastAsia="Times New Roman" w:hAnsi="Calibri" w:cs="Calibri"/>
          <w:color w:val="000000"/>
          <w:sz w:val="22"/>
          <w:lang w:val="en-GB"/>
        </w:rPr>
        <w:lastRenderedPageBreak/>
        <w:t xml:space="preserve">Our sample of those recording weights of crops harvested covered nearly one-ninth of the total allotment population. This suggests that more than </w:t>
      </w:r>
      <w:r w:rsidRPr="00DD02BA">
        <w:rPr>
          <w:rFonts w:ascii="Calibri" w:eastAsia="Times New Roman" w:hAnsi="Calibri" w:cs="Calibri"/>
          <w:b/>
          <w:color w:val="000000"/>
          <w:sz w:val="22"/>
          <w:lang w:val="en-GB"/>
        </w:rPr>
        <w:t>63</w:t>
      </w:r>
      <w:r w:rsidRPr="00DD02BA">
        <w:rPr>
          <w:rFonts w:ascii="Calibri" w:eastAsia="Times New Roman" w:hAnsi="Calibri" w:cs="Calibri"/>
          <w:b/>
          <w:bCs/>
          <w:color w:val="000000"/>
          <w:sz w:val="22"/>
          <w:lang w:val="en-GB"/>
        </w:rPr>
        <w:t>0,000 kg or 630 tonnes of food</w:t>
      </w:r>
      <w:r w:rsidRPr="00DD02BA">
        <w:rPr>
          <w:rFonts w:ascii="Calibri" w:eastAsia="Times New Roman" w:hAnsi="Calibri" w:cs="Calibri"/>
          <w:color w:val="000000"/>
          <w:sz w:val="22"/>
          <w:lang w:val="en-GB"/>
        </w:rPr>
        <w:t xml:space="preserve"> are being grown on allotments each year across the city.  This is fresh food, mostly produced organically and consumed within the locality where it is grown. </w:t>
      </w:r>
      <w:r w:rsidRPr="00DD02BA">
        <w:rPr>
          <w:rFonts w:ascii="Calibri" w:eastAsia="Times New Roman" w:hAnsi="Calibri" w:cs="Calibri"/>
          <w:b/>
          <w:bCs/>
          <w:color w:val="000000"/>
          <w:sz w:val="22"/>
          <w:lang w:val="en-GB"/>
        </w:rPr>
        <w:t xml:space="preserve">It represents by far and away the most significant and consistent element of urban agriculture within the city. </w:t>
      </w:r>
    </w:p>
    <w:p w14:paraId="75F4489E" w14:textId="77777777" w:rsidR="00DD02BA" w:rsidRPr="00DD02BA" w:rsidRDefault="00DD02BA" w:rsidP="00DD02BA">
      <w:pPr>
        <w:spacing w:after="200" w:line="276" w:lineRule="auto"/>
        <w:rPr>
          <w:rFonts w:ascii="Calibri" w:eastAsia="Times New Roman" w:hAnsi="Calibri" w:cs="Calibri"/>
          <w:color w:val="000000"/>
          <w:sz w:val="22"/>
          <w:lang w:val="en-GB"/>
        </w:rPr>
      </w:pPr>
      <w:r w:rsidRPr="00DD02BA">
        <w:rPr>
          <w:rFonts w:ascii="Calibri" w:eastAsia="Times New Roman" w:hAnsi="Calibri" w:cs="Calibri"/>
          <w:color w:val="000000"/>
          <w:sz w:val="22"/>
          <w:lang w:val="en-GB"/>
        </w:rPr>
        <w:t>People take up allotments for a variety of reasons and with a range of intentions. As well as those determined to grow a high volume of food crops, there are those looking to grow a variety of fresh food, along with those who enjoy the relaxation and exercise that allotments bring and the friendship that allotments can offer. So, there are large differences among plot-holders.</w:t>
      </w:r>
    </w:p>
    <w:p w14:paraId="3792DCB8" w14:textId="77777777" w:rsidR="00DD02BA" w:rsidRPr="00DD02BA" w:rsidRDefault="00DD02BA" w:rsidP="00DD02BA">
      <w:pPr>
        <w:spacing w:after="200" w:line="276" w:lineRule="auto"/>
        <w:rPr>
          <w:rFonts w:ascii="Calibri" w:eastAsia="Times New Roman" w:hAnsi="Calibri" w:cs="Calibri"/>
          <w:color w:val="000000"/>
          <w:sz w:val="22"/>
          <w:lang w:val="en-GB"/>
        </w:rPr>
      </w:pPr>
      <w:r w:rsidRPr="00DD02BA">
        <w:rPr>
          <w:rFonts w:ascii="Calibri" w:eastAsia="Times New Roman" w:hAnsi="Calibri" w:cs="Calibri"/>
          <w:color w:val="000000"/>
          <w:sz w:val="22"/>
          <w:lang w:val="en-GB"/>
        </w:rPr>
        <w:t>Broadly, we found that plot-holders fall into one of three types: serious cultivators; keen gardeners; and leisure gardeners. Those producing above 150 kg of produce a year can best be described as serious cultivators. Just over one-sixth of plot-holders (18%) meet this category. Over two fifths (44%) grow between 50 -150 kg of food a year. This category we term keen gardeners. Those producing up to 50 kg of produce a year can best be categorised as leisure gardeners and these accounted for 38% of plot-holders.</w:t>
      </w:r>
    </w:p>
    <w:p w14:paraId="182A5A7C" w14:textId="77777777" w:rsidR="00DD02BA" w:rsidRPr="00DD02BA" w:rsidRDefault="00DD02BA" w:rsidP="00DD02BA">
      <w:pPr>
        <w:pStyle w:val="Heading4"/>
        <w:rPr>
          <w:rFonts w:eastAsia="Times New Roman"/>
          <w:lang w:val="en-GB"/>
        </w:rPr>
      </w:pPr>
      <w:r w:rsidRPr="00DD02BA">
        <w:rPr>
          <w:rFonts w:eastAsia="Times New Roman"/>
          <w:lang w:val="en-GB"/>
        </w:rPr>
        <w:t xml:space="preserve">The Benefits of Allotment Life  </w:t>
      </w:r>
    </w:p>
    <w:p w14:paraId="2BDE0025" w14:textId="77777777" w:rsidR="00DD02BA" w:rsidRPr="00DD02BA" w:rsidRDefault="00DD02BA" w:rsidP="00DD02BA">
      <w:pPr>
        <w:spacing w:after="200" w:line="276" w:lineRule="auto"/>
        <w:rPr>
          <w:rFonts w:ascii="Calibri" w:eastAsia="Times New Roman" w:hAnsi="Calibri" w:cs="Calibri"/>
          <w:color w:val="000000"/>
          <w:sz w:val="22"/>
          <w:lang w:val="en-GB"/>
        </w:rPr>
      </w:pPr>
      <w:r w:rsidRPr="00DD02BA">
        <w:rPr>
          <w:rFonts w:ascii="Calibri" w:eastAsia="Times New Roman" w:hAnsi="Calibri" w:cs="Calibri"/>
          <w:color w:val="000000"/>
          <w:sz w:val="22"/>
          <w:lang w:val="en-GB"/>
        </w:rPr>
        <w:t>All studies of allotments refer to their contribution to the well-being of plot-holders.  Our survey questions on the benefits of allotments very much reflected that view. The survey outlined six potential benefits. Scores of over 90% were recorded for those stating as a benefit regular physical exercise, peace of mind and relaxation as well as a supply of fresh vegetables. In the survey’s most significant finding, when asked to identify the most important benefit of being an allotment tenant, peace of mind and relaxation emerged at the top of the poll. It was the main priority for 32% followed by 31% for supply of fresh vegetables and 17% for regular physical exercise.</w:t>
      </w:r>
    </w:p>
    <w:p w14:paraId="7EB84EA6" w14:textId="0F0C1C26" w:rsidR="00DD02BA" w:rsidRPr="00DD02BA" w:rsidRDefault="00DD02BA" w:rsidP="00BB4E40">
      <w:pPr>
        <w:spacing w:after="0" w:line="240" w:lineRule="auto"/>
        <w:jc w:val="center"/>
        <w:rPr>
          <w:rFonts w:ascii="Calibri" w:eastAsia="Calibri" w:hAnsi="Calibri" w:cs="Times New Roman"/>
          <w:b/>
          <w:bCs/>
          <w:sz w:val="22"/>
          <w:lang w:val="en-GB"/>
        </w:rPr>
      </w:pPr>
      <w:r w:rsidRPr="00DD02BA">
        <w:rPr>
          <w:rFonts w:ascii="Calibri" w:eastAsia="Calibri" w:hAnsi="Calibri" w:cs="Times New Roman"/>
          <w:b/>
          <w:bCs/>
          <w:sz w:val="22"/>
          <w:lang w:val="en-GB"/>
        </w:rPr>
        <w:t>Figure 2</w:t>
      </w:r>
      <w:r w:rsidR="00BB4E40" w:rsidRPr="00BB4E40">
        <w:rPr>
          <w:rFonts w:ascii="Calibri" w:eastAsia="Calibri" w:hAnsi="Calibri" w:cs="Times New Roman"/>
          <w:b/>
          <w:bCs/>
          <w:sz w:val="22"/>
          <w:lang w:val="en-GB"/>
        </w:rPr>
        <w:t xml:space="preserve">:  </w:t>
      </w:r>
      <w:r w:rsidRPr="00DD02BA">
        <w:rPr>
          <w:rFonts w:ascii="Calibri" w:eastAsia="Calibri" w:hAnsi="Calibri" w:cs="Times New Roman"/>
          <w:b/>
          <w:bCs/>
          <w:sz w:val="22"/>
          <w:lang w:val="en-GB"/>
        </w:rPr>
        <w:t xml:space="preserve">Which of these benefits is </w:t>
      </w:r>
      <w:r w:rsidRPr="00803255">
        <w:rPr>
          <w:rFonts w:ascii="Calibri" w:eastAsia="Calibri" w:hAnsi="Calibri" w:cs="Times New Roman"/>
          <w:b/>
          <w:bCs/>
          <w:sz w:val="22"/>
          <w:lang w:val="en-GB"/>
        </w:rPr>
        <w:t>most</w:t>
      </w:r>
      <w:r w:rsidRPr="00DD02BA">
        <w:rPr>
          <w:rFonts w:ascii="Calibri" w:eastAsia="Calibri" w:hAnsi="Calibri" w:cs="Times New Roman"/>
          <w:b/>
          <w:bCs/>
          <w:sz w:val="22"/>
          <w:lang w:val="en-GB"/>
        </w:rPr>
        <w:t xml:space="preserve"> important to you?</w:t>
      </w:r>
      <w:r w:rsidR="00BB4E40">
        <w:rPr>
          <w:rFonts w:ascii="Calibri" w:eastAsia="Calibri" w:hAnsi="Calibri" w:cs="Times New Roman"/>
          <w:b/>
          <w:bCs/>
          <w:sz w:val="22"/>
          <w:lang w:val="en-GB"/>
        </w:rPr>
        <w:br/>
      </w:r>
    </w:p>
    <w:p w14:paraId="7FAE33E2" w14:textId="7CA90599" w:rsidR="00DD02BA" w:rsidRPr="00DD02BA" w:rsidRDefault="00803255" w:rsidP="00DD02BA">
      <w:pPr>
        <w:spacing w:after="200" w:line="276" w:lineRule="auto"/>
        <w:jc w:val="center"/>
        <w:rPr>
          <w:rFonts w:ascii="Calibri" w:eastAsia="Times New Roman" w:hAnsi="Calibri" w:cs="Calibri"/>
          <w:color w:val="000000"/>
          <w:sz w:val="22"/>
          <w:lang w:val="en-GB"/>
        </w:rPr>
      </w:pPr>
      <w:r>
        <w:rPr>
          <w:noProof/>
        </w:rPr>
        <w:drawing>
          <wp:inline distT="0" distB="0" distL="0" distR="0" wp14:anchorId="7B48AE99" wp14:editId="6F18AB70">
            <wp:extent cx="4572000" cy="2743200"/>
            <wp:effectExtent l="0" t="0" r="0" b="0"/>
            <wp:docPr id="504403614" name="Chart 1">
              <a:extLst xmlns:a="http://schemas.openxmlformats.org/drawingml/2006/main">
                <a:ext uri="{FF2B5EF4-FFF2-40B4-BE49-F238E27FC236}">
                  <a16:creationId xmlns:a16="http://schemas.microsoft.com/office/drawing/2014/main" id="{8A1EB198-C396-3F36-1817-8DF4450D550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1"/>
        <w:tblW w:w="0" w:type="auto"/>
        <w:tblLook w:val="04A0" w:firstRow="1" w:lastRow="0" w:firstColumn="1" w:lastColumn="0" w:noHBand="0" w:noVBand="1"/>
      </w:tblPr>
      <w:tblGrid>
        <w:gridCol w:w="9016"/>
      </w:tblGrid>
      <w:tr w:rsidR="00DD02BA" w:rsidRPr="00DD02BA" w14:paraId="00E3C4EB" w14:textId="77777777" w:rsidTr="00D35ACE">
        <w:tc>
          <w:tcPr>
            <w:tcW w:w="9016" w:type="dxa"/>
          </w:tcPr>
          <w:p w14:paraId="59094F6C" w14:textId="77777777" w:rsidR="00DD02BA" w:rsidRPr="00DD02BA" w:rsidRDefault="00DD02BA" w:rsidP="00DD02BA">
            <w:pPr>
              <w:rPr>
                <w:rFonts w:ascii="Calibri" w:eastAsia="Times New Roman" w:hAnsi="Calibri" w:cs="Calibri"/>
                <w:color w:val="000000"/>
                <w:sz w:val="22"/>
              </w:rPr>
            </w:pPr>
            <w:r w:rsidRPr="00DD02BA">
              <w:rPr>
                <w:rFonts w:ascii="Calibri" w:eastAsia="Calibri" w:hAnsi="Calibri" w:cs="Times New Roman"/>
                <w:sz w:val="22"/>
              </w:rPr>
              <w:lastRenderedPageBreak/>
              <w:t xml:space="preserve">“I love it down here. I grow a variety of crops. I used to suffer from anxiety. The GP gave me pills. But I just find it so relaxing down here, away from it all that I don’t take them now.” </w:t>
            </w:r>
          </w:p>
          <w:p w14:paraId="5538D8D8" w14:textId="77777777" w:rsidR="00DD02BA" w:rsidRPr="00DD02BA" w:rsidRDefault="00DD02BA" w:rsidP="00DD02BA">
            <w:pPr>
              <w:rPr>
                <w:rFonts w:ascii="Calibri" w:eastAsia="Calibri" w:hAnsi="Calibri" w:cs="Times New Roman"/>
                <w:sz w:val="22"/>
              </w:rPr>
            </w:pPr>
            <w:r w:rsidRPr="00DD02BA">
              <w:rPr>
                <w:rFonts w:ascii="Calibri" w:eastAsia="Calibri" w:hAnsi="Calibri" w:cs="Times New Roman"/>
                <w:sz w:val="22"/>
              </w:rPr>
              <w:t>Zahora. Asian housewife, East Birmingham</w:t>
            </w:r>
          </w:p>
        </w:tc>
      </w:tr>
    </w:tbl>
    <w:p w14:paraId="3D0614CF" w14:textId="77777777" w:rsidR="00DD02BA" w:rsidRPr="00DD02BA" w:rsidRDefault="00DD02BA" w:rsidP="00DD02BA">
      <w:pPr>
        <w:spacing w:after="200" w:line="276" w:lineRule="auto"/>
        <w:rPr>
          <w:rFonts w:ascii="Calibri" w:eastAsia="Calibri" w:hAnsi="Calibri" w:cs="Times New Roman"/>
          <w:kern w:val="0"/>
          <w:sz w:val="22"/>
          <w:lang w:val="en-GB"/>
          <w14:ligatures w14:val="none"/>
        </w:rPr>
      </w:pPr>
    </w:p>
    <w:p w14:paraId="2D590DD6" w14:textId="77777777" w:rsidR="00DD02BA" w:rsidRPr="00DD02BA" w:rsidRDefault="00DD02BA" w:rsidP="00DD02BA">
      <w:pPr>
        <w:pStyle w:val="Heading4"/>
        <w:rPr>
          <w:rFonts w:eastAsia="Times New Roman"/>
          <w:lang w:val="en-GB"/>
        </w:rPr>
      </w:pPr>
      <w:r w:rsidRPr="00DD02BA">
        <w:rPr>
          <w:rFonts w:eastAsia="Times New Roman"/>
          <w:lang w:val="en-GB"/>
        </w:rPr>
        <w:t xml:space="preserve">The Community Dimension </w:t>
      </w:r>
    </w:p>
    <w:p w14:paraId="4C74985E" w14:textId="77777777" w:rsidR="00DD02BA" w:rsidRPr="00DD02BA" w:rsidRDefault="00DD02BA" w:rsidP="00DD02BA">
      <w:pPr>
        <w:keepNext/>
        <w:keepLines/>
        <w:spacing w:before="40" w:after="0" w:line="276" w:lineRule="auto"/>
        <w:ind w:left="720"/>
        <w:contextualSpacing/>
        <w:outlineLvl w:val="1"/>
        <w:rPr>
          <w:rFonts w:ascii="Calibri" w:eastAsia="Times New Roman" w:hAnsi="Calibri" w:cs="Calibri"/>
          <w:color w:val="000000"/>
          <w:sz w:val="22"/>
          <w:lang w:val="en-GB"/>
        </w:rPr>
      </w:pPr>
    </w:p>
    <w:p w14:paraId="30062EE2" w14:textId="52B52603" w:rsidR="00DD02BA" w:rsidRPr="00DD02BA" w:rsidRDefault="00DD02BA" w:rsidP="00DD02BA">
      <w:pPr>
        <w:spacing w:after="200" w:line="276" w:lineRule="auto"/>
        <w:rPr>
          <w:rFonts w:ascii="Calibri" w:eastAsia="Calibri" w:hAnsi="Calibri" w:cs="Calibri"/>
          <w:color w:val="000000"/>
          <w:kern w:val="0"/>
          <w:sz w:val="22"/>
          <w:lang w:val="en-GB"/>
          <w14:ligatures w14:val="none"/>
        </w:rPr>
      </w:pPr>
      <w:r w:rsidRPr="00DD02BA">
        <w:rPr>
          <w:rFonts w:ascii="Calibri" w:eastAsia="Calibri" w:hAnsi="Calibri" w:cs="Calibri"/>
          <w:color w:val="000000"/>
          <w:kern w:val="0"/>
          <w:sz w:val="22"/>
          <w:lang w:val="en-GB"/>
          <w14:ligatures w14:val="none"/>
        </w:rPr>
        <w:t xml:space="preserve">Many allotment tenants just want to tend their plot and grow their crops. Others enjoy the company of fellow plot-holders and the haven of peace and quiet that the allotment provides. Yet allotments can’t run on </w:t>
      </w:r>
      <w:r w:rsidR="00BB4E40" w:rsidRPr="00DD02BA">
        <w:rPr>
          <w:rFonts w:ascii="Calibri" w:eastAsia="Calibri" w:hAnsi="Calibri" w:cs="Calibri"/>
          <w:color w:val="000000"/>
          <w:kern w:val="0"/>
          <w:sz w:val="22"/>
          <w:lang w:val="en-GB"/>
          <w14:ligatures w14:val="none"/>
        </w:rPr>
        <w:t>autopilot</w:t>
      </w:r>
      <w:r w:rsidRPr="00DD02BA">
        <w:rPr>
          <w:rFonts w:ascii="Calibri" w:eastAsia="Calibri" w:hAnsi="Calibri" w:cs="Calibri"/>
          <w:color w:val="000000"/>
          <w:kern w:val="0"/>
          <w:sz w:val="22"/>
          <w:lang w:val="en-GB"/>
          <w14:ligatures w14:val="none"/>
        </w:rPr>
        <w:t>. They are public assets and need regular care and repair.</w:t>
      </w:r>
    </w:p>
    <w:p w14:paraId="78415AAE" w14:textId="77777777" w:rsidR="00DD02BA" w:rsidRPr="00DD02BA" w:rsidRDefault="00DD02BA" w:rsidP="00DD02BA">
      <w:pPr>
        <w:spacing w:after="200" w:line="276" w:lineRule="auto"/>
        <w:contextualSpacing/>
        <w:rPr>
          <w:rFonts w:ascii="Calibri" w:eastAsia="Calibri" w:hAnsi="Calibri" w:cs="Times New Roman"/>
          <w:sz w:val="22"/>
          <w:lang w:val="en-GB"/>
        </w:rPr>
      </w:pPr>
      <w:proofErr w:type="gramStart"/>
      <w:r w:rsidRPr="00DD02BA">
        <w:rPr>
          <w:rFonts w:ascii="Calibri" w:eastAsia="Calibri" w:hAnsi="Calibri" w:cs="Times New Roman"/>
          <w:color w:val="000000"/>
          <w:sz w:val="22"/>
          <w:lang w:val="en-GB"/>
        </w:rPr>
        <w:t>The vast majority of</w:t>
      </w:r>
      <w:proofErr w:type="gramEnd"/>
      <w:r w:rsidRPr="00DD02BA">
        <w:rPr>
          <w:rFonts w:ascii="Calibri" w:eastAsia="Calibri" w:hAnsi="Calibri" w:cs="Times New Roman"/>
          <w:color w:val="000000"/>
          <w:sz w:val="22"/>
          <w:lang w:val="en-GB"/>
        </w:rPr>
        <w:t xml:space="preserve"> allotments are owned and managed by local authorities.   Since 2010, all UK councils have had to deal with the austerity policies of national government and a huge loss of revenue. This has had a knock-on effect on allotment support, as in every other service area. In Birmingham t</w:t>
      </w:r>
      <w:r w:rsidRPr="00DD02BA">
        <w:rPr>
          <w:rFonts w:ascii="Calibri" w:eastAsia="Calibri" w:hAnsi="Calibri" w:cs="Times New Roman"/>
          <w:sz w:val="22"/>
          <w:lang w:val="en-GB"/>
        </w:rPr>
        <w:t xml:space="preserve">here is now only 0.6 of an </w:t>
      </w:r>
      <w:proofErr w:type="gramStart"/>
      <w:r w:rsidRPr="00DD02BA">
        <w:rPr>
          <w:rFonts w:ascii="Calibri" w:eastAsia="Calibri" w:hAnsi="Calibri" w:cs="Times New Roman"/>
          <w:sz w:val="22"/>
          <w:lang w:val="en-GB"/>
        </w:rPr>
        <w:t>officer</w:t>
      </w:r>
      <w:proofErr w:type="gramEnd"/>
      <w:r w:rsidRPr="00DD02BA">
        <w:rPr>
          <w:rFonts w:ascii="Calibri" w:eastAsia="Calibri" w:hAnsi="Calibri" w:cs="Times New Roman"/>
          <w:sz w:val="22"/>
          <w:lang w:val="en-GB"/>
        </w:rPr>
        <w:t xml:space="preserve"> within the council responsible for managing the 7,000 plus plots compared with five officers with area responsibilities up to 2015. Allotments have become a neglected part of the City Council’s estate.</w:t>
      </w:r>
    </w:p>
    <w:p w14:paraId="7E40C975" w14:textId="77777777" w:rsidR="00DD02BA" w:rsidRPr="00DD02BA" w:rsidRDefault="00DD02BA" w:rsidP="00DD02BA">
      <w:pPr>
        <w:spacing w:after="200" w:line="276" w:lineRule="auto"/>
        <w:contextualSpacing/>
        <w:rPr>
          <w:rFonts w:ascii="Calibri" w:eastAsia="Calibri" w:hAnsi="Calibri" w:cs="Times New Roman"/>
          <w:sz w:val="22"/>
          <w:lang w:val="en-GB"/>
        </w:rPr>
      </w:pPr>
    </w:p>
    <w:p w14:paraId="167D7E46" w14:textId="77B61AF4" w:rsidR="00DD02BA" w:rsidRPr="00DD02BA" w:rsidRDefault="00DD02BA" w:rsidP="00DD02BA">
      <w:pPr>
        <w:spacing w:after="200" w:line="276" w:lineRule="auto"/>
        <w:contextualSpacing/>
        <w:rPr>
          <w:rFonts w:ascii="Calibri" w:eastAsia="Calibri" w:hAnsi="Calibri" w:cs="Calibri"/>
          <w:bCs/>
          <w:color w:val="000000"/>
          <w:kern w:val="0"/>
          <w:sz w:val="22"/>
          <w:lang w:val="en-GB"/>
          <w14:ligatures w14:val="none"/>
        </w:rPr>
      </w:pPr>
      <w:r w:rsidRPr="00DD02BA">
        <w:rPr>
          <w:rFonts w:ascii="Calibri" w:eastAsia="Calibri" w:hAnsi="Calibri" w:cs="Calibri"/>
          <w:color w:val="000000"/>
          <w:kern w:val="0"/>
          <w:sz w:val="22"/>
          <w:lang w:val="en-GB"/>
          <w14:ligatures w14:val="none"/>
        </w:rPr>
        <w:t>The smooth operation and management of allotments depends on the energy and enthusiasm of the volunteers who run the sites. They embody the philosophy and culture of self-help. Yet, t</w:t>
      </w:r>
      <w:r w:rsidRPr="00DD02BA">
        <w:rPr>
          <w:rFonts w:ascii="Calibri" w:eastAsia="Calibri" w:hAnsi="Calibri" w:cs="Calibri"/>
          <w:color w:val="000000"/>
          <w:sz w:val="22"/>
          <w:lang w:val="en-GB"/>
        </w:rPr>
        <w:t xml:space="preserve">he reality is that David Cameron’s vision of ‘the big society’ </w:t>
      </w:r>
      <w:r w:rsidRPr="00DD02BA">
        <w:rPr>
          <w:rFonts w:ascii="Calibri" w:eastAsia="Calibri" w:hAnsi="Calibri" w:cs="Calibri"/>
          <w:bCs/>
          <w:color w:val="000000"/>
          <w:kern w:val="0"/>
          <w:sz w:val="22"/>
          <w:lang w:val="en-GB"/>
          <w14:ligatures w14:val="none"/>
        </w:rPr>
        <w:t xml:space="preserve">can’t work without solid institutional support. This can take a variety of organisational forms. The Birmingham Confederation is discussing various options with the </w:t>
      </w:r>
      <w:r w:rsidR="00BB4E40" w:rsidRPr="00DD02BA">
        <w:rPr>
          <w:rFonts w:ascii="Calibri" w:eastAsia="Calibri" w:hAnsi="Calibri" w:cs="Calibri"/>
          <w:bCs/>
          <w:color w:val="000000"/>
          <w:kern w:val="0"/>
          <w:sz w:val="22"/>
          <w:lang w:val="en-GB"/>
          <w14:ligatures w14:val="none"/>
        </w:rPr>
        <w:t>council,</w:t>
      </w:r>
      <w:r w:rsidRPr="00DD02BA">
        <w:rPr>
          <w:rFonts w:ascii="Calibri" w:eastAsia="Calibri" w:hAnsi="Calibri" w:cs="Calibri"/>
          <w:bCs/>
          <w:color w:val="000000"/>
          <w:kern w:val="0"/>
          <w:sz w:val="22"/>
          <w:lang w:val="en-GB"/>
          <w14:ligatures w14:val="none"/>
        </w:rPr>
        <w:t xml:space="preserve"> but the basic fact is that whoever takes the lead, there needs to be active stewardship of the allotment estate.</w:t>
      </w:r>
    </w:p>
    <w:p w14:paraId="67620524" w14:textId="77777777" w:rsidR="00DD02BA" w:rsidRPr="00DD02BA" w:rsidRDefault="00DD02BA" w:rsidP="00DD02BA">
      <w:pPr>
        <w:spacing w:after="200" w:line="276" w:lineRule="auto"/>
        <w:contextualSpacing/>
        <w:rPr>
          <w:rFonts w:ascii="Calibri" w:eastAsia="Calibri" w:hAnsi="Calibri" w:cs="Calibri"/>
          <w:bCs/>
          <w:color w:val="000000"/>
          <w:kern w:val="0"/>
          <w:sz w:val="22"/>
          <w:lang w:val="en-GB"/>
          <w14:ligatures w14:val="none"/>
        </w:rPr>
      </w:pPr>
    </w:p>
    <w:p w14:paraId="366C1B62" w14:textId="77777777" w:rsidR="00DD02BA" w:rsidRPr="00DD02BA" w:rsidRDefault="00DD02BA" w:rsidP="00DD02BA">
      <w:pPr>
        <w:spacing w:after="200" w:line="276" w:lineRule="auto"/>
        <w:contextualSpacing/>
        <w:rPr>
          <w:rFonts w:ascii="Calibri" w:eastAsia="Calibri" w:hAnsi="Calibri" w:cs="Times New Roman"/>
          <w:color w:val="000000"/>
          <w:sz w:val="22"/>
          <w:lang w:val="en-GB"/>
        </w:rPr>
      </w:pPr>
      <w:r w:rsidRPr="00DD02BA">
        <w:rPr>
          <w:rFonts w:ascii="Calibri" w:eastAsia="Calibri" w:hAnsi="Calibri" w:cs="Times New Roman"/>
          <w:color w:val="000000"/>
          <w:sz w:val="22"/>
          <w:lang w:val="en-GB"/>
        </w:rPr>
        <w:t xml:space="preserve">The more focused use of allotment rental income could offer that stewardship. But it needs to be combined with a community engagement strategy by allotments themselves. This requires allotments to see themselves as community assets open to their neighbourhood and wanting to attract onto their patch local families, schools and youngsters interested in nature and environmental issues.  </w:t>
      </w:r>
    </w:p>
    <w:p w14:paraId="6C634841" w14:textId="77777777" w:rsidR="00DD02BA" w:rsidRPr="00DD02BA" w:rsidRDefault="00DD02BA" w:rsidP="00DD02BA">
      <w:pPr>
        <w:spacing w:after="200" w:line="276" w:lineRule="auto"/>
        <w:contextualSpacing/>
        <w:rPr>
          <w:rFonts w:ascii="Calibri" w:eastAsia="Calibri" w:hAnsi="Calibri" w:cs="Times New Roman"/>
          <w:color w:val="000000"/>
          <w:sz w:val="22"/>
          <w:lang w:val="en-GB"/>
        </w:rPr>
      </w:pPr>
    </w:p>
    <w:p w14:paraId="37D7D4A8" w14:textId="77777777" w:rsidR="00DD02BA" w:rsidRPr="00DD02BA" w:rsidRDefault="00DD02BA" w:rsidP="00DD02BA">
      <w:pPr>
        <w:spacing w:after="200" w:line="276" w:lineRule="auto"/>
        <w:contextualSpacing/>
        <w:rPr>
          <w:rFonts w:ascii="Calibri" w:eastAsia="Calibri" w:hAnsi="Calibri" w:cs="Times New Roman"/>
          <w:color w:val="000000"/>
          <w:sz w:val="22"/>
          <w:lang w:val="en-GB"/>
        </w:rPr>
      </w:pPr>
      <w:r w:rsidRPr="00DD02BA">
        <w:rPr>
          <w:rFonts w:ascii="Calibri" w:eastAsia="Calibri" w:hAnsi="Calibri" w:cs="Times New Roman"/>
          <w:color w:val="000000"/>
          <w:sz w:val="22"/>
          <w:lang w:val="en-GB"/>
        </w:rPr>
        <w:t xml:space="preserve">This approach requires a shift in allotment culture. The more active sites are showing the way with external fundraising to maintain and modernise their sites. Their outward-going profile not only helps sites to attract funds but also makes sites more of a community hub. </w:t>
      </w:r>
    </w:p>
    <w:p w14:paraId="6E06125C" w14:textId="77777777" w:rsidR="00DD02BA" w:rsidRPr="00DD02BA" w:rsidRDefault="00DD02BA" w:rsidP="00DD02BA">
      <w:pPr>
        <w:spacing w:after="200" w:line="276" w:lineRule="auto"/>
        <w:contextualSpacing/>
        <w:rPr>
          <w:rFonts w:ascii="Calibri" w:eastAsia="Calibri" w:hAnsi="Calibri" w:cs="Times New Roman"/>
          <w:color w:val="000000"/>
          <w:sz w:val="22"/>
          <w:lang w:val="en-GB"/>
        </w:rPr>
      </w:pPr>
    </w:p>
    <w:tbl>
      <w:tblPr>
        <w:tblStyle w:val="TableGrid1"/>
        <w:tblW w:w="0" w:type="auto"/>
        <w:tblLook w:val="04A0" w:firstRow="1" w:lastRow="0" w:firstColumn="1" w:lastColumn="0" w:noHBand="0" w:noVBand="1"/>
      </w:tblPr>
      <w:tblGrid>
        <w:gridCol w:w="9016"/>
      </w:tblGrid>
      <w:tr w:rsidR="00DD02BA" w:rsidRPr="00DD02BA" w14:paraId="686BBE0C" w14:textId="77777777" w:rsidTr="00D35ACE">
        <w:tc>
          <w:tcPr>
            <w:tcW w:w="9016" w:type="dxa"/>
          </w:tcPr>
          <w:p w14:paraId="79FB51BF" w14:textId="77777777" w:rsidR="00DD02BA" w:rsidRPr="00DD02BA" w:rsidRDefault="00DD02BA" w:rsidP="00DD02BA">
            <w:pPr>
              <w:rPr>
                <w:rFonts w:ascii="Calibri" w:eastAsia="Calibri" w:hAnsi="Calibri" w:cs="Times New Roman"/>
                <w:color w:val="000000"/>
                <w:sz w:val="22"/>
              </w:rPr>
            </w:pPr>
            <w:r w:rsidRPr="00DD02BA">
              <w:rPr>
                <w:rFonts w:ascii="Calibri" w:eastAsia="Calibri" w:hAnsi="Calibri" w:cs="Times New Roman"/>
                <w:color w:val="000000"/>
                <w:sz w:val="22"/>
              </w:rPr>
              <w:t xml:space="preserve">“Access to our sites should be for the local community. Applications for additional funds must include a community dimension so that families and children will use the sites.”  </w:t>
            </w:r>
            <w:r w:rsidRPr="00DD02BA">
              <w:rPr>
                <w:rFonts w:ascii="Calibri" w:eastAsia="Calibri" w:hAnsi="Calibri" w:cs="Times New Roman"/>
                <w:color w:val="000000"/>
                <w:sz w:val="22"/>
              </w:rPr>
              <w:br/>
              <w:t xml:space="preserve">BDAC Secretary Hester Blewitt </w:t>
            </w:r>
          </w:p>
          <w:p w14:paraId="397C162E" w14:textId="77777777" w:rsidR="00DD02BA" w:rsidRPr="00DD02BA" w:rsidRDefault="00DD02BA" w:rsidP="00DD02BA">
            <w:pPr>
              <w:rPr>
                <w:rFonts w:ascii="Calibri" w:eastAsia="Calibri" w:hAnsi="Calibri" w:cs="Times New Roman"/>
                <w:color w:val="000000"/>
                <w:sz w:val="22"/>
              </w:rPr>
            </w:pPr>
          </w:p>
        </w:tc>
      </w:tr>
    </w:tbl>
    <w:p w14:paraId="0866BC50" w14:textId="77777777" w:rsidR="00DD02BA" w:rsidRPr="00DD02BA" w:rsidRDefault="00DD02BA" w:rsidP="00DD02BA">
      <w:pPr>
        <w:spacing w:after="200" w:line="276" w:lineRule="auto"/>
        <w:rPr>
          <w:rFonts w:ascii="Calibri" w:eastAsia="Calibri" w:hAnsi="Calibri" w:cs="Times New Roman"/>
          <w:color w:val="000000"/>
          <w:sz w:val="22"/>
          <w:lang w:val="en-GB"/>
        </w:rPr>
      </w:pPr>
    </w:p>
    <w:p w14:paraId="5C5C5E71" w14:textId="77777777" w:rsidR="00BB4E40" w:rsidRDefault="00BB4E40">
      <w:pPr>
        <w:rPr>
          <w:rFonts w:eastAsia="Times New Roman" w:cstheme="majorBidi"/>
          <w:b/>
          <w:sz w:val="28"/>
          <w:szCs w:val="26"/>
          <w:lang w:val="en-GB"/>
        </w:rPr>
      </w:pPr>
      <w:r>
        <w:rPr>
          <w:rFonts w:eastAsia="Times New Roman"/>
        </w:rPr>
        <w:br w:type="page"/>
      </w:r>
    </w:p>
    <w:p w14:paraId="6852F664" w14:textId="5EA00451" w:rsidR="00DD02BA" w:rsidRPr="00DD02BA" w:rsidRDefault="00DD02BA" w:rsidP="00DD02BA">
      <w:pPr>
        <w:pStyle w:val="Heading2"/>
        <w:rPr>
          <w:rFonts w:eastAsia="Times New Roman"/>
        </w:rPr>
      </w:pPr>
      <w:r w:rsidRPr="00DD02BA">
        <w:rPr>
          <w:rFonts w:eastAsia="Times New Roman"/>
        </w:rPr>
        <w:lastRenderedPageBreak/>
        <w:t>Recommendations</w:t>
      </w:r>
    </w:p>
    <w:p w14:paraId="51C35669" w14:textId="77777777" w:rsidR="00DD02BA" w:rsidRPr="00DD02BA" w:rsidRDefault="00DD02BA" w:rsidP="00DD02BA">
      <w:pPr>
        <w:spacing w:after="200" w:line="276" w:lineRule="auto"/>
        <w:rPr>
          <w:rFonts w:ascii="Calibri" w:eastAsia="Calibri" w:hAnsi="Calibri" w:cs="Times New Roman"/>
          <w:color w:val="000000"/>
          <w:sz w:val="22"/>
          <w:lang w:val="en-GB"/>
        </w:rPr>
      </w:pPr>
      <w:r w:rsidRPr="00DD02BA">
        <w:rPr>
          <w:rFonts w:ascii="Calibri" w:eastAsia="Calibri" w:hAnsi="Calibri" w:cs="Times New Roman"/>
          <w:color w:val="000000"/>
          <w:sz w:val="22"/>
          <w:lang w:val="en-GB"/>
        </w:rPr>
        <w:t xml:space="preserve">The report draws on these findings to suggest a number of practical recommendations. </w:t>
      </w:r>
    </w:p>
    <w:p w14:paraId="4DD6CC31" w14:textId="77777777" w:rsidR="00DD02BA" w:rsidRPr="00DD02BA" w:rsidRDefault="00DD02BA" w:rsidP="00DD02BA">
      <w:pPr>
        <w:numPr>
          <w:ilvl w:val="0"/>
          <w:numId w:val="25"/>
        </w:numPr>
        <w:spacing w:after="200" w:line="276" w:lineRule="auto"/>
        <w:contextualSpacing/>
        <w:rPr>
          <w:rFonts w:ascii="Calibri" w:eastAsia="Calibri" w:hAnsi="Calibri" w:cs="Calibri"/>
          <w:color w:val="000000"/>
          <w:sz w:val="22"/>
          <w:lang w:val="en-GB"/>
        </w:rPr>
      </w:pPr>
      <w:r w:rsidRPr="00DD02BA">
        <w:rPr>
          <w:rFonts w:ascii="Calibri" w:eastAsia="Calibri" w:hAnsi="Calibri" w:cs="Times New Roman"/>
          <w:color w:val="000000"/>
          <w:sz w:val="22"/>
          <w:lang w:val="en-GB"/>
        </w:rPr>
        <w:t xml:space="preserve">With some basic publicity and a drive to shorten existing waiting lists, </w:t>
      </w:r>
      <w:r w:rsidRPr="00DD02BA">
        <w:rPr>
          <w:rFonts w:ascii="Calibri" w:eastAsia="Calibri" w:hAnsi="Calibri" w:cs="Calibri"/>
          <w:color w:val="000000"/>
          <w:sz w:val="22"/>
          <w:lang w:val="en-GB"/>
        </w:rPr>
        <w:t xml:space="preserve">occupancy rates could quickly rise to over 90%; </w:t>
      </w:r>
    </w:p>
    <w:p w14:paraId="446449AB" w14:textId="77777777" w:rsidR="00DD02BA" w:rsidRPr="00DD02BA" w:rsidRDefault="00DD02BA" w:rsidP="00DD02BA">
      <w:pPr>
        <w:numPr>
          <w:ilvl w:val="0"/>
          <w:numId w:val="25"/>
        </w:numPr>
        <w:spacing w:after="200" w:line="276" w:lineRule="auto"/>
        <w:contextualSpacing/>
        <w:rPr>
          <w:rFonts w:ascii="Calibri" w:eastAsia="Calibri" w:hAnsi="Calibri" w:cs="Calibri"/>
          <w:color w:val="000000"/>
          <w:sz w:val="22"/>
          <w:lang w:val="en-GB"/>
        </w:rPr>
      </w:pPr>
      <w:r w:rsidRPr="00DD02BA">
        <w:rPr>
          <w:rFonts w:ascii="Calibri" w:eastAsia="Calibri" w:hAnsi="Calibri" w:cs="Calibri"/>
          <w:color w:val="000000"/>
          <w:sz w:val="22"/>
          <w:lang w:val="en-GB"/>
        </w:rPr>
        <w:t>m</w:t>
      </w:r>
      <w:r w:rsidRPr="00DD02BA">
        <w:rPr>
          <w:rFonts w:ascii="Calibri" w:eastAsia="Calibri" w:hAnsi="Calibri" w:cs="Calibri"/>
          <w:kern w:val="0"/>
          <w:sz w:val="22"/>
          <w:lang w:val="en-GB"/>
          <w14:ligatures w14:val="none"/>
        </w:rPr>
        <w:t xml:space="preserve">aximising the use of allotments should be a priority for the city’s public health and GP services; </w:t>
      </w:r>
    </w:p>
    <w:p w14:paraId="566B051A" w14:textId="77777777" w:rsidR="00DD02BA" w:rsidRPr="00DD02BA" w:rsidRDefault="00DD02BA" w:rsidP="00DD02BA">
      <w:pPr>
        <w:numPr>
          <w:ilvl w:val="0"/>
          <w:numId w:val="25"/>
        </w:numPr>
        <w:spacing w:after="200" w:line="276" w:lineRule="auto"/>
        <w:contextualSpacing/>
        <w:rPr>
          <w:rFonts w:ascii="Calibri" w:eastAsia="Calibri" w:hAnsi="Calibri" w:cs="Calibri"/>
          <w:color w:val="000000"/>
          <w:sz w:val="22"/>
          <w:lang w:val="en-GB"/>
        </w:rPr>
      </w:pPr>
      <w:r w:rsidRPr="00DD02BA">
        <w:rPr>
          <w:rFonts w:ascii="Calibri" w:eastAsia="Calibri" w:hAnsi="Calibri" w:cs="Calibri"/>
          <w:kern w:val="0"/>
          <w:sz w:val="22"/>
          <w:lang w:val="en-GB"/>
          <w14:ligatures w14:val="none"/>
        </w:rPr>
        <w:t xml:space="preserve">they should feature more prominently in the council’s green spaces and planning proposals; </w:t>
      </w:r>
    </w:p>
    <w:p w14:paraId="62AFAA6F" w14:textId="77777777" w:rsidR="00DD02BA" w:rsidRPr="00DD02BA" w:rsidRDefault="00DD02BA" w:rsidP="00DD02BA">
      <w:pPr>
        <w:numPr>
          <w:ilvl w:val="0"/>
          <w:numId w:val="25"/>
        </w:numPr>
        <w:spacing w:after="200" w:line="276" w:lineRule="auto"/>
        <w:contextualSpacing/>
        <w:rPr>
          <w:rFonts w:ascii="Calibri" w:eastAsia="Calibri" w:hAnsi="Calibri" w:cs="Calibri"/>
          <w:color w:val="000000"/>
          <w:sz w:val="22"/>
          <w:lang w:val="en-GB"/>
        </w:rPr>
      </w:pPr>
      <w:r w:rsidRPr="00DD02BA">
        <w:rPr>
          <w:rFonts w:ascii="Calibri" w:eastAsia="Calibri" w:hAnsi="Calibri" w:cs="Calibri"/>
          <w:kern w:val="0"/>
          <w:sz w:val="22"/>
          <w:lang w:val="en-GB"/>
          <w14:ligatures w14:val="none"/>
        </w:rPr>
        <w:t xml:space="preserve">BDAC should be helped in its fund-raising and other initiatives. </w:t>
      </w:r>
    </w:p>
    <w:p w14:paraId="082A450F" w14:textId="77777777" w:rsidR="00DD02BA" w:rsidRPr="00DD02BA" w:rsidRDefault="00DD02BA" w:rsidP="00DD02BA">
      <w:pPr>
        <w:spacing w:after="200" w:line="276" w:lineRule="auto"/>
        <w:ind w:left="720"/>
        <w:contextualSpacing/>
        <w:rPr>
          <w:rFonts w:ascii="Calibri" w:eastAsia="Calibri" w:hAnsi="Calibri" w:cs="Calibri"/>
          <w:color w:val="000000"/>
          <w:sz w:val="22"/>
          <w:lang w:val="en-GB"/>
        </w:rPr>
      </w:pPr>
    </w:p>
    <w:p w14:paraId="58A81708" w14:textId="3BD28D83" w:rsidR="00DD02BA" w:rsidRPr="00DD02BA" w:rsidRDefault="00DD02BA" w:rsidP="00DD02BA">
      <w:pPr>
        <w:pStyle w:val="Heading2"/>
        <w:rPr>
          <w:rFonts w:eastAsia="Calibri"/>
        </w:rPr>
      </w:pPr>
      <w:r w:rsidRPr="00DD02BA">
        <w:rPr>
          <w:rFonts w:eastAsia="Calibri"/>
        </w:rPr>
        <w:t>Conclusions</w:t>
      </w:r>
    </w:p>
    <w:p w14:paraId="43886BCB" w14:textId="77777777" w:rsidR="00DD02BA" w:rsidRPr="00DD02BA" w:rsidRDefault="00DD02BA" w:rsidP="00DD02BA">
      <w:pPr>
        <w:spacing w:after="200" w:line="276" w:lineRule="auto"/>
        <w:rPr>
          <w:rFonts w:ascii="Calibri" w:eastAsia="Calibri" w:hAnsi="Calibri" w:cs="Times New Roman"/>
          <w:color w:val="000000"/>
          <w:kern w:val="0"/>
          <w:sz w:val="22"/>
          <w:lang w:val="en-GB"/>
          <w14:ligatures w14:val="none"/>
        </w:rPr>
      </w:pPr>
      <w:r w:rsidRPr="00DD02BA">
        <w:rPr>
          <w:rFonts w:ascii="Calibri" w:eastAsia="Calibri" w:hAnsi="Calibri" w:cs="Times New Roman"/>
          <w:color w:val="000000"/>
          <w:kern w:val="0"/>
          <w:sz w:val="22"/>
          <w:lang w:val="en-GB"/>
          <w14:ligatures w14:val="none"/>
        </w:rPr>
        <w:t xml:space="preserve">Allotments are essentially a </w:t>
      </w:r>
      <w:r w:rsidRPr="00DD02BA">
        <w:rPr>
          <w:rFonts w:ascii="Calibri" w:eastAsia="Calibri" w:hAnsi="Calibri" w:cs="Times New Roman"/>
          <w:color w:val="000000"/>
          <w:kern w:val="0"/>
          <w:sz w:val="22"/>
          <w:u w:val="single"/>
          <w:lang w:val="en-GB"/>
          <w14:ligatures w14:val="none"/>
        </w:rPr>
        <w:t>low-cost public investment</w:t>
      </w:r>
      <w:r w:rsidRPr="00DD02BA">
        <w:rPr>
          <w:rFonts w:ascii="Calibri" w:eastAsia="Calibri" w:hAnsi="Calibri" w:cs="Times New Roman"/>
          <w:color w:val="000000"/>
          <w:kern w:val="0"/>
          <w:sz w:val="22"/>
          <w:lang w:val="en-GB"/>
          <w14:ligatures w14:val="none"/>
        </w:rPr>
        <w:t xml:space="preserve">, which currently goes under the radar. At a time when there is much talk about the importance of well-being, allotments represent a key, but often neglected, element of urban life. This report shows the rich and important contribution they make to the life and health of the city. The National Allotment Society is looking to extend this survey to other regions across the country as part of a drive to increase the recognition of the allotment’s role.  They deserve a higher profile and more attention from all decision-makers across Birmingham and beyond. </w:t>
      </w:r>
    </w:p>
    <w:p w14:paraId="671CA00B" w14:textId="77777777" w:rsidR="00BB4E40" w:rsidRDefault="00BB4E40">
      <w:pPr>
        <w:rPr>
          <w:rFonts w:eastAsia="Calibri"/>
        </w:rPr>
      </w:pPr>
    </w:p>
    <w:p w14:paraId="10124D54" w14:textId="77777777" w:rsidR="00BB4E40" w:rsidRDefault="00BB4E40">
      <w:pPr>
        <w:rPr>
          <w:rFonts w:eastAsia="Calibri"/>
        </w:rPr>
      </w:pPr>
    </w:p>
    <w:p w14:paraId="494A521E" w14:textId="77777777" w:rsidR="00BB4E40" w:rsidRDefault="00BB4E40">
      <w:pPr>
        <w:rPr>
          <w:rFonts w:eastAsia="Calibri"/>
        </w:rPr>
      </w:pPr>
    </w:p>
    <w:p w14:paraId="1ABC221C" w14:textId="77777777" w:rsidR="00BB4E40" w:rsidRDefault="00BB4E40" w:rsidP="00DD02BA">
      <w:pPr>
        <w:pStyle w:val="Heading2"/>
        <w:rPr>
          <w:rFonts w:eastAsia="Calibri"/>
        </w:rPr>
      </w:pPr>
    </w:p>
    <w:p w14:paraId="37CBFECA" w14:textId="77777777" w:rsidR="00BB4E40" w:rsidRDefault="00BB4E40" w:rsidP="00DD02BA">
      <w:pPr>
        <w:pStyle w:val="Heading2"/>
        <w:rPr>
          <w:rFonts w:eastAsia="Calibri"/>
        </w:rPr>
      </w:pPr>
    </w:p>
    <w:p w14:paraId="639C1513" w14:textId="3E755F0B" w:rsidR="00DD02BA" w:rsidRPr="00DD02BA" w:rsidRDefault="00DD02BA" w:rsidP="00DD02BA">
      <w:pPr>
        <w:pStyle w:val="Heading2"/>
        <w:rPr>
          <w:rFonts w:eastAsia="Calibri"/>
        </w:rPr>
      </w:pPr>
      <w:r w:rsidRPr="00DD02BA">
        <w:rPr>
          <w:rFonts w:eastAsia="Calibri"/>
        </w:rPr>
        <w:t>Authors and Acknowledgements.</w:t>
      </w:r>
    </w:p>
    <w:p w14:paraId="75E15AEE" w14:textId="099F64EF" w:rsidR="00DD02BA" w:rsidRPr="00DD02BA" w:rsidRDefault="00DD02BA" w:rsidP="00DD02BA">
      <w:pPr>
        <w:spacing w:after="200" w:line="276" w:lineRule="auto"/>
        <w:rPr>
          <w:rFonts w:ascii="Calibri" w:eastAsia="Calibri" w:hAnsi="Calibri" w:cs="Times New Roman"/>
          <w:color w:val="000000"/>
          <w:sz w:val="22"/>
          <w:lang w:val="en-GB"/>
        </w:rPr>
      </w:pPr>
      <w:r w:rsidRPr="00DD02BA">
        <w:rPr>
          <w:rFonts w:ascii="Calibri" w:eastAsia="Calibri" w:hAnsi="Calibri" w:cs="Times New Roman"/>
          <w:color w:val="000000"/>
          <w:sz w:val="22"/>
          <w:lang w:val="en-GB"/>
        </w:rPr>
        <w:t xml:space="preserve">This report was prepared and written by </w:t>
      </w:r>
      <w:r w:rsidR="00BB4E40" w:rsidRPr="00DD02BA">
        <w:rPr>
          <w:rFonts w:ascii="Calibri" w:eastAsia="Calibri" w:hAnsi="Calibri" w:cs="Times New Roman"/>
          <w:b/>
          <w:color w:val="000000"/>
          <w:sz w:val="22"/>
          <w:lang w:val="en-GB"/>
        </w:rPr>
        <w:t>Dr</w:t>
      </w:r>
      <w:r w:rsidRPr="00DD02BA">
        <w:rPr>
          <w:rFonts w:ascii="Calibri" w:eastAsia="Calibri" w:hAnsi="Calibri" w:cs="Times New Roman"/>
          <w:b/>
          <w:color w:val="000000"/>
          <w:sz w:val="22"/>
          <w:lang w:val="en-GB"/>
        </w:rPr>
        <w:t xml:space="preserve"> Jon Bloomfield,</w:t>
      </w:r>
      <w:r w:rsidRPr="00DD02BA">
        <w:rPr>
          <w:rFonts w:ascii="Calibri" w:eastAsia="Calibri" w:hAnsi="Calibri" w:cs="Times New Roman"/>
          <w:color w:val="000000"/>
          <w:sz w:val="22"/>
          <w:lang w:val="en-GB"/>
        </w:rPr>
        <w:t xml:space="preserve"> Honorary Research Fellow, Department of Public Administration and Policy, University of Birmingham and </w:t>
      </w:r>
      <w:r w:rsidRPr="00DD02BA">
        <w:rPr>
          <w:rFonts w:ascii="Calibri" w:eastAsia="Calibri" w:hAnsi="Calibri" w:cs="Times New Roman"/>
          <w:b/>
          <w:color w:val="000000"/>
          <w:sz w:val="22"/>
          <w:lang w:val="en-GB"/>
        </w:rPr>
        <w:t>David Draycott,</w:t>
      </w:r>
      <w:r w:rsidRPr="00DD02BA">
        <w:rPr>
          <w:rFonts w:ascii="Calibri" w:eastAsia="Calibri" w:hAnsi="Calibri" w:cs="Times New Roman"/>
          <w:color w:val="000000"/>
          <w:sz w:val="22"/>
          <w:lang w:val="en-GB"/>
        </w:rPr>
        <w:t xml:space="preserve"> Secretary of the Moor Green Allotments Association. The study was only possible with the help of many people active within the Birmingham allotment community, in particular, Hester Blewitt, BDAC Secretary and Clive Fenn; while Jason Lowther, </w:t>
      </w:r>
      <w:r w:rsidRPr="00DD02BA">
        <w:rPr>
          <w:rFonts w:ascii="Calibri" w:eastAsia="Calibri" w:hAnsi="Calibri" w:cs="Calibri"/>
          <w:color w:val="242424"/>
          <w:kern w:val="0"/>
          <w:sz w:val="22"/>
          <w:shd w:val="clear" w:color="auto" w:fill="FFFFFF"/>
          <w:lang w:val="en-GB"/>
          <w14:ligatures w14:val="none"/>
        </w:rPr>
        <w:t>Director - Institute of Local Government Studies (Inlogov)</w:t>
      </w:r>
      <w:r w:rsidRPr="00DD02BA">
        <w:rPr>
          <w:rFonts w:ascii="Calibri" w:eastAsia="Calibri" w:hAnsi="Calibri" w:cs="Calibri"/>
          <w:color w:val="000000"/>
          <w:sz w:val="22"/>
          <w:lang w:val="en-GB"/>
        </w:rPr>
        <w:t xml:space="preserve"> </w:t>
      </w:r>
      <w:r w:rsidRPr="00DD02BA">
        <w:rPr>
          <w:rFonts w:ascii="Calibri" w:eastAsia="Calibri" w:hAnsi="Calibri" w:cs="Times New Roman"/>
          <w:color w:val="000000"/>
          <w:sz w:val="22"/>
          <w:lang w:val="en-GB"/>
        </w:rPr>
        <w:t>at the University of Birmingham facilitated the use of the Qualtrics system; ensured the smooth operation of the two surveys and helped with his considerable policy insight.</w:t>
      </w:r>
    </w:p>
    <w:p w14:paraId="616A6547" w14:textId="2D0B6699" w:rsidR="00DD02BA" w:rsidRPr="00DD02BA" w:rsidRDefault="00DD02BA" w:rsidP="00DD02BA">
      <w:pPr>
        <w:spacing w:after="200" w:line="276" w:lineRule="auto"/>
        <w:rPr>
          <w:rFonts w:ascii="Calibri" w:eastAsia="Calibri" w:hAnsi="Calibri" w:cs="Times New Roman"/>
          <w:color w:val="0000FF"/>
          <w:kern w:val="0"/>
          <w:sz w:val="22"/>
          <w:u w:val="single"/>
          <w:lang w:val="en-GB"/>
          <w14:ligatures w14:val="none"/>
        </w:rPr>
      </w:pPr>
      <w:r w:rsidRPr="00DD02BA">
        <w:rPr>
          <w:rFonts w:ascii="Calibri" w:eastAsia="Calibri" w:hAnsi="Calibri" w:cs="Times New Roman"/>
          <w:color w:val="000000"/>
          <w:sz w:val="22"/>
          <w:lang w:val="en-GB"/>
        </w:rPr>
        <w:t xml:space="preserve">A copy of the full report is available on the BDAC </w:t>
      </w:r>
      <w:r w:rsidR="00BB4E40" w:rsidRPr="00DD02BA">
        <w:rPr>
          <w:rFonts w:ascii="Calibri" w:eastAsia="Calibri" w:hAnsi="Calibri" w:cs="Times New Roman"/>
          <w:color w:val="000000"/>
          <w:sz w:val="22"/>
          <w:lang w:val="en-GB"/>
        </w:rPr>
        <w:t>website</w:t>
      </w:r>
      <w:r w:rsidRPr="00DD02BA">
        <w:rPr>
          <w:rFonts w:ascii="Calibri" w:eastAsia="Calibri" w:hAnsi="Calibri" w:cs="Times New Roman"/>
          <w:color w:val="000000"/>
          <w:sz w:val="22"/>
          <w:lang w:val="en-GB"/>
        </w:rPr>
        <w:t xml:space="preserve">. </w:t>
      </w:r>
      <w:hyperlink r:id="rId16" w:history="1">
        <w:r w:rsidRPr="00DD02BA">
          <w:rPr>
            <w:rFonts w:ascii="Calibri" w:eastAsia="Calibri" w:hAnsi="Calibri" w:cs="Times New Roman"/>
            <w:color w:val="0000FF"/>
            <w:kern w:val="0"/>
            <w:sz w:val="22"/>
            <w:u w:val="single"/>
            <w:lang w:val="en-GB"/>
            <w14:ligatures w14:val="none"/>
          </w:rPr>
          <w:t>Home - Birmingham &amp; District Allotment Confederation (bdacallotments.co.uk)</w:t>
        </w:r>
      </w:hyperlink>
    </w:p>
    <w:p w14:paraId="49BC48B5" w14:textId="77777777" w:rsidR="00DD02BA" w:rsidRPr="00DD02BA" w:rsidRDefault="00DD02BA" w:rsidP="00DD02BA">
      <w:pPr>
        <w:spacing w:after="200" w:line="276" w:lineRule="auto"/>
        <w:rPr>
          <w:rFonts w:ascii="Calibri" w:eastAsia="Calibri" w:hAnsi="Calibri" w:cs="Times New Roman"/>
          <w:color w:val="000000"/>
          <w:sz w:val="22"/>
          <w:lang w:val="en-GB"/>
        </w:rPr>
      </w:pPr>
      <w:r w:rsidRPr="00DD02BA">
        <w:rPr>
          <w:rFonts w:ascii="Calibri" w:eastAsia="Calibri" w:hAnsi="Calibri" w:cs="Times New Roman"/>
          <w:color w:val="000000"/>
          <w:sz w:val="22"/>
          <w:lang w:val="en-GB"/>
        </w:rPr>
        <w:t xml:space="preserve">For further information contact Jon Bloomfield at </w:t>
      </w:r>
      <w:hyperlink r:id="rId17" w:history="1">
        <w:r w:rsidRPr="00DD02BA">
          <w:rPr>
            <w:rFonts w:ascii="Calibri" w:eastAsia="Calibri" w:hAnsi="Calibri" w:cs="Times New Roman"/>
            <w:color w:val="0000FF"/>
            <w:sz w:val="22"/>
            <w:u w:val="single"/>
            <w:lang w:val="en-GB"/>
          </w:rPr>
          <w:t>j.bloomfield@bham.ac.uk</w:t>
        </w:r>
      </w:hyperlink>
      <w:r w:rsidRPr="00DD02BA">
        <w:rPr>
          <w:rFonts w:ascii="Calibri" w:eastAsia="Calibri" w:hAnsi="Calibri" w:cs="Times New Roman"/>
          <w:color w:val="000000"/>
          <w:sz w:val="22"/>
          <w:lang w:val="en-GB"/>
        </w:rPr>
        <w:t xml:space="preserve">. </w:t>
      </w:r>
    </w:p>
    <w:p w14:paraId="1A7C3EE7" w14:textId="77777777" w:rsidR="00A20F1A" w:rsidRDefault="00A20F1A" w:rsidP="008A2EEF">
      <w:pPr>
        <w:rPr>
          <w:lang w:val="en-GB"/>
        </w:rPr>
      </w:pPr>
    </w:p>
    <w:p w14:paraId="14EEC852" w14:textId="1AE5111F" w:rsidR="00BB4E40" w:rsidRDefault="00BB4E40">
      <w:pPr>
        <w:rPr>
          <w:lang w:val="en-GB"/>
        </w:rPr>
      </w:pPr>
      <w:r>
        <w:rPr>
          <w:lang w:val="en-GB"/>
        </w:rPr>
        <w:br w:type="page"/>
      </w:r>
    </w:p>
    <w:p w14:paraId="1430FD9F" w14:textId="77777777" w:rsidR="00BB4E40" w:rsidRDefault="00BB4E40" w:rsidP="00DE6391">
      <w:pPr>
        <w:rPr>
          <w:lang w:val="en-GB"/>
        </w:rPr>
      </w:pPr>
    </w:p>
    <w:p w14:paraId="2F47FBEF" w14:textId="60088ACC" w:rsidR="00BB4E40" w:rsidRDefault="00BB4E40" w:rsidP="00BB4E40">
      <w:pPr>
        <w:jc w:val="center"/>
        <w:rPr>
          <w:noProof/>
          <w:lang w:val="en-GB" w:eastAsia="en-GB"/>
        </w:rPr>
      </w:pPr>
    </w:p>
    <w:p w14:paraId="1A6EC6E9" w14:textId="77777777" w:rsidR="00D057CF" w:rsidRDefault="00D057CF" w:rsidP="00BB4E40">
      <w:pPr>
        <w:jc w:val="center"/>
        <w:rPr>
          <w:noProof/>
          <w:lang w:val="en-GB" w:eastAsia="en-GB"/>
        </w:rPr>
      </w:pPr>
    </w:p>
    <w:p w14:paraId="00298BF8" w14:textId="77777777" w:rsidR="00D057CF" w:rsidRDefault="00D057CF" w:rsidP="00BB4E40">
      <w:pPr>
        <w:jc w:val="center"/>
        <w:rPr>
          <w:noProof/>
          <w:lang w:val="en-GB" w:eastAsia="en-GB"/>
        </w:rPr>
      </w:pPr>
    </w:p>
    <w:p w14:paraId="6134A246" w14:textId="77777777" w:rsidR="00D057CF" w:rsidRDefault="00D057CF" w:rsidP="00BB4E40">
      <w:pPr>
        <w:jc w:val="center"/>
        <w:rPr>
          <w:noProof/>
          <w:lang w:val="en-GB" w:eastAsia="en-GB"/>
        </w:rPr>
      </w:pPr>
    </w:p>
    <w:p w14:paraId="7A9BD9DB" w14:textId="77777777" w:rsidR="00D057CF" w:rsidRDefault="00D057CF" w:rsidP="00BB4E40">
      <w:pPr>
        <w:jc w:val="center"/>
        <w:rPr>
          <w:noProof/>
          <w:lang w:val="en-GB" w:eastAsia="en-GB"/>
        </w:rPr>
      </w:pPr>
    </w:p>
    <w:p w14:paraId="03DA27D5" w14:textId="77777777" w:rsidR="00D057CF" w:rsidRDefault="00D057CF" w:rsidP="00BB4E40">
      <w:pPr>
        <w:jc w:val="center"/>
        <w:rPr>
          <w:noProof/>
          <w:lang w:val="en-GB" w:eastAsia="en-GB"/>
        </w:rPr>
      </w:pPr>
    </w:p>
    <w:p w14:paraId="48AB3F91" w14:textId="77777777" w:rsidR="00D057CF" w:rsidRDefault="00D057CF" w:rsidP="00BB4E40">
      <w:pPr>
        <w:jc w:val="center"/>
        <w:rPr>
          <w:noProof/>
          <w:lang w:val="en-GB" w:eastAsia="en-GB"/>
        </w:rPr>
      </w:pPr>
    </w:p>
    <w:p w14:paraId="146C4277" w14:textId="77777777" w:rsidR="00D057CF" w:rsidRDefault="00D057CF" w:rsidP="00BB4E40">
      <w:pPr>
        <w:jc w:val="center"/>
        <w:rPr>
          <w:noProof/>
          <w:lang w:val="en-GB" w:eastAsia="en-GB"/>
        </w:rPr>
      </w:pPr>
    </w:p>
    <w:p w14:paraId="33F20B5B" w14:textId="77777777" w:rsidR="00D057CF" w:rsidRDefault="00D057CF" w:rsidP="00BB4E40">
      <w:pPr>
        <w:jc w:val="center"/>
        <w:rPr>
          <w:noProof/>
          <w:lang w:val="en-GB" w:eastAsia="en-GB"/>
        </w:rPr>
      </w:pPr>
    </w:p>
    <w:p w14:paraId="0E9FE36D" w14:textId="77777777" w:rsidR="00D057CF" w:rsidRDefault="00D057CF" w:rsidP="00BB4E40">
      <w:pPr>
        <w:jc w:val="center"/>
        <w:rPr>
          <w:noProof/>
          <w:lang w:val="en-GB" w:eastAsia="en-GB"/>
        </w:rPr>
      </w:pPr>
    </w:p>
    <w:p w14:paraId="264EB35F" w14:textId="77777777" w:rsidR="00D057CF" w:rsidRDefault="00D057CF" w:rsidP="00BB4E40">
      <w:pPr>
        <w:jc w:val="center"/>
        <w:rPr>
          <w:noProof/>
          <w:lang w:val="en-GB" w:eastAsia="en-GB"/>
        </w:rPr>
      </w:pPr>
    </w:p>
    <w:p w14:paraId="3016462F" w14:textId="77777777" w:rsidR="00D057CF" w:rsidRDefault="00D057CF" w:rsidP="00BB4E40">
      <w:pPr>
        <w:jc w:val="center"/>
        <w:rPr>
          <w:noProof/>
          <w:lang w:val="en-GB" w:eastAsia="en-GB"/>
        </w:rPr>
      </w:pPr>
    </w:p>
    <w:p w14:paraId="51B4B4F5" w14:textId="77777777" w:rsidR="00D057CF" w:rsidRDefault="00D057CF" w:rsidP="00BB4E40">
      <w:pPr>
        <w:jc w:val="center"/>
        <w:rPr>
          <w:noProof/>
          <w:lang w:val="en-GB" w:eastAsia="en-GB"/>
        </w:rPr>
      </w:pPr>
    </w:p>
    <w:p w14:paraId="328A9D32" w14:textId="77777777" w:rsidR="00D057CF" w:rsidRDefault="00D057CF" w:rsidP="00BB4E40">
      <w:pPr>
        <w:jc w:val="center"/>
        <w:rPr>
          <w:noProof/>
          <w:lang w:val="en-GB" w:eastAsia="en-GB"/>
        </w:rPr>
      </w:pPr>
    </w:p>
    <w:p w14:paraId="1B6AD5A1" w14:textId="77777777" w:rsidR="00D057CF" w:rsidRDefault="00D057CF" w:rsidP="00BB4E40">
      <w:pPr>
        <w:jc w:val="center"/>
        <w:rPr>
          <w:noProof/>
          <w:lang w:val="en-GB" w:eastAsia="en-GB"/>
        </w:rPr>
      </w:pPr>
    </w:p>
    <w:p w14:paraId="405CF586" w14:textId="77777777" w:rsidR="00D057CF" w:rsidRDefault="00D057CF" w:rsidP="00BB4E40">
      <w:pPr>
        <w:jc w:val="center"/>
        <w:rPr>
          <w:noProof/>
          <w:lang w:val="en-GB" w:eastAsia="en-GB"/>
        </w:rPr>
      </w:pPr>
    </w:p>
    <w:p w14:paraId="4CEFA282" w14:textId="77777777" w:rsidR="00D057CF" w:rsidRDefault="00D057CF" w:rsidP="00BB4E40">
      <w:pPr>
        <w:jc w:val="center"/>
        <w:rPr>
          <w:noProof/>
          <w:lang w:val="en-GB" w:eastAsia="en-GB"/>
        </w:rPr>
      </w:pPr>
    </w:p>
    <w:p w14:paraId="727A38DD" w14:textId="77777777" w:rsidR="00D057CF" w:rsidRDefault="00D057CF" w:rsidP="00BB4E40">
      <w:pPr>
        <w:jc w:val="center"/>
        <w:rPr>
          <w:noProof/>
          <w:lang w:val="en-GB" w:eastAsia="en-GB"/>
        </w:rPr>
      </w:pPr>
    </w:p>
    <w:p w14:paraId="369D0270" w14:textId="77777777" w:rsidR="00D057CF" w:rsidRDefault="00D057CF" w:rsidP="00BB4E40">
      <w:pPr>
        <w:jc w:val="center"/>
        <w:rPr>
          <w:noProof/>
          <w:lang w:val="en-GB" w:eastAsia="en-GB"/>
        </w:rPr>
      </w:pPr>
    </w:p>
    <w:p w14:paraId="21DA3970" w14:textId="77777777" w:rsidR="00D057CF" w:rsidRDefault="00D057CF" w:rsidP="00BB4E40">
      <w:pPr>
        <w:jc w:val="center"/>
        <w:rPr>
          <w:lang w:val="en-GB"/>
        </w:rPr>
      </w:pPr>
    </w:p>
    <w:p w14:paraId="2405A986" w14:textId="77777777" w:rsidR="00BB4E40" w:rsidRDefault="00BB4E40" w:rsidP="00DE6391">
      <w:pPr>
        <w:rPr>
          <w:lang w:val="en-GB"/>
        </w:rPr>
      </w:pPr>
    </w:p>
    <w:p w14:paraId="64B37D3B" w14:textId="77777777" w:rsidR="00BB4E40" w:rsidRDefault="00BB4E40" w:rsidP="00DE6391">
      <w:pPr>
        <w:rPr>
          <w:lang w:val="en-GB"/>
        </w:rPr>
      </w:pPr>
    </w:p>
    <w:p w14:paraId="0584FF0E" w14:textId="27FA6466" w:rsidR="007E40F1" w:rsidRPr="008A2EEF" w:rsidRDefault="007E40F1" w:rsidP="00DE6391">
      <w:pPr>
        <w:rPr>
          <w:lang w:val="en-GB"/>
        </w:rPr>
      </w:pPr>
      <w:r>
        <w:rPr>
          <w:rFonts w:cs="Arial"/>
          <w:noProof/>
          <w:lang w:val="en-GB" w:eastAsia="en-GB"/>
        </w:rPr>
        <w:drawing>
          <wp:inline distT="0" distB="0" distL="0" distR="0" wp14:anchorId="180A4E0E" wp14:editId="755F36D9">
            <wp:extent cx="1580483" cy="889000"/>
            <wp:effectExtent l="0" t="0" r="0" b="0"/>
            <wp:docPr id="149150076" name="Picture 1" descr="A yellow line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0076" name="Picture 1" descr="A yellow line on a black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8115" cy="932667"/>
                    </a:xfrm>
                    <a:prstGeom prst="rect">
                      <a:avLst/>
                    </a:prstGeom>
                  </pic:spPr>
                </pic:pic>
              </a:graphicData>
            </a:graphic>
          </wp:inline>
        </w:drawing>
      </w:r>
    </w:p>
    <w:sectPr w:rsidR="007E40F1" w:rsidRPr="008A2EEF" w:rsidSect="0087540B">
      <w:headerReference w:type="default" r:id="rId18"/>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7BAB4" w14:textId="77777777" w:rsidR="005D4B62" w:rsidRDefault="005D4B62" w:rsidP="007140C0">
      <w:pPr>
        <w:spacing w:after="0" w:line="240" w:lineRule="auto"/>
      </w:pPr>
      <w:r>
        <w:separator/>
      </w:r>
    </w:p>
  </w:endnote>
  <w:endnote w:type="continuationSeparator" w:id="0">
    <w:p w14:paraId="29BE2EDC" w14:textId="77777777" w:rsidR="005D4B62" w:rsidRDefault="005D4B62"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E0DE6" w14:textId="77777777" w:rsidR="005D4B62" w:rsidRDefault="005D4B62" w:rsidP="007140C0">
      <w:pPr>
        <w:spacing w:after="0" w:line="240" w:lineRule="auto"/>
      </w:pPr>
      <w:r>
        <w:separator/>
      </w:r>
    </w:p>
  </w:footnote>
  <w:footnote w:type="continuationSeparator" w:id="0">
    <w:p w14:paraId="7681075C" w14:textId="77777777" w:rsidR="005D4B62" w:rsidRDefault="005D4B62"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1116400235"/>
      <w:dataBinding w:prefixMappings="xmlns:ns0='http://purl.org/dc/elements/1.1/' xmlns:ns1='http://schemas.openxmlformats.org/package/2006/metadata/core-properties' " w:xpath="/ns1:coreProperties[1]/ns0:title[1]" w:storeItemID="{6C3C8BC8-F283-45AE-878A-BAB7291924A1}"/>
      <w:text/>
    </w:sdtPr>
    <w:sdtContent>
      <w:p w14:paraId="4A24096B" w14:textId="4CB0BD08" w:rsidR="0087540B" w:rsidRPr="00600223" w:rsidRDefault="00DD02BA">
        <w:pPr>
          <w:pStyle w:val="Header"/>
          <w:tabs>
            <w:tab w:val="clear" w:pos="4680"/>
            <w:tab w:val="clear" w:pos="9360"/>
          </w:tabs>
          <w:jc w:val="right"/>
        </w:pPr>
        <w:r>
          <w:t>Summary Report</w:t>
        </w:r>
      </w:p>
    </w:sdtContent>
  </w:sdt>
  <w:p w14:paraId="638A3B7D" w14:textId="77777777" w:rsidR="007140C0" w:rsidRPr="007140C0" w:rsidRDefault="007140C0" w:rsidP="004B15E7">
    <w:pPr>
      <w:pStyle w:val="Header"/>
      <w:spacing w:after="24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A3680F"/>
    <w:multiLevelType w:val="hybridMultilevel"/>
    <w:tmpl w:val="19B24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22142B"/>
    <w:multiLevelType w:val="hybridMultilevel"/>
    <w:tmpl w:val="BE229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942773"/>
    <w:multiLevelType w:val="hybridMultilevel"/>
    <w:tmpl w:val="46FA61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AA5370"/>
    <w:multiLevelType w:val="hybridMultilevel"/>
    <w:tmpl w:val="3D9853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A390D73"/>
    <w:multiLevelType w:val="hybridMultilevel"/>
    <w:tmpl w:val="D5281C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2974FB"/>
    <w:multiLevelType w:val="hybridMultilevel"/>
    <w:tmpl w:val="0A7ECF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6452F36"/>
    <w:multiLevelType w:val="hybridMultilevel"/>
    <w:tmpl w:val="DD443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328AD"/>
    <w:multiLevelType w:val="hybridMultilevel"/>
    <w:tmpl w:val="7B9E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B96935"/>
    <w:multiLevelType w:val="hybridMultilevel"/>
    <w:tmpl w:val="BD92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7A3F5E"/>
    <w:multiLevelType w:val="hybridMultilevel"/>
    <w:tmpl w:val="7B50232E"/>
    <w:lvl w:ilvl="0" w:tplc="BE84695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DCA75B2"/>
    <w:multiLevelType w:val="hybridMultilevel"/>
    <w:tmpl w:val="E392EE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21856837">
    <w:abstractNumId w:val="10"/>
  </w:num>
  <w:num w:numId="2" w16cid:durableId="591279400">
    <w:abstractNumId w:val="18"/>
  </w:num>
  <w:num w:numId="3" w16cid:durableId="1002439293">
    <w:abstractNumId w:val="1"/>
  </w:num>
  <w:num w:numId="4" w16cid:durableId="449785404">
    <w:abstractNumId w:val="3"/>
  </w:num>
  <w:num w:numId="5" w16cid:durableId="1046031455">
    <w:abstractNumId w:val="8"/>
  </w:num>
  <w:num w:numId="6" w16cid:durableId="684211662">
    <w:abstractNumId w:val="20"/>
  </w:num>
  <w:num w:numId="7" w16cid:durableId="1324040260">
    <w:abstractNumId w:val="0"/>
  </w:num>
  <w:num w:numId="8" w16cid:durableId="1064715593">
    <w:abstractNumId w:val="23"/>
  </w:num>
  <w:num w:numId="9" w16cid:durableId="1129981160">
    <w:abstractNumId w:val="22"/>
  </w:num>
  <w:num w:numId="10" w16cid:durableId="1402757369">
    <w:abstractNumId w:val="14"/>
  </w:num>
  <w:num w:numId="11" w16cid:durableId="1571423402">
    <w:abstractNumId w:val="12"/>
  </w:num>
  <w:num w:numId="12" w16cid:durableId="833181726">
    <w:abstractNumId w:val="11"/>
  </w:num>
  <w:num w:numId="13" w16cid:durableId="765812108">
    <w:abstractNumId w:val="9"/>
  </w:num>
  <w:num w:numId="14" w16cid:durableId="1911041198">
    <w:abstractNumId w:val="7"/>
  </w:num>
  <w:num w:numId="15" w16cid:durableId="579868098">
    <w:abstractNumId w:val="4"/>
  </w:num>
  <w:num w:numId="16" w16cid:durableId="729619958">
    <w:abstractNumId w:val="6"/>
  </w:num>
  <w:num w:numId="17" w16cid:durableId="1909995472">
    <w:abstractNumId w:val="13"/>
  </w:num>
  <w:num w:numId="18" w16cid:durableId="537935681">
    <w:abstractNumId w:val="15"/>
  </w:num>
  <w:num w:numId="19" w16cid:durableId="1834447736">
    <w:abstractNumId w:val="24"/>
  </w:num>
  <w:num w:numId="20" w16cid:durableId="960378945">
    <w:abstractNumId w:val="5"/>
  </w:num>
  <w:num w:numId="21" w16cid:durableId="743987508">
    <w:abstractNumId w:val="21"/>
  </w:num>
  <w:num w:numId="22" w16cid:durableId="111362679">
    <w:abstractNumId w:val="17"/>
  </w:num>
  <w:num w:numId="23" w16cid:durableId="1606112639">
    <w:abstractNumId w:val="16"/>
  </w:num>
  <w:num w:numId="24" w16cid:durableId="1836988645">
    <w:abstractNumId w:val="2"/>
  </w:num>
  <w:num w:numId="25" w16cid:durableId="8468680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2BA"/>
    <w:rsid w:val="00007BDD"/>
    <w:rsid w:val="0002618E"/>
    <w:rsid w:val="00056B40"/>
    <w:rsid w:val="000A3134"/>
    <w:rsid w:val="000C0170"/>
    <w:rsid w:val="00111269"/>
    <w:rsid w:val="00125564"/>
    <w:rsid w:val="00140237"/>
    <w:rsid w:val="00160718"/>
    <w:rsid w:val="001941A9"/>
    <w:rsid w:val="001A768A"/>
    <w:rsid w:val="001D04E7"/>
    <w:rsid w:val="001F7F48"/>
    <w:rsid w:val="00207D21"/>
    <w:rsid w:val="00220091"/>
    <w:rsid w:val="0022704F"/>
    <w:rsid w:val="002459E9"/>
    <w:rsid w:val="00252CB2"/>
    <w:rsid w:val="002748C9"/>
    <w:rsid w:val="00287780"/>
    <w:rsid w:val="002A2F9B"/>
    <w:rsid w:val="002B7919"/>
    <w:rsid w:val="002E4D93"/>
    <w:rsid w:val="002F3513"/>
    <w:rsid w:val="003031C3"/>
    <w:rsid w:val="003245D4"/>
    <w:rsid w:val="003734C7"/>
    <w:rsid w:val="00390EBF"/>
    <w:rsid w:val="0039260D"/>
    <w:rsid w:val="003A468D"/>
    <w:rsid w:val="003B5AEB"/>
    <w:rsid w:val="003E2895"/>
    <w:rsid w:val="00440739"/>
    <w:rsid w:val="00452906"/>
    <w:rsid w:val="004606FD"/>
    <w:rsid w:val="0048044B"/>
    <w:rsid w:val="00482B73"/>
    <w:rsid w:val="004B15E7"/>
    <w:rsid w:val="004C46EF"/>
    <w:rsid w:val="004F56E9"/>
    <w:rsid w:val="00510E3F"/>
    <w:rsid w:val="0055527B"/>
    <w:rsid w:val="0057279A"/>
    <w:rsid w:val="00580D46"/>
    <w:rsid w:val="00591D23"/>
    <w:rsid w:val="005B627A"/>
    <w:rsid w:val="005D4B62"/>
    <w:rsid w:val="005E41A1"/>
    <w:rsid w:val="00600223"/>
    <w:rsid w:val="006241FF"/>
    <w:rsid w:val="00670750"/>
    <w:rsid w:val="00690E1D"/>
    <w:rsid w:val="006A0C9A"/>
    <w:rsid w:val="006A5A40"/>
    <w:rsid w:val="006B4D5C"/>
    <w:rsid w:val="006F279A"/>
    <w:rsid w:val="00710885"/>
    <w:rsid w:val="007140C0"/>
    <w:rsid w:val="00714A8A"/>
    <w:rsid w:val="00733EBB"/>
    <w:rsid w:val="0073765F"/>
    <w:rsid w:val="00743E57"/>
    <w:rsid w:val="00753E46"/>
    <w:rsid w:val="00761561"/>
    <w:rsid w:val="00776EA6"/>
    <w:rsid w:val="00784989"/>
    <w:rsid w:val="007A2E2A"/>
    <w:rsid w:val="007A7699"/>
    <w:rsid w:val="007A7B3B"/>
    <w:rsid w:val="007D43B7"/>
    <w:rsid w:val="007E11EC"/>
    <w:rsid w:val="007E1F31"/>
    <w:rsid w:val="007E40F1"/>
    <w:rsid w:val="007E48E3"/>
    <w:rsid w:val="00803255"/>
    <w:rsid w:val="00823B42"/>
    <w:rsid w:val="00841F33"/>
    <w:rsid w:val="00854A6C"/>
    <w:rsid w:val="0085726D"/>
    <w:rsid w:val="0087540B"/>
    <w:rsid w:val="0088706A"/>
    <w:rsid w:val="008971A4"/>
    <w:rsid w:val="008A2EEF"/>
    <w:rsid w:val="008C18D4"/>
    <w:rsid w:val="008C220E"/>
    <w:rsid w:val="00927D87"/>
    <w:rsid w:val="00931A83"/>
    <w:rsid w:val="00947D1E"/>
    <w:rsid w:val="00975923"/>
    <w:rsid w:val="00982C50"/>
    <w:rsid w:val="00991254"/>
    <w:rsid w:val="00994064"/>
    <w:rsid w:val="00995803"/>
    <w:rsid w:val="009A63AF"/>
    <w:rsid w:val="009C225F"/>
    <w:rsid w:val="00A20F1A"/>
    <w:rsid w:val="00A60023"/>
    <w:rsid w:val="00A60677"/>
    <w:rsid w:val="00A75CF0"/>
    <w:rsid w:val="00A8380B"/>
    <w:rsid w:val="00A923D2"/>
    <w:rsid w:val="00AA64DC"/>
    <w:rsid w:val="00AB274D"/>
    <w:rsid w:val="00AC258B"/>
    <w:rsid w:val="00AC36A1"/>
    <w:rsid w:val="00AE57B9"/>
    <w:rsid w:val="00AF01CD"/>
    <w:rsid w:val="00AF1CAC"/>
    <w:rsid w:val="00B210DF"/>
    <w:rsid w:val="00B50DBF"/>
    <w:rsid w:val="00B6534F"/>
    <w:rsid w:val="00BB1374"/>
    <w:rsid w:val="00BB4E40"/>
    <w:rsid w:val="00C23352"/>
    <w:rsid w:val="00C365BA"/>
    <w:rsid w:val="00C45AD1"/>
    <w:rsid w:val="00C67661"/>
    <w:rsid w:val="00CB29E7"/>
    <w:rsid w:val="00CE0456"/>
    <w:rsid w:val="00D057CF"/>
    <w:rsid w:val="00D11A3F"/>
    <w:rsid w:val="00D21265"/>
    <w:rsid w:val="00D2580E"/>
    <w:rsid w:val="00D32B5D"/>
    <w:rsid w:val="00D51D89"/>
    <w:rsid w:val="00D57B42"/>
    <w:rsid w:val="00DB5DCC"/>
    <w:rsid w:val="00DB7E1B"/>
    <w:rsid w:val="00DD02BA"/>
    <w:rsid w:val="00DD0449"/>
    <w:rsid w:val="00DE494A"/>
    <w:rsid w:val="00DE6391"/>
    <w:rsid w:val="00DF15E5"/>
    <w:rsid w:val="00E40C01"/>
    <w:rsid w:val="00E62B62"/>
    <w:rsid w:val="00E6356E"/>
    <w:rsid w:val="00E63924"/>
    <w:rsid w:val="00E868C0"/>
    <w:rsid w:val="00E90E01"/>
    <w:rsid w:val="00EB612A"/>
    <w:rsid w:val="00EC76F8"/>
    <w:rsid w:val="00EE4E33"/>
    <w:rsid w:val="00F56F16"/>
    <w:rsid w:val="00F603D5"/>
    <w:rsid w:val="00F7415F"/>
    <w:rsid w:val="00F8617A"/>
    <w:rsid w:val="00FD6D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0ED0A"/>
  <w15:chartTrackingRefBased/>
  <w15:docId w15:val="{B8013154-C511-4DD0-AAAF-B635A98B8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C0"/>
    <w:rPr>
      <w:rFonts w:ascii="Arial" w:hAnsi="Arial"/>
      <w:sz w:val="24"/>
    </w:rPr>
  </w:style>
  <w:style w:type="paragraph" w:styleId="Heading1">
    <w:name w:val="heading 1"/>
    <w:basedOn w:val="Normal"/>
    <w:next w:val="Normal"/>
    <w:link w:val="Heading1Char"/>
    <w:uiPriority w:val="9"/>
    <w:qFormat/>
    <w:rsid w:val="00743E57"/>
    <w:pPr>
      <w:keepNext/>
      <w:keepLines/>
      <w:spacing w:before="2400" w:after="120"/>
      <w:ind w:right="2835"/>
      <w:outlineLvl w:val="0"/>
    </w:pPr>
    <w:rPr>
      <w:rFonts w:ascii="Times New Roman" w:eastAsiaTheme="majorEastAsia" w:hAnsi="Times New Roman" w:cstheme="majorBidi"/>
      <w:b/>
      <w:color w:val="000000" w:themeColor="text1"/>
      <w:sz w:val="96"/>
      <w:szCs w:val="32"/>
    </w:rPr>
  </w:style>
  <w:style w:type="paragraph" w:styleId="Heading2">
    <w:name w:val="heading 2"/>
    <w:basedOn w:val="Normal"/>
    <w:next w:val="Normal"/>
    <w:link w:val="Heading2Char"/>
    <w:uiPriority w:val="9"/>
    <w:unhideWhenUsed/>
    <w:qFormat/>
    <w:rsid w:val="0085726D"/>
    <w:pPr>
      <w:keepNext/>
      <w:keepLines/>
      <w:spacing w:before="160" w:after="120"/>
      <w:ind w:left="360" w:hanging="360"/>
      <w:outlineLvl w:val="1"/>
    </w:pPr>
    <w:rPr>
      <w:rFonts w:eastAsiaTheme="majorEastAsia" w:cstheme="majorBidi"/>
      <w:b/>
      <w:sz w:val="28"/>
      <w:szCs w:val="26"/>
      <w:lang w:val="en-GB"/>
    </w:rPr>
  </w:style>
  <w:style w:type="paragraph" w:styleId="Heading3">
    <w:name w:val="heading 3"/>
    <w:basedOn w:val="Normal"/>
    <w:next w:val="Normal"/>
    <w:link w:val="Heading3Char"/>
    <w:uiPriority w:val="9"/>
    <w:unhideWhenUsed/>
    <w:qFormat/>
    <w:rsid w:val="002459E9"/>
    <w:pPr>
      <w:keepNext/>
      <w:keepLines/>
      <w:spacing w:before="280" w:after="240"/>
      <w:outlineLvl w:val="2"/>
    </w:pPr>
    <w:rPr>
      <w:rFonts w:eastAsiaTheme="majorEastAsia" w:cstheme="majorBidi"/>
      <w:b/>
      <w:i/>
      <w:color w:val="000000" w:themeColor="text1"/>
      <w:szCs w:val="24"/>
    </w:rPr>
  </w:style>
  <w:style w:type="paragraph" w:styleId="Heading4">
    <w:name w:val="heading 4"/>
    <w:basedOn w:val="Normal"/>
    <w:next w:val="Normal"/>
    <w:link w:val="Heading4Char"/>
    <w:uiPriority w:val="9"/>
    <w:unhideWhenUsed/>
    <w:qFormat/>
    <w:rsid w:val="002459E9"/>
    <w:pPr>
      <w:keepNext/>
      <w:keepLines/>
      <w:spacing w:before="160" w:after="12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E57"/>
    <w:rPr>
      <w:rFonts w:ascii="Times New Roman" w:eastAsiaTheme="majorEastAsia" w:hAnsi="Times New Roman" w:cstheme="majorBidi"/>
      <w:b/>
      <w:color w:val="000000" w:themeColor="text1"/>
      <w:sz w:val="96"/>
      <w:szCs w:val="32"/>
    </w:rPr>
  </w:style>
  <w:style w:type="character" w:customStyle="1" w:styleId="Heading2Char">
    <w:name w:val="Heading 2 Char"/>
    <w:basedOn w:val="DefaultParagraphFont"/>
    <w:link w:val="Heading2"/>
    <w:uiPriority w:val="9"/>
    <w:rsid w:val="0085726D"/>
    <w:rPr>
      <w:rFonts w:ascii="Arial" w:eastAsiaTheme="majorEastAsia" w:hAnsi="Arial" w:cstheme="majorBidi"/>
      <w:b/>
      <w:sz w:val="28"/>
      <w:szCs w:val="26"/>
      <w:lang w:val="en-GB"/>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rsid w:val="007140C0"/>
    <w:rPr>
      <w:color w:val="007838" w:themeColor="hyperlink"/>
      <w:u w:val="single"/>
    </w:rPr>
  </w:style>
  <w:style w:type="character" w:customStyle="1" w:styleId="UnresolvedMention1">
    <w:name w:val="Unresolved Mention1"/>
    <w:basedOn w:val="DefaultParagraphFont"/>
    <w:uiPriority w:val="99"/>
    <w:semiHidden/>
    <w:unhideWhenUsed/>
    <w:rsid w:val="007140C0"/>
    <w:rPr>
      <w:color w:val="605E5C"/>
      <w:shd w:val="clear" w:color="auto" w:fill="E1DFDD"/>
    </w:rPr>
  </w:style>
  <w:style w:type="character" w:styleId="Strong">
    <w:name w:val="Strong"/>
    <w:basedOn w:val="DefaultParagraphFont"/>
    <w:qFormat/>
    <w:rsid w:val="002459E9"/>
    <w:rPr>
      <w:rFonts w:ascii="Arial" w:hAnsi="Arial"/>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2459E9"/>
    <w:rPr>
      <w:rFonts w:ascii="Arial" w:eastAsiaTheme="majorEastAsia" w:hAnsi="Arial" w:cstheme="majorBidi"/>
      <w:b/>
      <w:i/>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aliases w:val="Block Quote"/>
    <w:basedOn w:val="Normal"/>
    <w:next w:val="Normal"/>
    <w:link w:val="IntenseQuoteChar"/>
    <w:uiPriority w:val="30"/>
    <w:qFormat/>
    <w:rsid w:val="0039260D"/>
    <w:pPr>
      <w:spacing w:before="360" w:after="360"/>
      <w:ind w:left="864" w:right="864"/>
    </w:pPr>
    <w:rPr>
      <w:i/>
      <w:iCs/>
    </w:rPr>
  </w:style>
  <w:style w:type="character" w:customStyle="1" w:styleId="IntenseQuoteChar">
    <w:name w:val="Intense Quote Char"/>
    <w:aliases w:val="Block Quote Char"/>
    <w:basedOn w:val="DefaultParagraphFont"/>
    <w:link w:val="IntenseQuote"/>
    <w:uiPriority w:val="30"/>
    <w:rsid w:val="0039260D"/>
    <w:rPr>
      <w:rFonts w:ascii="Arial" w:hAnsi="Arial"/>
      <w:i/>
      <w:iCs/>
      <w:sz w:val="24"/>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paragraph" w:styleId="NoSpacing">
    <w:name w:val="No Spacing"/>
    <w:uiPriority w:val="1"/>
    <w:qFormat/>
    <w:rsid w:val="00252CB2"/>
    <w:pPr>
      <w:spacing w:before="120" w:after="120" w:line="240" w:lineRule="auto"/>
    </w:pPr>
    <w:rPr>
      <w:rFonts w:ascii="Arial" w:eastAsia="Times New Roman" w:hAnsi="Arial" w:cs="Times New Roman"/>
      <w:kern w:val="0"/>
      <w:sz w:val="24"/>
      <w:szCs w:val="24"/>
      <w:lang w:val="en-US"/>
      <w14:ligatures w14:val="none"/>
    </w:rPr>
  </w:style>
  <w:style w:type="paragraph" w:styleId="Subtitle">
    <w:name w:val="Subtitle"/>
    <w:basedOn w:val="Normal"/>
    <w:next w:val="Normal"/>
    <w:link w:val="SubtitleChar"/>
    <w:uiPriority w:val="11"/>
    <w:qFormat/>
    <w:rsid w:val="00D2580E"/>
    <w:pPr>
      <w:numPr>
        <w:ilvl w:val="1"/>
      </w:numPr>
      <w:ind w:right="2835"/>
    </w:pPr>
    <w:rPr>
      <w:rFonts w:eastAsiaTheme="minorEastAsia"/>
      <w:color w:val="000000" w:themeColor="text1"/>
      <w:spacing w:val="15"/>
      <w:sz w:val="40"/>
    </w:rPr>
  </w:style>
  <w:style w:type="character" w:customStyle="1" w:styleId="SubtitleChar">
    <w:name w:val="Subtitle Char"/>
    <w:basedOn w:val="DefaultParagraphFont"/>
    <w:link w:val="Subtitle"/>
    <w:uiPriority w:val="11"/>
    <w:rsid w:val="00D2580E"/>
    <w:rPr>
      <w:rFonts w:ascii="Arial" w:eastAsiaTheme="minorEastAsia" w:hAnsi="Arial"/>
      <w:color w:val="000000" w:themeColor="text1"/>
      <w:spacing w:val="15"/>
      <w:sz w:val="40"/>
    </w:rPr>
  </w:style>
  <w:style w:type="paragraph" w:customStyle="1" w:styleId="WeActivateSignoff">
    <w:name w:val="We Activate Sign off"/>
    <w:basedOn w:val="Normal"/>
    <w:link w:val="WeActivateSignoffChar"/>
    <w:qFormat/>
    <w:rsid w:val="002748C9"/>
    <w:pPr>
      <w:pBdr>
        <w:bottom w:val="single" w:sz="4" w:space="1" w:color="C59A00" w:themeColor="background2"/>
      </w:pBdr>
      <w:spacing w:before="3000" w:after="240" w:line="360" w:lineRule="auto"/>
      <w:ind w:right="6804"/>
    </w:pPr>
  </w:style>
  <w:style w:type="character" w:customStyle="1" w:styleId="WeActivateSignoffChar">
    <w:name w:val="We Activate Sign off Char"/>
    <w:basedOn w:val="DefaultParagraphFont"/>
    <w:link w:val="WeActivateSignoff"/>
    <w:rsid w:val="002748C9"/>
    <w:rPr>
      <w:rFonts w:ascii="Arial" w:hAnsi="Arial"/>
      <w:sz w:val="24"/>
    </w:rPr>
  </w:style>
  <w:style w:type="paragraph" w:styleId="TOC1">
    <w:name w:val="toc 1"/>
    <w:basedOn w:val="Normal"/>
    <w:next w:val="Normal"/>
    <w:autoRedefine/>
    <w:uiPriority w:val="39"/>
    <w:unhideWhenUsed/>
    <w:rsid w:val="006A5A40"/>
    <w:pPr>
      <w:spacing w:after="100"/>
    </w:pPr>
  </w:style>
  <w:style w:type="paragraph" w:styleId="TOC2">
    <w:name w:val="toc 2"/>
    <w:basedOn w:val="Normal"/>
    <w:next w:val="Normal"/>
    <w:autoRedefine/>
    <w:uiPriority w:val="39"/>
    <w:unhideWhenUsed/>
    <w:rsid w:val="006A5A40"/>
    <w:pPr>
      <w:spacing w:after="100"/>
      <w:ind w:left="240"/>
    </w:pPr>
  </w:style>
  <w:style w:type="character" w:styleId="IntenseEmphasis">
    <w:name w:val="Intense Emphasis"/>
    <w:basedOn w:val="DefaultParagraphFont"/>
    <w:uiPriority w:val="21"/>
    <w:qFormat/>
    <w:rsid w:val="002459E9"/>
    <w:rPr>
      <w:rFonts w:ascii="Arial" w:hAnsi="Arial"/>
      <w:i/>
      <w:iCs/>
      <w:color w:val="007838" w:themeColor="accent1"/>
    </w:rPr>
  </w:style>
  <w:style w:type="character" w:customStyle="1" w:styleId="Heading4Char">
    <w:name w:val="Heading 4 Char"/>
    <w:basedOn w:val="DefaultParagraphFont"/>
    <w:link w:val="Heading4"/>
    <w:uiPriority w:val="9"/>
    <w:rsid w:val="002459E9"/>
    <w:rPr>
      <w:rFonts w:ascii="Arial" w:eastAsiaTheme="majorEastAsia" w:hAnsi="Arial" w:cstheme="majorBidi"/>
      <w:i/>
      <w:iCs/>
      <w:color w:val="000000" w:themeColor="text1"/>
      <w:sz w:val="24"/>
    </w:rPr>
  </w:style>
  <w:style w:type="character" w:styleId="SubtleEmphasis">
    <w:name w:val="Subtle Emphasis"/>
    <w:basedOn w:val="DefaultParagraphFont"/>
    <w:uiPriority w:val="19"/>
    <w:qFormat/>
    <w:rsid w:val="002459E9"/>
    <w:rPr>
      <w:rFonts w:ascii="Arial" w:hAnsi="Arial"/>
      <w:i/>
      <w:iCs/>
      <w:color w:val="404040" w:themeColor="text1" w:themeTint="BF"/>
    </w:rPr>
  </w:style>
  <w:style w:type="character" w:styleId="Emphasis">
    <w:name w:val="Emphasis"/>
    <w:basedOn w:val="DefaultParagraphFont"/>
    <w:uiPriority w:val="20"/>
    <w:qFormat/>
    <w:rsid w:val="002459E9"/>
    <w:rPr>
      <w:rFonts w:ascii="Arial" w:hAnsi="Arial"/>
      <w:b/>
      <w:i/>
      <w:iCs/>
    </w:rPr>
  </w:style>
  <w:style w:type="character" w:styleId="SubtleReference">
    <w:name w:val="Subtle Reference"/>
    <w:basedOn w:val="DefaultParagraphFont"/>
    <w:uiPriority w:val="31"/>
    <w:qFormat/>
    <w:rsid w:val="002459E9"/>
    <w:rPr>
      <w:rFonts w:ascii="Arial" w:hAnsi="Arial"/>
      <w:i/>
      <w:smallCaps/>
      <w:color w:val="404040" w:themeColor="text1" w:themeTint="BF"/>
    </w:rPr>
  </w:style>
  <w:style w:type="character" w:styleId="IntenseReference">
    <w:name w:val="Intense Reference"/>
    <w:basedOn w:val="DefaultParagraphFont"/>
    <w:uiPriority w:val="32"/>
    <w:qFormat/>
    <w:rsid w:val="002459E9"/>
    <w:rPr>
      <w:rFonts w:ascii="Arial" w:hAnsi="Arial"/>
      <w:b/>
      <w:bCs/>
      <w:smallCaps/>
      <w:color w:val="007838" w:themeColor="accent1"/>
      <w:spacing w:val="5"/>
    </w:rPr>
  </w:style>
  <w:style w:type="character" w:styleId="BookTitle">
    <w:name w:val="Book Title"/>
    <w:basedOn w:val="DefaultParagraphFont"/>
    <w:uiPriority w:val="33"/>
    <w:qFormat/>
    <w:rsid w:val="002459E9"/>
    <w:rPr>
      <w:rFonts w:ascii="Arial" w:hAnsi="Arial"/>
      <w:b/>
      <w:bCs/>
      <w:i/>
      <w:iCs/>
      <w:spacing w:val="5"/>
    </w:rPr>
  </w:style>
  <w:style w:type="paragraph" w:styleId="Caption">
    <w:name w:val="caption"/>
    <w:basedOn w:val="Normal"/>
    <w:next w:val="Normal"/>
    <w:uiPriority w:val="35"/>
    <w:semiHidden/>
    <w:unhideWhenUsed/>
    <w:qFormat/>
    <w:rsid w:val="00125564"/>
    <w:pPr>
      <w:spacing w:after="200" w:line="240" w:lineRule="auto"/>
    </w:pPr>
    <w:rPr>
      <w:i/>
      <w:iCs/>
      <w:color w:val="3C3C3B" w:themeColor="text2"/>
      <w:sz w:val="20"/>
      <w:szCs w:val="18"/>
    </w:rPr>
  </w:style>
  <w:style w:type="table" w:customStyle="1" w:styleId="TableGrid1">
    <w:name w:val="Table Grid1"/>
    <w:basedOn w:val="TableNormal"/>
    <w:next w:val="TableGrid"/>
    <w:uiPriority w:val="59"/>
    <w:rsid w:val="00DD02BA"/>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j.bloomfield@bham.ac.uk" TargetMode="External"/><Relationship Id="rId2" Type="http://schemas.openxmlformats.org/officeDocument/2006/relationships/customXml" Target="../customXml/item2.xml"/><Relationship Id="rId16" Type="http://schemas.openxmlformats.org/officeDocument/2006/relationships/hyperlink" Target="https://bdacallotments.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chart" Target="charts/chart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wtherj\OneDrive%20-%20University%20of%20Birmingham\Documents\Custom%20Office%20Templates\ReportTemplate-v2.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Sheet1!$A$11:$A$16</c:f>
              <c:strCache>
                <c:ptCount val="6"/>
                <c:pt idx="0">
                  <c:v>5+ times a week</c:v>
                </c:pt>
                <c:pt idx="1">
                  <c:v>3-4 times a week</c:v>
                </c:pt>
                <c:pt idx="2">
                  <c:v>1-2 times a week</c:v>
                </c:pt>
                <c:pt idx="3">
                  <c:v>2-3 times a month</c:v>
                </c:pt>
                <c:pt idx="4">
                  <c:v>Once a month</c:v>
                </c:pt>
                <c:pt idx="5">
                  <c:v>Less than once a month</c:v>
                </c:pt>
              </c:strCache>
            </c:strRef>
          </c:cat>
          <c:val>
            <c:numRef>
              <c:f>Sheet1!$B$11:$B$16</c:f>
              <c:numCache>
                <c:formatCode>General</c:formatCode>
                <c:ptCount val="6"/>
                <c:pt idx="0">
                  <c:v>327</c:v>
                </c:pt>
                <c:pt idx="1">
                  <c:v>350</c:v>
                </c:pt>
                <c:pt idx="2">
                  <c:v>171</c:v>
                </c:pt>
                <c:pt idx="3">
                  <c:v>12</c:v>
                </c:pt>
                <c:pt idx="4">
                  <c:v>3</c:v>
                </c:pt>
                <c:pt idx="5">
                  <c:v>4</c:v>
                </c:pt>
              </c:numCache>
            </c:numRef>
          </c:val>
          <c:extLst>
            <c:ext xmlns:c16="http://schemas.microsoft.com/office/drawing/2014/chart" uri="{C3380CC4-5D6E-409C-BE32-E72D297353CC}">
              <c16:uniqueId val="{00000000-DE18-4325-8B7B-90C19E9A90FE}"/>
            </c:ext>
          </c:extLst>
        </c:ser>
        <c:dLbls>
          <c:showLegendKey val="0"/>
          <c:showVal val="0"/>
          <c:showCatName val="0"/>
          <c:showSerName val="0"/>
          <c:showPercent val="0"/>
          <c:showBubbleSize val="0"/>
        </c:dLbls>
        <c:gapWidth val="150"/>
        <c:axId val="270990720"/>
        <c:axId val="246002432"/>
      </c:barChart>
      <c:catAx>
        <c:axId val="270990720"/>
        <c:scaling>
          <c:orientation val="minMax"/>
        </c:scaling>
        <c:delete val="0"/>
        <c:axPos val="b"/>
        <c:numFmt formatCode="General" sourceLinked="0"/>
        <c:majorTickMark val="out"/>
        <c:minorTickMark val="none"/>
        <c:tickLblPos val="nextTo"/>
        <c:crossAx val="246002432"/>
        <c:crosses val="autoZero"/>
        <c:auto val="1"/>
        <c:lblAlgn val="ctr"/>
        <c:lblOffset val="100"/>
        <c:noMultiLvlLbl val="0"/>
      </c:catAx>
      <c:valAx>
        <c:axId val="246002432"/>
        <c:scaling>
          <c:orientation val="minMax"/>
        </c:scaling>
        <c:delete val="0"/>
        <c:axPos val="l"/>
        <c:majorGridlines/>
        <c:numFmt formatCode="General" sourceLinked="1"/>
        <c:majorTickMark val="out"/>
        <c:minorTickMark val="none"/>
        <c:tickLblPos val="nextTo"/>
        <c:crossAx val="27099072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Sheet1!$C$4:$C$10</c:f>
              <c:strCache>
                <c:ptCount val="7"/>
                <c:pt idx="0">
                  <c:v>Peace of mind/relaxation</c:v>
                </c:pt>
                <c:pt idx="1">
                  <c:v>A supply of fresh vegetables</c:v>
                </c:pt>
                <c:pt idx="2">
                  <c:v>Regular physical exercise</c:v>
                </c:pt>
                <c:pt idx="3">
                  <c:v>I meet friends/company/social life</c:v>
                </c:pt>
                <c:pt idx="4">
                  <c:v>Other</c:v>
                </c:pt>
                <c:pt idx="5">
                  <c:v>I contribute to a wider community on site</c:v>
                </c:pt>
                <c:pt idx="6">
                  <c:v>A supply of fresh fruit.</c:v>
                </c:pt>
              </c:strCache>
            </c:strRef>
          </c:cat>
          <c:val>
            <c:numRef>
              <c:f>Sheet1!$D$4:$D$10</c:f>
            </c:numRef>
          </c:val>
          <c:extLst>
            <c:ext xmlns:c16="http://schemas.microsoft.com/office/drawing/2014/chart" uri="{C3380CC4-5D6E-409C-BE32-E72D297353CC}">
              <c16:uniqueId val="{00000000-2174-423C-8D34-037137E84648}"/>
            </c:ext>
          </c:extLst>
        </c:ser>
        <c:ser>
          <c:idx val="1"/>
          <c:order val="1"/>
          <c:spPr>
            <a:solidFill>
              <a:schemeClr val="accent2"/>
            </a:solidFill>
            <a:ln>
              <a:noFill/>
            </a:ln>
            <a:effectLst/>
          </c:spPr>
          <c:invertIfNegative val="0"/>
          <c:cat>
            <c:strRef>
              <c:f>Sheet1!$C$4:$C$10</c:f>
              <c:strCache>
                <c:ptCount val="7"/>
                <c:pt idx="0">
                  <c:v>Peace of mind/relaxation</c:v>
                </c:pt>
                <c:pt idx="1">
                  <c:v>A supply of fresh vegetables</c:v>
                </c:pt>
                <c:pt idx="2">
                  <c:v>Regular physical exercise</c:v>
                </c:pt>
                <c:pt idx="3">
                  <c:v>I meet friends/company/social life</c:v>
                </c:pt>
                <c:pt idx="4">
                  <c:v>Other</c:v>
                </c:pt>
                <c:pt idx="5">
                  <c:v>I contribute to a wider community on site</c:v>
                </c:pt>
                <c:pt idx="6">
                  <c:v>A supply of fresh fruit.</c:v>
                </c:pt>
              </c:strCache>
            </c:strRef>
          </c:cat>
          <c:val>
            <c:numRef>
              <c:f>Sheet1!$E$4:$E$10</c:f>
              <c:numCache>
                <c:formatCode>0%</c:formatCode>
                <c:ptCount val="7"/>
                <c:pt idx="0">
                  <c:v>0.32138728323699423</c:v>
                </c:pt>
                <c:pt idx="1">
                  <c:v>0.31213872832369943</c:v>
                </c:pt>
                <c:pt idx="2">
                  <c:v>0.16763005780346821</c:v>
                </c:pt>
                <c:pt idx="3">
                  <c:v>6.4739884393063579E-2</c:v>
                </c:pt>
                <c:pt idx="4">
                  <c:v>5.6647398843930635E-2</c:v>
                </c:pt>
                <c:pt idx="5">
                  <c:v>4.161849710982659E-2</c:v>
                </c:pt>
                <c:pt idx="6">
                  <c:v>3.5838150289017344E-2</c:v>
                </c:pt>
              </c:numCache>
            </c:numRef>
          </c:val>
          <c:extLst>
            <c:ext xmlns:c16="http://schemas.microsoft.com/office/drawing/2014/chart" uri="{C3380CC4-5D6E-409C-BE32-E72D297353CC}">
              <c16:uniqueId val="{00000001-2174-423C-8D34-037137E84648}"/>
            </c:ext>
          </c:extLst>
        </c:ser>
        <c:dLbls>
          <c:showLegendKey val="0"/>
          <c:showVal val="0"/>
          <c:showCatName val="0"/>
          <c:showSerName val="0"/>
          <c:showPercent val="0"/>
          <c:showBubbleSize val="0"/>
        </c:dLbls>
        <c:gapWidth val="182"/>
        <c:axId val="320406591"/>
        <c:axId val="320407551"/>
      </c:barChart>
      <c:catAx>
        <c:axId val="320406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407551"/>
        <c:crosses val="autoZero"/>
        <c:auto val="1"/>
        <c:lblAlgn val="ctr"/>
        <c:lblOffset val="100"/>
        <c:noMultiLvlLbl val="0"/>
      </c:catAx>
      <c:valAx>
        <c:axId val="3204075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406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C9BE93-9DFB-4919-8244-00E1CD4204B7}">
  <ds:schemaRefs>
    <ds:schemaRef ds:uri="http://schemas.openxmlformats.org/officeDocument/2006/bibliography"/>
  </ds:schemaRefs>
</ds:datastoreItem>
</file>

<file path=customXml/itemProps2.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CFDDF9-C10D-4C97-9044-7CF8D6B54C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ReportTemplate-v2</Template>
  <TotalTime>6</TotalTime>
  <Pages>8</Pages>
  <Words>1629</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Summary Report</vt:lpstr>
    </vt:vector>
  </TitlesOfParts>
  <Manager/>
  <Company>University of Birmingham</Company>
  <LinksUpToDate>false</LinksUpToDate>
  <CharactersWithSpaces>10894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dc:title>
  <dc:subject/>
  <dc:creator>Jason Lowther (Public Administration and Policy)</dc:creator>
  <cp:keywords/>
  <dc:description/>
  <cp:lastModifiedBy>Hajur Gill (Social Sciences)</cp:lastModifiedBy>
  <cp:revision>2</cp:revision>
  <cp:lastPrinted>2024-05-26T12:00:00Z</cp:lastPrinted>
  <dcterms:created xsi:type="dcterms:W3CDTF">2024-12-18T09:24:00Z</dcterms:created>
  <dcterms:modified xsi:type="dcterms:W3CDTF">2024-12-18T09:24:00Z</dcterms:modified>
  <cp:category/>
</cp:coreProperties>
</file>