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5.xml" ContentType="application/vnd.openxmlformats-officedocument.wordprocessingml.header+xml"/>
  <Override PartName="/word/footer3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8.xml" ContentType="application/vnd.openxmlformats-officedocument.wordprocessingml.header+xml"/>
  <Override PartName="/word/footer3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1.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78234" w14:textId="3B954006" w:rsidR="00285AC2" w:rsidRPr="0078056B" w:rsidRDefault="00C83B84" w:rsidP="00FE67E1">
      <w:pPr>
        <w:pStyle w:val="DocTitle"/>
        <w:jc w:val="both"/>
      </w:pPr>
      <w:r w:rsidRPr="0078056B">
        <w:rPr>
          <w:noProof/>
          <w:color w:val="FFFFFF" w:themeColor="background1"/>
        </w:rPr>
        <mc:AlternateContent>
          <mc:Choice Requires="wps">
            <w:drawing>
              <wp:anchor distT="0" distB="0" distL="114300" distR="114300" simplePos="0" relativeHeight="251668480" behindDoc="0" locked="0" layoutInCell="1" allowOverlap="1" wp14:anchorId="720961FA" wp14:editId="0BA1C20D">
                <wp:simplePos x="0" y="0"/>
                <wp:positionH relativeFrom="margin">
                  <wp:align>left</wp:align>
                </wp:positionH>
                <wp:positionV relativeFrom="margin">
                  <wp:posOffset>237021</wp:posOffset>
                </wp:positionV>
                <wp:extent cx="6119495" cy="1496290"/>
                <wp:effectExtent l="0" t="0" r="14605" b="8890"/>
                <wp:wrapNone/>
                <wp:docPr id="18" name="Text Box 18"/>
                <wp:cNvGraphicFramePr/>
                <a:graphic xmlns:a="http://schemas.openxmlformats.org/drawingml/2006/main">
                  <a:graphicData uri="http://schemas.microsoft.com/office/word/2010/wordprocessingShape">
                    <wps:wsp>
                      <wps:cNvSpPr txBox="1"/>
                      <wps:spPr>
                        <a:xfrm>
                          <a:off x="0" y="0"/>
                          <a:ext cx="6119495" cy="1496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506189" w14:textId="5600EA4C" w:rsidR="00C83B84" w:rsidRPr="003541E0" w:rsidRDefault="00C83B84" w:rsidP="00C83B84">
                            <w:pPr>
                              <w:spacing w:before="0"/>
                              <w:jc w:val="left"/>
                              <w:rPr>
                                <w:b/>
                                <w:color w:val="FFFFFF" w:themeColor="background1"/>
                                <w:sz w:val="60"/>
                                <w:szCs w:val="60"/>
                              </w:rPr>
                            </w:pPr>
                            <w:r w:rsidRPr="003541E0">
                              <w:rPr>
                                <w:b/>
                                <w:color w:val="FFFFFF" w:themeColor="background1"/>
                                <w:sz w:val="60"/>
                                <w:szCs w:val="60"/>
                              </w:rPr>
                              <w:t>The economic, social</w:t>
                            </w:r>
                            <w:r w:rsidR="00AD0FF4" w:rsidRPr="003541E0">
                              <w:rPr>
                                <w:b/>
                                <w:color w:val="FFFFFF" w:themeColor="background1"/>
                                <w:sz w:val="60"/>
                                <w:szCs w:val="60"/>
                              </w:rPr>
                              <w:t>,</w:t>
                            </w:r>
                            <w:r w:rsidRPr="003541E0">
                              <w:rPr>
                                <w:b/>
                                <w:color w:val="FFFFFF" w:themeColor="background1"/>
                                <w:sz w:val="60"/>
                                <w:szCs w:val="60"/>
                              </w:rPr>
                              <w:t xml:space="preserve"> and cultural impact of the University of Birmingham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20961FA" id="_x0000_t202" coordsize="21600,21600" o:spt="202" path="m,l,21600r21600,l21600,xe">
                <v:stroke joinstyle="miter"/>
                <v:path gradientshapeok="t" o:connecttype="rect"/>
              </v:shapetype>
              <v:shape id="Text Box 18" o:spid="_x0000_s1026" type="#_x0000_t202" style="position:absolute;left:0;text-align:left;margin-left:0;margin-top:18.65pt;width:481.85pt;height:117.8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a/YAIAAC4FAAAOAAAAZHJzL2Uyb0RvYy54bWysVN9P2zAQfp+0/8Hy+0jLAK0VKepATJMQ&#10;oMHEs+vYNJrj887XJt1fv7OTtIjthWkvzsX33a/v7nx+0TVObA3GGnwpp0cTKYzXUNX+uZTfH68/&#10;fJIikvKVcuBNKXcmyovF+3fnbZibY1iDqwwKduLjvA2lXBOFeVFEvTaNikcQjGelBWwU8S8+FxWq&#10;lr03rjieTM6KFrAKCNrEyLdXvVIusn9rjaY7a6Mh4UrJuVE+MZ+rdBaLczV/RhXWtR7SUP+QRaNq&#10;z0H3rq4UKbHB+g9XTa0RIlg60tAUYG2tTa6Bq5lOXlXzsFbB5FqYnBj2NMX/51bfbh/CPQrqPkPH&#10;DUyEtCHOI1+mejqLTfpypoL1TOFuT5vpSGi+PJtOZyezUyk066Yns7PjWSa2OJgHjPTFQCOSUErk&#10;vmS61PYmEodk6AhJ0Txc187l3jgvWg7x8XSSDfYatnA+YU3u8uDmkHqWaOdMwjj/zVhRV7mCdJHn&#10;y1w6FFvFk6G0Np5y8dkvoxPKchJvMRzwh6zeYtzXMUYGT3vjpvaAufpXaVc/xpRtj2ciX9SdROpW&#10;3dDSFVQ77jRCvwQx6Ouau3GjIt0r5Knn5vIm0x0f1gGzDoMkxRrw19/uE56HkbVStLxFpYw/NwqN&#10;FO6r5zFNKzcKOAqrUfCb5hKY/im/EUFnkQ2Q3ChahOaJF3yZorBKec2xSkmjeEn9LvMDoc1ymUG8&#10;WEHRjX8IOrlO3Uiz9dg9KQzDABLP7i2M+6Xmr+awxyZLD8sNga3zkCZCexYHonkp8+wOD0ja+pf/&#10;GXV45ha/AQAA//8DAFBLAwQUAAYACAAAACEAH88Y7t0AAAAHAQAADwAAAGRycy9kb3ducmV2Lnht&#10;bEyPzU+EMBTE7yb+D80z8eaWhWRxkcfG+HHzc9VEb4U+gUhb0j5Y/O+tJz1OZjLzm3K3mEHM5EPv&#10;LMJ6lYAg2zjd2xbh9eX27BxEYGW1GpwlhG8KsKuOj0pVaHewzzTvuRWxxIZCIXTMYyFlaDoyKqzc&#10;SDZ6n84bxVH6VmqvDrHcDDJNko00qrdxoVMjXXXUfO0ngzC8B39XJ/wxX7f3/PQop7eb9QPi6cly&#10;eQGCaeG/MPziR3SoIlPtJquDGBDiEUbI8gxEdLebLAdRI6R5ugVZlfI/f/UDAAD//wMAUEsBAi0A&#10;FAAGAAgAAAAhALaDOJL+AAAA4QEAABMAAAAAAAAAAAAAAAAAAAAAAFtDb250ZW50X1R5cGVzXS54&#10;bWxQSwECLQAUAAYACAAAACEAOP0h/9YAAACUAQAACwAAAAAAAAAAAAAAAAAvAQAAX3JlbHMvLnJl&#10;bHNQSwECLQAUAAYACAAAACEA5TVmv2ACAAAuBQAADgAAAAAAAAAAAAAAAAAuAgAAZHJzL2Uyb0Rv&#10;Yy54bWxQSwECLQAUAAYACAAAACEAH88Y7t0AAAAHAQAADwAAAAAAAAAAAAAAAAC6BAAAZHJzL2Rv&#10;d25yZXYueG1sUEsFBgAAAAAEAAQA8wAAAMQFAAAAAA==&#10;" filled="f" stroked="f" strokeweight=".5pt">
                <v:textbox inset="0,0,0,0">
                  <w:txbxContent>
                    <w:p w14:paraId="34506189" w14:textId="5600EA4C" w:rsidR="00C83B84" w:rsidRPr="003541E0" w:rsidRDefault="00C83B84" w:rsidP="00C83B84">
                      <w:pPr>
                        <w:spacing w:before="0"/>
                        <w:jc w:val="left"/>
                        <w:rPr>
                          <w:b/>
                          <w:color w:val="FFFFFF" w:themeColor="background1"/>
                          <w:sz w:val="60"/>
                          <w:szCs w:val="60"/>
                        </w:rPr>
                      </w:pPr>
                      <w:r w:rsidRPr="003541E0">
                        <w:rPr>
                          <w:b/>
                          <w:color w:val="FFFFFF" w:themeColor="background1"/>
                          <w:sz w:val="60"/>
                          <w:szCs w:val="60"/>
                        </w:rPr>
                        <w:t>The economic, social</w:t>
                      </w:r>
                      <w:r w:rsidR="00AD0FF4" w:rsidRPr="003541E0">
                        <w:rPr>
                          <w:b/>
                          <w:color w:val="FFFFFF" w:themeColor="background1"/>
                          <w:sz w:val="60"/>
                          <w:szCs w:val="60"/>
                        </w:rPr>
                        <w:t>,</w:t>
                      </w:r>
                      <w:r w:rsidRPr="003541E0">
                        <w:rPr>
                          <w:b/>
                          <w:color w:val="FFFFFF" w:themeColor="background1"/>
                          <w:sz w:val="60"/>
                          <w:szCs w:val="60"/>
                        </w:rPr>
                        <w:t xml:space="preserve"> and cultural impact of the University of Birmingham</w:t>
                      </w:r>
                    </w:p>
                  </w:txbxContent>
                </v:textbox>
                <w10:wrap anchorx="margin" anchory="margin"/>
              </v:shape>
            </w:pict>
          </mc:Fallback>
        </mc:AlternateContent>
      </w:r>
      <w:r w:rsidR="008113D3" w:rsidRPr="0078056B">
        <w:rPr>
          <w:noProof/>
          <w:lang w:eastAsia="en-GB"/>
        </w:rPr>
        <mc:AlternateContent>
          <mc:Choice Requires="wps">
            <w:drawing>
              <wp:anchor distT="0" distB="0" distL="114300" distR="114300" simplePos="0" relativeHeight="251659264" behindDoc="0" locked="0" layoutInCell="1" allowOverlap="1" wp14:anchorId="1BA496AB" wp14:editId="507C1D0E">
                <wp:simplePos x="0" y="0"/>
                <wp:positionH relativeFrom="page">
                  <wp:posOffset>-10795</wp:posOffset>
                </wp:positionH>
                <wp:positionV relativeFrom="page">
                  <wp:posOffset>7094855</wp:posOffset>
                </wp:positionV>
                <wp:extent cx="7559675" cy="3599815"/>
                <wp:effectExtent l="0" t="0" r="3175" b="635"/>
                <wp:wrapNone/>
                <wp:docPr id="4" name="Rectangle 4"/>
                <wp:cNvGraphicFramePr/>
                <a:graphic xmlns:a="http://schemas.openxmlformats.org/drawingml/2006/main">
                  <a:graphicData uri="http://schemas.microsoft.com/office/word/2010/wordprocessingShape">
                    <wps:wsp>
                      <wps:cNvSpPr/>
                      <wps:spPr>
                        <a:xfrm>
                          <a:off x="0" y="0"/>
                          <a:ext cx="7559675" cy="3599815"/>
                        </a:xfrm>
                        <a:prstGeom prst="rect">
                          <a:avLst/>
                        </a:prstGeom>
                        <a:solidFill>
                          <a:srgbClr val="0635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7E07EA3" id="Rectangle 4" o:spid="_x0000_s1026" style="position:absolute;margin-left:-.85pt;margin-top:558.65pt;width:595.25pt;height:283.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KkgQIAAGAFAAAOAAAAZHJzL2Uyb0RvYy54bWysVE1PGzEQvVfqf7B8L5sElpCIDYpAVJUQ&#10;IKDi7HjtZCWvxx072aS/vmPvRyhFPVTNwbE9b97MvJ3x5dW+Nmyn0FdgCz4+GXGmrISysuuCf3+5&#10;/XLBmQ/ClsKAVQU/KM+vFp8/XTZuriawAVMqZERi/bxxBd+E4OZZ5uVG1cKfgFOWjBqwFoGOuM5K&#10;FA2x1yabjEbnWQNYOgSpvKfbm9bIF4lfayXDg9ZeBWYKTrmFtGJaV3HNFpdivkbhNpXs0hD/kEUt&#10;KktBB6obEQTbYvUHVV1JBA86nEioM9C6kirVQNWMR++qed4Ip1ItJI53g0z+/9HK+92ze0SSoXF+&#10;7mkbq9hrrOM/5cf2SazDIJbaBybpcprns/Npzpkk22k+m12M8yhndnR36MNXBTWLm4IjfY0kktjd&#10;+dBCe0iM5sFU5W1lTDrgenVtkO1E/HLnp/l02bH/BjM2gi1Et5Yx3mTHYtIuHIyKOGOflGZVSelP&#10;Uiapz9QQR0ipbBi3po0oVRs+H9Gvjx47M3qkShNhZNYUf+DuCHpkS9Jzt1l2+OiqUpsOzqO/JdY6&#10;Dx4pMtgwONeVBfyIwFBVXeQW34vUShNVWkF5eESG0A6Jd/K2ou92J3x4FEhTQfNDkx4eaNEGmoJD&#10;t+NsA/jzo/uIp2YlK2cNTVnB/Y+tQMWZ+WapjWfjs7M4lulwlk8ndMC3ltVbi93W10DtMKY3xcm0&#10;jfhg+q1GqF/pQVjGqGQSVlLsgsuA/eE6tNNPT4pUy2WC0Sg6Ee7ss5ORPKoa+/Jl/yrQdc0bqO/v&#10;oZ9IMX/Xwy02elpYbgPoKjX4UddObxrj1DjdkxPfibfnhDo+jItfAAAA//8DAFBLAwQUAAYACAAA&#10;ACEA245KQOMAAAANAQAADwAAAGRycy9kb3ducmV2LnhtbEyPwU7DMBBE70j8g7VIXFDrOKA0CnEq&#10;hKiQOERqizi7sZukxOsQu0n692xPcNvdGc2+ydez7dhoBt86lCCWETCDldMt1hI+95tFCswHhVp1&#10;Do2Ei/GwLm5vcpVpN+HWjLtQMwpBnykJTQh9xrmvGmOVX7reIGlHN1gVaB1qrgc1UbjteBxFCbeq&#10;RfrQqN68Nqb63p2thLGc/PzzEe/b8nLib1+b94ekRCnv7+aXZ2DBzOHPDFd8QoeCmA7ujNqzTsJC&#10;rMhJdyFWj8CuDpGm1OZAU5I+xcCLnP9vUfwCAAD//wMAUEsBAi0AFAAGAAgAAAAhALaDOJL+AAAA&#10;4QEAABMAAAAAAAAAAAAAAAAAAAAAAFtDb250ZW50X1R5cGVzXS54bWxQSwECLQAUAAYACAAAACEA&#10;OP0h/9YAAACUAQAACwAAAAAAAAAAAAAAAAAvAQAAX3JlbHMvLnJlbHNQSwECLQAUAAYACAAAACEA&#10;oWmipIECAABgBQAADgAAAAAAAAAAAAAAAAAuAgAAZHJzL2Uyb0RvYy54bWxQSwECLQAUAAYACAAA&#10;ACEA245KQOMAAAANAQAADwAAAAAAAAAAAAAAAADbBAAAZHJzL2Rvd25yZXYueG1sUEsFBgAAAAAE&#10;AAQA8wAAAOsFAAAAAA==&#10;" fillcolor="#06357a" stroked="f" strokeweight="2pt">
                <w10:wrap anchorx="page" anchory="page"/>
              </v:rect>
            </w:pict>
          </mc:Fallback>
        </mc:AlternateContent>
      </w:r>
      <w:r w:rsidR="008113D3" w:rsidRPr="0078056B">
        <w:rPr>
          <w:noProof/>
          <w:lang w:eastAsia="en-GB"/>
        </w:rPr>
        <w:drawing>
          <wp:anchor distT="0" distB="0" distL="114300" distR="114300" simplePos="0" relativeHeight="251660288" behindDoc="0" locked="0" layoutInCell="1" allowOverlap="1" wp14:anchorId="4B145856" wp14:editId="44737C00">
            <wp:simplePos x="0" y="0"/>
            <wp:positionH relativeFrom="column">
              <wp:posOffset>-301625</wp:posOffset>
            </wp:positionH>
            <wp:positionV relativeFrom="paragraph">
              <wp:posOffset>7014210</wp:posOffset>
            </wp:positionV>
            <wp:extent cx="3479800" cy="1606550"/>
            <wp:effectExtent l="0" t="0" r="6350" b="0"/>
            <wp:wrapNone/>
            <wp:docPr id="8" name="Picture 31" descr="London Econom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1" descr="London Economics logo"/>
                    <pic:cNvPicPr>
                      <a:picLocks noChangeAspect="1"/>
                    </pic:cNvPicPr>
                  </pic:nvPicPr>
                  <pic:blipFill>
                    <a:blip r:embed="rId8" cstate="print"/>
                    <a:srcRect/>
                    <a:stretch>
                      <a:fillRect/>
                    </a:stretch>
                  </pic:blipFill>
                  <pic:spPr bwMode="auto">
                    <a:xfrm>
                      <a:off x="0" y="0"/>
                      <a:ext cx="3479800" cy="1606550"/>
                    </a:xfrm>
                    <a:prstGeom prst="rect">
                      <a:avLst/>
                    </a:prstGeom>
                    <a:noFill/>
                    <a:ln w="9525">
                      <a:noFill/>
                      <a:miter lim="800000"/>
                      <a:headEnd/>
                      <a:tailEnd/>
                    </a:ln>
                  </pic:spPr>
                </pic:pic>
              </a:graphicData>
            </a:graphic>
          </wp:anchor>
        </w:drawing>
      </w:r>
      <w:r w:rsidR="008113D3" w:rsidRPr="0078056B">
        <w:rPr>
          <w:noProof/>
          <w:lang w:eastAsia="en-GB"/>
        </w:rPr>
        <mc:AlternateContent>
          <mc:Choice Requires="wps">
            <w:drawing>
              <wp:anchor distT="0" distB="0" distL="114300" distR="114300" simplePos="0" relativeHeight="251661312" behindDoc="0" locked="0" layoutInCell="1" allowOverlap="1" wp14:anchorId="67F81AD0" wp14:editId="7487879A">
                <wp:simplePos x="0" y="0"/>
                <wp:positionH relativeFrom="page">
                  <wp:posOffset>-10795</wp:posOffset>
                </wp:positionH>
                <wp:positionV relativeFrom="page">
                  <wp:posOffset>3810</wp:posOffset>
                </wp:positionV>
                <wp:extent cx="7559675" cy="3599815"/>
                <wp:effectExtent l="0" t="0" r="3175" b="635"/>
                <wp:wrapNone/>
                <wp:docPr id="6" name="Rectangle 6"/>
                <wp:cNvGraphicFramePr/>
                <a:graphic xmlns:a="http://schemas.openxmlformats.org/drawingml/2006/main">
                  <a:graphicData uri="http://schemas.microsoft.com/office/word/2010/wordprocessingShape">
                    <wps:wsp>
                      <wps:cNvSpPr/>
                      <wps:spPr>
                        <a:xfrm>
                          <a:off x="0" y="0"/>
                          <a:ext cx="7559675" cy="3599815"/>
                        </a:xfrm>
                        <a:prstGeom prst="rect">
                          <a:avLst/>
                        </a:prstGeom>
                        <a:solidFill>
                          <a:srgbClr val="06357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B0D4F0" w14:textId="11405DC4" w:rsidR="00C83B84" w:rsidRPr="003541E0" w:rsidRDefault="00C83B84" w:rsidP="00C8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7F81AD0" id="Rectangle 6" o:spid="_x0000_s1027" style="position:absolute;left:0;text-align:left;margin-left:-.85pt;margin-top:.3pt;width:595.25pt;height:283.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TpiwIAAHIFAAAOAAAAZHJzL2Uyb0RvYy54bWysVEtPGzEQvlfqf7B8L5sElpCIDYpAVJUQ&#10;IKDi7HjtrCWvx7Wd7Ka/vmPvI5SiHqruwWt7vvnm4Zm5vGprTfbCeQWmoNOTCSXCcCiV2Rb0+8vt&#10;lwtKfGCmZBqMKOhBeHq1+vzpsrFLMYMKdCkcQRLjl40taBWCXWaZ55WomT8BKwwKJbiaBTy6bVY6&#10;1iB7rbPZZHKeNeBK64AL7/H2phPSVeKXUvDwIKUXgeiCom8hrS6tm7hmq0u23DpmK8V7N9g/eFEz&#10;ZdDoSHXDAiM7p/6gqhV34EGGEw51BlIqLlIMGM108i6a54pZkWLB5Hg7psn/P1p+v3+2jw7T0Fi/&#10;9LiNUbTS1fGP/pE2JeswJku0gXC8nOf54nyeU8JRdpovFhfTPKYzO6pb58NXATWJm4I6fI2UJLa/&#10;86GDDpBozYNW5a3SOh3cdnOtHdmz+HLnp/l83bP/BtMmgg1EtY4x3mTHYNIuHLSIOG2ehCSqRPdn&#10;yZNUZ2K0wzgXJkw7UcVK0ZnPJ/gN1mNlRo0UaSKMzBLtj9w9wYDsSAbuzsseH1VFKtNRefI3xzrl&#10;USNZBhNG5VoZcB8RaIyqt9zhhyR1qYlZCu2mxdxgF0dkvNlAeXh0xEHXNt7yW4Uvecd8eGQO+wQ7&#10;Cns/POAiNTQFhX5HSQXu50f3EY/li1JKGuy7gvofO+YEJfqbwcJeTM/OYqOmw1k+n+HBvZVs3krM&#10;rr4GLJApThnL0zbigx620kH9iiNiHa2iiBmOtgvKgxsO16GbBzhkuFivEwyb07JwZ54tj+Qxz7FS&#10;X9pX5mxfzgE74R6GHmXLd1XdYaOmgfUugFSp5I957V8AGzuVUj+E4uR4e06o46hc/QIAAP//AwBQ&#10;SwMEFAAGAAgAAAAhALJqywnfAAAACAEAAA8AAABkcnMvZG93bnJldi54bWxMj0FLw0AUhO+C/2F5&#10;ghdpNyk0DTEvRcQieAjYiudt9plEs29jdpuk/97tqR6HGWa+ybez6cRIg2stI8TLCARxZXXLNcLH&#10;YbdIQTivWKvOMiGcycG2uL3JVabtxO807n0tQgm7TCE03veZlK5qyCi3tD1x8L7sYJQPcqilHtQU&#10;yk0nV1GUSKNaDguN6um5oepnfzIIYzm5+fdtdWjL87d8+dy9PiQlI97fzU+PIDzN/hqGC35AhyIw&#10;He2JtRMdwiLehCRCAuLixmkanhwR1slmDbLI5f8DxR8AAAD//wMAUEsBAi0AFAAGAAgAAAAhALaD&#10;OJL+AAAA4QEAABMAAAAAAAAAAAAAAAAAAAAAAFtDb250ZW50X1R5cGVzXS54bWxQSwECLQAUAAYA&#10;CAAAACEAOP0h/9YAAACUAQAACwAAAAAAAAAAAAAAAAAvAQAAX3JlbHMvLnJlbHNQSwECLQAUAAYA&#10;CAAAACEADKSk6YsCAAByBQAADgAAAAAAAAAAAAAAAAAuAgAAZHJzL2Uyb0RvYy54bWxQSwECLQAU&#10;AAYACAAAACEAsmrLCd8AAAAIAQAADwAAAAAAAAAAAAAAAADlBAAAZHJzL2Rvd25yZXYueG1sUEsF&#10;BgAAAAAEAAQA8wAAAPEFAAAAAA==&#10;" fillcolor="#06357a" stroked="f" strokeweight="2pt">
                <v:textbox>
                  <w:txbxContent>
                    <w:p w14:paraId="22B0D4F0" w14:textId="11405DC4" w:rsidR="00C83B84" w:rsidRPr="003541E0" w:rsidRDefault="00C83B84" w:rsidP="00C83B84">
                      <w:pPr>
                        <w:jc w:val="center"/>
                      </w:pPr>
                    </w:p>
                  </w:txbxContent>
                </v:textbox>
                <w10:wrap anchorx="page" anchory="page"/>
              </v:rect>
            </w:pict>
          </mc:Fallback>
        </mc:AlternateContent>
      </w:r>
      <w:r w:rsidR="008113D3" w:rsidRPr="0078056B">
        <w:rPr>
          <w:noProof/>
          <w:lang w:eastAsia="en-GB"/>
        </w:rPr>
        <w:drawing>
          <wp:anchor distT="0" distB="0" distL="114300" distR="114300" simplePos="0" relativeHeight="251662336" behindDoc="0" locked="0" layoutInCell="1" allowOverlap="1" wp14:anchorId="38B09B3E" wp14:editId="3D27DF41">
            <wp:simplePos x="0" y="0"/>
            <wp:positionH relativeFrom="column">
              <wp:posOffset>2968625</wp:posOffset>
            </wp:positionH>
            <wp:positionV relativeFrom="paragraph">
              <wp:posOffset>5587365</wp:posOffset>
            </wp:positionV>
            <wp:extent cx="3578225" cy="4187190"/>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9" cstate="print">
                      <a:duotone>
                        <a:prstClr val="black"/>
                        <a:srgbClr val="002856">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3578225" cy="4187190"/>
                    </a:xfrm>
                    <a:prstGeom prst="rect">
                      <a:avLst/>
                    </a:prstGeom>
                    <a:noFill/>
                  </pic:spPr>
                </pic:pic>
              </a:graphicData>
            </a:graphic>
          </wp:anchor>
        </w:drawing>
      </w:r>
    </w:p>
    <w:p w14:paraId="1B6AD7D7" w14:textId="2D29E725" w:rsidR="00285AC2" w:rsidRPr="0078056B" w:rsidRDefault="00285AC2" w:rsidP="00FE67E1">
      <w:pPr>
        <w:pStyle w:val="DocSubtitle"/>
        <w:jc w:val="both"/>
      </w:pPr>
      <w:bookmarkStart w:id="0" w:name="bmkTitle"/>
      <w:bookmarkEnd w:id="0"/>
    </w:p>
    <w:p w14:paraId="6CE70980" w14:textId="0FF80AD6" w:rsidR="00285AC2" w:rsidRPr="0078056B" w:rsidRDefault="00C83B84" w:rsidP="00FE67E1">
      <w:pPr>
        <w:pStyle w:val="DocMarking"/>
        <w:jc w:val="both"/>
      </w:pPr>
      <w:r w:rsidRPr="0078056B">
        <w:rPr>
          <w:noProof/>
        </w:rPr>
        <w:drawing>
          <wp:anchor distT="0" distB="0" distL="114300" distR="114300" simplePos="0" relativeHeight="251658239" behindDoc="0" locked="0" layoutInCell="1" allowOverlap="1" wp14:anchorId="289B54BB" wp14:editId="1AB810C9">
            <wp:simplePos x="0" y="0"/>
            <wp:positionH relativeFrom="page">
              <wp:align>left</wp:align>
            </wp:positionH>
            <wp:positionV relativeFrom="paragraph">
              <wp:posOffset>445032</wp:posOffset>
            </wp:positionV>
            <wp:extent cx="7625715" cy="5090160"/>
            <wp:effectExtent l="0" t="0" r="0" b="0"/>
            <wp:wrapTopAndBottom/>
            <wp:docPr id="213928685" name="Picture 4" descr="A computer and book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8685" name="Picture 4" descr="A computer and books on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25715" cy="5090160"/>
                    </a:xfrm>
                    <a:prstGeom prst="rect">
                      <a:avLst/>
                    </a:prstGeom>
                  </pic:spPr>
                </pic:pic>
              </a:graphicData>
            </a:graphic>
            <wp14:sizeRelH relativeFrom="margin">
              <wp14:pctWidth>0</wp14:pctWidth>
            </wp14:sizeRelH>
            <wp14:sizeRelV relativeFrom="margin">
              <wp14:pctHeight>0</wp14:pctHeight>
            </wp14:sizeRelV>
          </wp:anchor>
        </w:drawing>
      </w:r>
    </w:p>
    <w:p w14:paraId="76646EC1" w14:textId="19D77B83" w:rsidR="00285AC2" w:rsidRPr="0078056B" w:rsidRDefault="00285AC2">
      <w:pPr>
        <w:rPr>
          <w:rFonts w:cs="Microsoft Sans Serif"/>
          <w:sz w:val="18"/>
        </w:rPr>
      </w:pPr>
    </w:p>
    <w:p w14:paraId="32C28521" w14:textId="577169F9" w:rsidR="00285AC2" w:rsidRPr="0078056B" w:rsidRDefault="00285AC2" w:rsidP="0046478A"/>
    <w:p w14:paraId="46B0C2B0" w14:textId="72E620CF" w:rsidR="00B0172D" w:rsidRPr="0078056B" w:rsidRDefault="00B0172D" w:rsidP="00B0172D"/>
    <w:p w14:paraId="08D72B7C" w14:textId="4E245CC5" w:rsidR="00B0172D" w:rsidRPr="0078056B" w:rsidRDefault="00B0172D" w:rsidP="00B0172D"/>
    <w:p w14:paraId="7D44F5AC" w14:textId="3DFD5AEB" w:rsidR="00B0172D" w:rsidRPr="0078056B" w:rsidRDefault="00B0172D" w:rsidP="00B0172D"/>
    <w:p w14:paraId="48A67CAF" w14:textId="1F02DE15" w:rsidR="00B0172D" w:rsidRPr="0078056B" w:rsidRDefault="00B0172D" w:rsidP="00B0172D"/>
    <w:p w14:paraId="3E5E0BEE" w14:textId="39C47741" w:rsidR="00B0172D" w:rsidRPr="0078056B" w:rsidRDefault="00C83B84" w:rsidP="00B0172D">
      <w:r w:rsidRPr="0078056B">
        <w:rPr>
          <w:noProof/>
        </w:rPr>
        <mc:AlternateContent>
          <mc:Choice Requires="wps">
            <w:drawing>
              <wp:anchor distT="0" distB="0" distL="114300" distR="114300" simplePos="0" relativeHeight="251670528" behindDoc="0" locked="0" layoutInCell="1" allowOverlap="1" wp14:anchorId="0197D883" wp14:editId="7C155312">
                <wp:simplePos x="0" y="0"/>
                <wp:positionH relativeFrom="margin">
                  <wp:posOffset>1139883</wp:posOffset>
                </wp:positionH>
                <wp:positionV relativeFrom="paragraph">
                  <wp:posOffset>157983</wp:posOffset>
                </wp:positionV>
                <wp:extent cx="2103120" cy="346710"/>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4671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20D55F" w14:textId="0EAAE662" w:rsidR="00C83B84" w:rsidRPr="003541E0" w:rsidRDefault="00F365C6" w:rsidP="00C83B84">
                            <w:pPr>
                              <w:spacing w:before="0" w:after="0"/>
                              <w:rPr>
                                <w:color w:val="D9D9D9" w:themeColor="background1" w:themeShade="D9"/>
                                <w:sz w:val="32"/>
                                <w:szCs w:val="32"/>
                              </w:rPr>
                            </w:pPr>
                            <w:r>
                              <w:rPr>
                                <w:color w:val="D9D9D9" w:themeColor="background1" w:themeShade="D9"/>
                                <w:sz w:val="32"/>
                                <w:szCs w:val="32"/>
                              </w:rPr>
                              <w:t xml:space="preserve">June </w:t>
                            </w:r>
                            <w:r w:rsidR="00C83B84" w:rsidRPr="003541E0">
                              <w:rPr>
                                <w:color w:val="D9D9D9" w:themeColor="background1" w:themeShade="D9"/>
                                <w:sz w:val="32"/>
                                <w:szCs w:val="32"/>
                              </w:rPr>
                              <w:t>2024</w:t>
                            </w:r>
                          </w:p>
                        </w:txbxContent>
                      </wps:txbx>
                      <wps:bodyPr rot="0" vert="horz" wrap="square" lIns="91440" tIns="45720" rIns="91440" bIns="45720" anchor="t" anchorCtr="0" upright="1">
                        <a:noAutofit/>
                      </wps:bodyPr>
                    </wps:wsp>
                  </a:graphicData>
                </a:graphic>
              </wp:anchor>
            </w:drawing>
          </mc:Choice>
          <mc:Fallback xmlns:w16du="http://schemas.microsoft.com/office/word/2023/wordml/word16du">
            <w:pict>
              <v:shapetype w14:anchorId="0197D883" id="_x0000_t202" coordsize="21600,21600" o:spt="202" path="m,l,21600r21600,l21600,xe">
                <v:stroke joinstyle="miter"/>
                <v:path gradientshapeok="t" o:connecttype="rect"/>
              </v:shapetype>
              <v:shape id="Text Box 2" o:spid="_x0000_s1028" type="#_x0000_t202" style="position:absolute;left:0;text-align:left;margin-left:89.75pt;margin-top:12.45pt;width:165.6pt;height:27.3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qaY4wEAAKgDAAAOAAAAZHJzL2Uyb0RvYy54bWysU12P0zAQfEfiP1h+p0l65Q6ipqfjToeQ&#10;jg/p4Ac4jtNYJF6z6zYpv5610+sVeEO8WLbXmZ2Znayvp6EXe4NkwVWyWORSGKehsW5byW9f71+9&#10;kYKCco3qwZlKHgzJ683LF+vRl2YJHfSNQcEgjsrRV7ILwZdZRrozg6IFeOO42AIOKvARt1mDamT0&#10;oc+WeX6ZjYCNR9CGiG/v5qLcJPy2NTp8blsyQfSVZG4hrZjWOq7ZZq3KLSrfWX2kof6BxaCs46Yn&#10;qDsVlNih/QtqsBqBoA0LDUMGbWu1SRpYTZH/oeaxU94kLWwO+ZNN9P9g9af9o/+CIkzvYOIBJhHk&#10;H0B/J+HgtlNua24QYeyMarhxES3LRk/l8dNoNZUUQerxIzQ8ZLULkICmFofoCusUjM4DOJxMN1MQ&#10;mi+XRX5RLLmkuXaxurwq0lQyVT597ZHCewODiJtKIg81oav9A4XIRpVPT2IzB/e279Nge/fbBT+M&#10;N4l9JDxTD1M9CdswkygtiqmhObAchDkuHG/edIA/pRg5KpWkHzuFRor+g2NL3harVcxWOqxeX0Ux&#10;eF6pzyvKaYaqZJBi3t6GOY87j3bbcad5CA5u2MbWJoXPrI70OQ5J+DG6MW/n5/Tq+Qfb/AIAAP//&#10;AwBQSwMEFAAGAAgAAAAhAJiFPqDcAAAACQEAAA8AAABkcnMvZG93bnJldi54bWxMj0FPwkAQhe8k&#10;/ofNmHiDXQgFW7slRuNVIyoJt6U7tI3d2aa70PrvHU5wfHlf3nyTb0bXijP2ofGkYT5TIJBKbxuq&#10;NHx/vU0fQYRoyJrWE2r4wwCb4m6Sm8z6gT7xvI2V4BEKmdFQx9hlUoayRmfCzHdI3B1970zk2FfS&#10;9mbgcdfKhVIr6UxDfKE2Hb7UWP5uT07Dz/txv1uqj+rVJd3gRyXJpVLrh/vx+QlExDFeYbjoszoU&#10;7HTwJ7JBtJzXacKohsUyBcFAMldrEAcNl0IWubz9oPgHAAD//wMAUEsBAi0AFAAGAAgAAAAhALaD&#10;OJL+AAAA4QEAABMAAAAAAAAAAAAAAAAAAAAAAFtDb250ZW50X1R5cGVzXS54bWxQSwECLQAUAAYA&#10;CAAAACEAOP0h/9YAAACUAQAACwAAAAAAAAAAAAAAAAAvAQAAX3JlbHMvLnJlbHNQSwECLQAUAAYA&#10;CAAAACEANvammOMBAACoAwAADgAAAAAAAAAAAAAAAAAuAgAAZHJzL2Uyb0RvYy54bWxQSwECLQAU&#10;AAYACAAAACEAmIU+oNwAAAAJAQAADwAAAAAAAAAAAAAAAAA9BAAAZHJzL2Rvd25yZXYueG1sUEsF&#10;BgAAAAAEAAQA8wAAAEYFAAAAAA==&#10;" filled="f" stroked="f">
                <v:textbox>
                  <w:txbxContent>
                    <w:p w14:paraId="6120D55F" w14:textId="0EAAE662" w:rsidR="00C83B84" w:rsidRPr="003541E0" w:rsidRDefault="00F365C6" w:rsidP="00C83B84">
                      <w:pPr>
                        <w:spacing w:before="0" w:after="0"/>
                        <w:rPr>
                          <w:color w:val="D9D9D9" w:themeColor="background1" w:themeShade="D9"/>
                          <w:sz w:val="32"/>
                          <w:szCs w:val="32"/>
                        </w:rPr>
                      </w:pPr>
                      <w:r>
                        <w:rPr>
                          <w:color w:val="D9D9D9" w:themeColor="background1" w:themeShade="D9"/>
                          <w:sz w:val="32"/>
                          <w:szCs w:val="32"/>
                        </w:rPr>
                        <w:t xml:space="preserve">June </w:t>
                      </w:r>
                      <w:r w:rsidR="00C83B84" w:rsidRPr="003541E0">
                        <w:rPr>
                          <w:color w:val="D9D9D9" w:themeColor="background1" w:themeShade="D9"/>
                          <w:sz w:val="32"/>
                          <w:szCs w:val="32"/>
                        </w:rPr>
                        <w:t>2024</w:t>
                      </w:r>
                    </w:p>
                  </w:txbxContent>
                </v:textbox>
                <w10:wrap anchorx="margin"/>
              </v:shape>
            </w:pict>
          </mc:Fallback>
        </mc:AlternateContent>
      </w:r>
    </w:p>
    <w:p w14:paraId="05F9DAAD" w14:textId="5E55C582" w:rsidR="00B0172D" w:rsidRPr="0078056B" w:rsidRDefault="00B0172D" w:rsidP="001F0F67">
      <w:pPr>
        <w:tabs>
          <w:tab w:val="left" w:pos="3105"/>
        </w:tabs>
        <w:sectPr w:rsidR="00B0172D" w:rsidRPr="0078056B" w:rsidSect="00B0172D">
          <w:headerReference w:type="default" r:id="rId11"/>
          <w:pgSz w:w="11906" w:h="16838"/>
          <w:pgMar w:top="1418" w:right="1531" w:bottom="1418" w:left="1531" w:header="794" w:footer="1361" w:gutter="0"/>
          <w:cols w:space="708"/>
          <w:docGrid w:linePitch="360"/>
        </w:sectPr>
      </w:pPr>
    </w:p>
    <w:p w14:paraId="5D46DC5D" w14:textId="77777777" w:rsidR="005D70A8" w:rsidRPr="0078056B" w:rsidRDefault="00B0172D" w:rsidP="00B0172D">
      <w:pPr>
        <w:pStyle w:val="Heading2NoNumbNoTOC"/>
      </w:pPr>
      <w:r w:rsidRPr="0078056B">
        <w:lastRenderedPageBreak/>
        <w:t>About London Economics</w:t>
      </w:r>
    </w:p>
    <w:p w14:paraId="64897DB9" w14:textId="77777777" w:rsidR="00E13125" w:rsidRPr="0078056B" w:rsidRDefault="00E13125" w:rsidP="00E13125">
      <w:r w:rsidRPr="0078056B">
        <w:t>London Economics is one of Europe's leading specialist economics and policy consultancies headquartered in London. We advise clients in both the public and private sectors on economic and financial analysis, policy development and evaluation, business strategy, and regulatory and competition policy.</w:t>
      </w:r>
    </w:p>
    <w:p w14:paraId="09A90E42" w14:textId="77777777" w:rsidR="00E13125" w:rsidRPr="0078056B" w:rsidRDefault="00E13125" w:rsidP="00E13125">
      <w:r w:rsidRPr="0078056B">
        <w:t xml:space="preserve">Our consultants are </w:t>
      </w:r>
      <w:proofErr w:type="gramStart"/>
      <w:r w:rsidRPr="0078056B">
        <w:t>highly-qualified</w:t>
      </w:r>
      <w:proofErr w:type="gramEnd"/>
      <w:r w:rsidRPr="0078056B">
        <w:t xml:space="preserve"> economists with experience in applying a wide variety of analytical techniques to assist our work, including cost-benefit analysis, multi-criteria analysis, policy simulation, scenario building, statistical analysis and mathematical modelling. We are also experienced in using a wide range of data collection techniques including literature reviews, survey questionnaires, interviews and focus groups.</w:t>
      </w:r>
    </w:p>
    <w:p w14:paraId="753B2A64" w14:textId="77777777" w:rsidR="00B0172D" w:rsidRPr="0078056B" w:rsidRDefault="00B0172D" w:rsidP="00B0172D">
      <w:r w:rsidRPr="0078056B">
        <w:rPr>
          <w:b/>
        </w:rPr>
        <w:t xml:space="preserve">Head Office: </w:t>
      </w:r>
      <w:r w:rsidRPr="0078056B">
        <w:t>Somerset House, New Wing, Strand, London, WC2R 1LA, United Kingdom.</w:t>
      </w:r>
    </w:p>
    <w:p w14:paraId="79D63BE8" w14:textId="77777777" w:rsidR="00B0172D" w:rsidRPr="0078056B" w:rsidRDefault="00B0172D" w:rsidP="00FE67E1">
      <w:pPr>
        <w:pStyle w:val="StyleOfficeContactsLeft0cm"/>
      </w:pPr>
      <w:r w:rsidRPr="0078056B">
        <w:t>w: londoneconomics.co.uk</w:t>
      </w:r>
      <w:r w:rsidRPr="0078056B">
        <w:tab/>
        <w:t>e: info@londoneconomics.co.uk</w:t>
      </w:r>
      <w:r w:rsidRPr="0078056B">
        <w:tab/>
        <w:t xml:space="preserve"> </w:t>
      </w:r>
      <w:r w:rsidRPr="0078056B">
        <w:rPr>
          <w:noProof/>
        </w:rPr>
        <w:drawing>
          <wp:inline distT="0" distB="0" distL="0" distR="0" wp14:anchorId="53C67074" wp14:editId="57F20C40">
            <wp:extent cx="79044" cy="80888"/>
            <wp:effectExtent l="0" t="0" r="0" b="0"/>
            <wp:docPr id="903738350"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38350" name="Picture 4" descr="A black background with a black squar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0005" cy="92105"/>
                    </a:xfrm>
                    <a:prstGeom prst="rect">
                      <a:avLst/>
                    </a:prstGeom>
                  </pic:spPr>
                </pic:pic>
              </a:graphicData>
            </a:graphic>
          </wp:inline>
        </w:drawing>
      </w:r>
      <w:r w:rsidRPr="0078056B">
        <w:t>: @LondonEconomics</w:t>
      </w:r>
    </w:p>
    <w:p w14:paraId="2AC51D9B" w14:textId="77777777" w:rsidR="00B0172D" w:rsidRPr="0078056B" w:rsidRDefault="00B0172D" w:rsidP="00FE67E1">
      <w:pPr>
        <w:pStyle w:val="StyleOfficeContactsLeft0cm"/>
      </w:pPr>
      <w:r w:rsidRPr="0078056B">
        <w:t>t: +44 (0)20 3701 7700</w:t>
      </w:r>
      <w:r w:rsidRPr="0078056B">
        <w:tab/>
      </w:r>
      <w:r w:rsidRPr="0078056B">
        <w:tab/>
      </w:r>
    </w:p>
    <w:p w14:paraId="670D938E" w14:textId="77777777" w:rsidR="00B0172D" w:rsidRPr="0078056B" w:rsidRDefault="00B0172D" w:rsidP="00B0172D"/>
    <w:p w14:paraId="0EE29D09" w14:textId="77777777" w:rsidR="00B0172D" w:rsidRPr="0078056B" w:rsidRDefault="00B0172D" w:rsidP="00B0172D">
      <w:pPr>
        <w:pStyle w:val="Heading2NoNumbNoTOC"/>
      </w:pPr>
      <w:r w:rsidRPr="0078056B">
        <w:t>Acknowledgements</w:t>
      </w:r>
    </w:p>
    <w:p w14:paraId="26AF0BB5" w14:textId="4B2FEAC9" w:rsidR="00B0172D" w:rsidRPr="0078056B" w:rsidRDefault="00B0172D" w:rsidP="00B0172D">
      <w:r w:rsidRPr="0078056B">
        <w:t xml:space="preserve">We would like to acknowledge the useful </w:t>
      </w:r>
      <w:r w:rsidR="00B86539" w:rsidRPr="0078056B">
        <w:t xml:space="preserve">data, </w:t>
      </w:r>
      <w:r w:rsidRPr="0078056B">
        <w:t>guidance and feedback provided by the University of Birmingham throughout this research, with particular thanks t</w:t>
      </w:r>
      <w:r w:rsidR="00B86539" w:rsidRPr="0078056B">
        <w:t xml:space="preserve">o Zoe </w:t>
      </w:r>
      <w:proofErr w:type="spellStart"/>
      <w:r w:rsidR="00B86539" w:rsidRPr="0078056B">
        <w:t>Waliszewska</w:t>
      </w:r>
      <w:proofErr w:type="spellEnd"/>
      <w:r w:rsidR="00B86539" w:rsidRPr="0078056B">
        <w:t>, Kathryn Hobbs, Jo Kite,</w:t>
      </w:r>
      <w:r w:rsidR="00B65078" w:rsidRPr="0078056B">
        <w:t xml:space="preserve"> Cathy Gilbert,</w:t>
      </w:r>
      <w:r w:rsidR="00B86539" w:rsidRPr="0078056B">
        <w:t xml:space="preserve"> Rebecca Riley,</w:t>
      </w:r>
      <w:r w:rsidR="003D4AAF" w:rsidRPr="0078056B">
        <w:t xml:space="preserve"> Neil Hanley,</w:t>
      </w:r>
      <w:r w:rsidR="00597FA9">
        <w:t xml:space="preserve"> Gavin </w:t>
      </w:r>
      <w:proofErr w:type="spellStart"/>
      <w:r w:rsidR="00597FA9">
        <w:t>Maggs</w:t>
      </w:r>
      <w:proofErr w:type="spellEnd"/>
      <w:r w:rsidR="00597FA9">
        <w:t xml:space="preserve">, Cate </w:t>
      </w:r>
      <w:proofErr w:type="spellStart"/>
      <w:r w:rsidR="00597FA9">
        <w:t>Linforth</w:t>
      </w:r>
      <w:proofErr w:type="spellEnd"/>
      <w:r w:rsidR="00597FA9">
        <w:t>,</w:t>
      </w:r>
      <w:r w:rsidR="00597FA9" w:rsidRPr="0078056B">
        <w:t xml:space="preserve"> </w:t>
      </w:r>
      <w:r w:rsidR="00B86539" w:rsidRPr="0078056B">
        <w:t>Amy Hayes</w:t>
      </w:r>
      <w:r w:rsidR="00597FA9">
        <w:t xml:space="preserve">, </w:t>
      </w:r>
      <w:r w:rsidR="00B86539" w:rsidRPr="0078056B">
        <w:t xml:space="preserve">Matthew </w:t>
      </w:r>
      <w:proofErr w:type="spellStart"/>
      <w:r w:rsidR="00B86539" w:rsidRPr="0078056B">
        <w:t>Wildig</w:t>
      </w:r>
      <w:proofErr w:type="spellEnd"/>
      <w:r w:rsidR="00B86539" w:rsidRPr="0078056B">
        <w:t xml:space="preserve">, Muhammad </w:t>
      </w:r>
      <w:proofErr w:type="spellStart"/>
      <w:r w:rsidR="00B86539" w:rsidRPr="0078056B">
        <w:t>Tarajia</w:t>
      </w:r>
      <w:proofErr w:type="spellEnd"/>
      <w:r w:rsidR="00B86539" w:rsidRPr="0078056B">
        <w:t xml:space="preserve">, Duncan Smith, Helen Howitt, Chris East, Caleb Wright, Mark Clayton, Ravinder </w:t>
      </w:r>
      <w:proofErr w:type="spellStart"/>
      <w:r w:rsidR="00B86539" w:rsidRPr="0078056B">
        <w:t>Chall</w:t>
      </w:r>
      <w:proofErr w:type="spellEnd"/>
      <w:r w:rsidR="00B86539" w:rsidRPr="0078056B">
        <w:t xml:space="preserve">, Hollie Moore, David Coleman, Matthew Home, Simon </w:t>
      </w:r>
      <w:proofErr w:type="spellStart"/>
      <w:r w:rsidR="00B86539" w:rsidRPr="0078056B">
        <w:t>Jephcott</w:t>
      </w:r>
      <w:proofErr w:type="spellEnd"/>
      <w:r w:rsidR="00B86539" w:rsidRPr="0078056B">
        <w:t xml:space="preserve">, Lauren Deere, Andy </w:t>
      </w:r>
      <w:proofErr w:type="spellStart"/>
      <w:r w:rsidR="00B86539" w:rsidRPr="0078056B">
        <w:t>Allford</w:t>
      </w:r>
      <w:proofErr w:type="spellEnd"/>
      <w:r w:rsidR="00B86539" w:rsidRPr="0078056B">
        <w:t>, Charmaine Morrell, Edward Shelley, and Julia Myatt. We would also like to thank the members of the Steering Group, Academic Advisory Panel and Regional Engagement Group for their helpful input throughout the project.</w:t>
      </w:r>
      <w:r w:rsidRPr="0078056B">
        <w:t xml:space="preserve"> Responsibility for the contents of this report remains with London Economics. </w:t>
      </w:r>
    </w:p>
    <w:p w14:paraId="2460E364" w14:textId="77777777" w:rsidR="00B0172D" w:rsidRPr="0078056B" w:rsidRDefault="00B0172D" w:rsidP="00B0172D">
      <w:pPr>
        <w:pStyle w:val="Heading2NoNumbNoTOC"/>
      </w:pPr>
      <w:r w:rsidRPr="0078056B">
        <w:t>Authors</w:t>
      </w:r>
    </w:p>
    <w:p w14:paraId="0ADCC259" w14:textId="453E6135" w:rsidR="007F7981" w:rsidRPr="0078056B" w:rsidRDefault="007F7981" w:rsidP="007F7981">
      <w:pPr>
        <w:pStyle w:val="NormalNoSpace"/>
        <w:spacing w:before="60" w:after="60"/>
      </w:pPr>
      <w:r w:rsidRPr="0078056B">
        <w:rPr>
          <w:b/>
          <w:bCs/>
          <w:color w:val="06357A" w:themeColor="text2"/>
        </w:rPr>
        <w:t>James Cannings</w:t>
      </w:r>
      <w:r w:rsidRPr="0078056B">
        <w:t xml:space="preserve">, Senior Economic Consultant, </w:t>
      </w:r>
      <w:hyperlink r:id="rId13" w:history="1">
        <w:r w:rsidRPr="0078056B">
          <w:rPr>
            <w:rStyle w:val="Hyperlink"/>
          </w:rPr>
          <w:t>jcannings@londecon.co.uk</w:t>
        </w:r>
      </w:hyperlink>
    </w:p>
    <w:p w14:paraId="6813F85A" w14:textId="54489C04" w:rsidR="00E13125" w:rsidRPr="0078056B" w:rsidRDefault="00E13125" w:rsidP="007F7981">
      <w:pPr>
        <w:pStyle w:val="NormalNoSpace"/>
        <w:spacing w:before="60" w:after="60"/>
      </w:pPr>
      <w:r w:rsidRPr="0078056B">
        <w:rPr>
          <w:b/>
          <w:bCs/>
          <w:color w:val="06357A" w:themeColor="text2"/>
        </w:rPr>
        <w:t>Katharina Knuth</w:t>
      </w:r>
      <w:r w:rsidRPr="0078056B">
        <w:t xml:space="preserve">, Economic Consultant, </w:t>
      </w:r>
      <w:hyperlink r:id="rId14" w:history="1">
        <w:r w:rsidRPr="0078056B">
          <w:rPr>
            <w:rStyle w:val="Hyperlink"/>
          </w:rPr>
          <w:t>kknuth@londecon.co.uk</w:t>
        </w:r>
      </w:hyperlink>
    </w:p>
    <w:p w14:paraId="7D6C0F5D" w14:textId="1C8E5726" w:rsidR="007F7981" w:rsidRPr="0078056B" w:rsidRDefault="007F7981" w:rsidP="007F7981">
      <w:pPr>
        <w:pStyle w:val="NormalNoSpace"/>
        <w:spacing w:before="60" w:after="60"/>
      </w:pPr>
      <w:r w:rsidRPr="0078056B">
        <w:rPr>
          <w:b/>
          <w:bCs/>
          <w:color w:val="06357A" w:themeColor="text2"/>
        </w:rPr>
        <w:t>Jack Booth</w:t>
      </w:r>
      <w:r w:rsidRPr="0078056B">
        <w:t xml:space="preserve">, Economic Consultant, </w:t>
      </w:r>
      <w:hyperlink r:id="rId15" w:history="1">
        <w:r w:rsidRPr="0078056B">
          <w:rPr>
            <w:rStyle w:val="Hyperlink"/>
          </w:rPr>
          <w:t>jbooth@londecon.co.uk</w:t>
        </w:r>
      </w:hyperlink>
    </w:p>
    <w:p w14:paraId="0F970BA3" w14:textId="1B14558B" w:rsidR="007F7981" w:rsidRPr="0078056B" w:rsidRDefault="007F7981" w:rsidP="007F7981">
      <w:pPr>
        <w:pStyle w:val="NormalNoSpace"/>
        <w:spacing w:before="60" w:after="60"/>
      </w:pPr>
      <w:r w:rsidRPr="0078056B">
        <w:rPr>
          <w:b/>
          <w:bCs/>
          <w:color w:val="06357A" w:themeColor="text2"/>
        </w:rPr>
        <w:t>Philip Hagelberg</w:t>
      </w:r>
      <w:r w:rsidRPr="0078056B">
        <w:t xml:space="preserve">, Economic </w:t>
      </w:r>
      <w:r w:rsidR="00F365C6">
        <w:t>Consultant</w:t>
      </w:r>
      <w:r w:rsidRPr="0078056B">
        <w:t xml:space="preserve">, </w:t>
      </w:r>
      <w:hyperlink r:id="rId16" w:history="1">
        <w:r w:rsidRPr="0078056B">
          <w:rPr>
            <w:rStyle w:val="Hyperlink"/>
          </w:rPr>
          <w:t>phagelberg@londecon.co.uk</w:t>
        </w:r>
      </w:hyperlink>
    </w:p>
    <w:p w14:paraId="67444490" w14:textId="2134994A" w:rsidR="007F7981" w:rsidRPr="0078056B" w:rsidRDefault="007F7981" w:rsidP="007F7981">
      <w:pPr>
        <w:pStyle w:val="NormalNoSpace"/>
        <w:spacing w:before="60" w:after="60"/>
      </w:pPr>
      <w:r w:rsidRPr="0078056B">
        <w:rPr>
          <w:b/>
          <w:bCs/>
          <w:color w:val="06357A" w:themeColor="text2"/>
        </w:rPr>
        <w:t>Dr Gavan Conlon</w:t>
      </w:r>
      <w:r w:rsidRPr="0078056B">
        <w:t xml:space="preserve">, Partner, </w:t>
      </w:r>
      <w:hyperlink r:id="rId17" w:history="1">
        <w:r w:rsidRPr="0078056B">
          <w:rPr>
            <w:rStyle w:val="Hyperlink"/>
          </w:rPr>
          <w:t>gconlon@londecon.co.uk</w:t>
        </w:r>
      </w:hyperlink>
    </w:p>
    <w:p w14:paraId="3E31551B" w14:textId="0D8B2997" w:rsidR="007F7981" w:rsidRPr="0078056B" w:rsidRDefault="007F7981" w:rsidP="007F7981">
      <w:pPr>
        <w:pStyle w:val="NormalNoSpace"/>
        <w:spacing w:before="60" w:after="60"/>
      </w:pPr>
      <w:r w:rsidRPr="0078056B">
        <w:rPr>
          <w:b/>
          <w:bCs/>
          <w:color w:val="06357A" w:themeColor="text2"/>
        </w:rPr>
        <w:t>Alice Battiston</w:t>
      </w:r>
      <w:r w:rsidRPr="0078056B">
        <w:t xml:space="preserve">, Senior Economic Consultant, </w:t>
      </w:r>
      <w:hyperlink r:id="rId18" w:history="1">
        <w:r w:rsidRPr="0078056B">
          <w:rPr>
            <w:rStyle w:val="Hyperlink"/>
          </w:rPr>
          <w:t>abattiston@londecon.co.uk</w:t>
        </w:r>
      </w:hyperlink>
    </w:p>
    <w:p w14:paraId="688C46E5" w14:textId="2E172AB9" w:rsidR="005D70A8" w:rsidRPr="0078056B" w:rsidRDefault="007F7981" w:rsidP="007F7981">
      <w:pPr>
        <w:pStyle w:val="NormalNoSpace"/>
        <w:spacing w:before="60" w:after="60"/>
      </w:pPr>
      <w:r w:rsidRPr="0078056B">
        <w:rPr>
          <w:b/>
          <w:bCs/>
          <w:color w:val="06357A" w:themeColor="text2"/>
        </w:rPr>
        <w:t>Maike Halterbeck</w:t>
      </w:r>
      <w:r w:rsidRPr="0078056B">
        <w:t xml:space="preserve">, </w:t>
      </w:r>
      <w:r w:rsidR="00F365C6">
        <w:t>Partner</w:t>
      </w:r>
      <w:r w:rsidRPr="0078056B">
        <w:t xml:space="preserve">, </w:t>
      </w:r>
      <w:hyperlink r:id="rId19" w:history="1">
        <w:r w:rsidRPr="0078056B">
          <w:rPr>
            <w:rStyle w:val="Hyperlink"/>
          </w:rPr>
          <w:t>mhalterbeck@londecon.co.uk</w:t>
        </w:r>
      </w:hyperlink>
      <w:r w:rsidRPr="0078056B">
        <w:t xml:space="preserve"> </w:t>
      </w:r>
    </w:p>
    <w:p w14:paraId="1B360685" w14:textId="21D2755C" w:rsidR="007F7981" w:rsidRPr="0078056B" w:rsidRDefault="007F7981" w:rsidP="007F7981">
      <w:pPr>
        <w:spacing w:after="0"/>
        <w:rPr>
          <w:rFonts w:asciiTheme="minorHAnsi" w:hAnsiTheme="minorHAnsi" w:cstheme="minorHAnsi"/>
          <w:sz w:val="16"/>
          <w:szCs w:val="16"/>
        </w:rPr>
      </w:pPr>
      <w:r w:rsidRPr="0078056B">
        <w:rPr>
          <w:rFonts w:asciiTheme="minorHAnsi" w:hAnsiTheme="minorHAnsi" w:cstheme="minorHAnsi"/>
          <w:sz w:val="16"/>
          <w:szCs w:val="16"/>
        </w:rPr>
        <w:t xml:space="preserve">Picture credits: Microsoft </w:t>
      </w:r>
      <w:r w:rsidR="00752BED" w:rsidRPr="0078056B">
        <w:rPr>
          <w:rFonts w:asciiTheme="minorHAnsi" w:hAnsiTheme="minorHAnsi" w:cstheme="minorHAnsi"/>
          <w:sz w:val="16"/>
          <w:szCs w:val="16"/>
        </w:rPr>
        <w:t>Office</w:t>
      </w:r>
      <w:r w:rsidRPr="0078056B">
        <w:rPr>
          <w:rFonts w:asciiTheme="minorHAnsi" w:hAnsiTheme="minorHAnsi" w:cstheme="minorHAnsi"/>
          <w:sz w:val="16"/>
          <w:szCs w:val="16"/>
        </w:rPr>
        <w:t>. Source of icons: Palsur / Shutterstock.com; Microsoft PowerPoint</w:t>
      </w:r>
    </w:p>
    <w:p w14:paraId="4AFF67AB" w14:textId="77777777" w:rsidR="007F7981" w:rsidRPr="0078056B" w:rsidRDefault="007F7981" w:rsidP="007F7981">
      <w:pPr>
        <w:spacing w:after="0"/>
        <w:rPr>
          <w:rFonts w:asciiTheme="minorHAnsi" w:hAnsiTheme="minorHAnsi" w:cstheme="minorHAnsi"/>
          <w:sz w:val="16"/>
          <w:szCs w:val="16"/>
        </w:rPr>
        <w:sectPr w:rsidR="007F7981" w:rsidRPr="0078056B" w:rsidSect="007F7981">
          <w:headerReference w:type="even" r:id="rId20"/>
          <w:headerReference w:type="default" r:id="rId21"/>
          <w:footerReference w:type="even" r:id="rId22"/>
          <w:footerReference w:type="default" r:id="rId23"/>
          <w:headerReference w:type="first" r:id="rId24"/>
          <w:footerReference w:type="first" r:id="rId25"/>
          <w:pgSz w:w="11906" w:h="16838"/>
          <w:pgMar w:top="1418" w:right="1531" w:bottom="1418" w:left="1531" w:header="709" w:footer="340" w:gutter="0"/>
          <w:cols w:space="708"/>
          <w:docGrid w:linePitch="360"/>
        </w:sectPr>
      </w:pPr>
    </w:p>
    <w:p w14:paraId="28F45C4F" w14:textId="53576B42" w:rsidR="00684C9F" w:rsidRDefault="000D319B">
      <w:pPr>
        <w:pStyle w:val="TOC2"/>
        <w:rPr>
          <w:rFonts w:asciiTheme="minorHAnsi" w:eastAsiaTheme="minorEastAsia" w:hAnsiTheme="minorHAnsi" w:cstheme="minorBidi"/>
          <w:color w:val="auto"/>
          <w:kern w:val="2"/>
          <w:szCs w:val="24"/>
          <w:lang w:eastAsia="en-GB"/>
          <w14:ligatures w14:val="standardContextual"/>
        </w:rPr>
      </w:pPr>
      <w:r w:rsidRPr="0078056B">
        <w:rPr>
          <w:noProof w:val="0"/>
          <w:color w:val="06357A"/>
        </w:rPr>
        <w:lastRenderedPageBreak/>
        <w:fldChar w:fldCharType="begin"/>
      </w:r>
      <w:r w:rsidR="00C32B93" w:rsidRPr="0078056B">
        <w:rPr>
          <w:noProof w:val="0"/>
        </w:rPr>
        <w:instrText>TOC \h \z \t "Section Title,1,LE Exec Summ Heading 1,2,Heading 1,3,Heading 1 No Numb,2,Annex Heading 1,6,Heading 2,5,Heading 2 No Numb,4,Annex Heading 2,7"</w:instrText>
      </w:r>
      <w:r w:rsidRPr="0078056B">
        <w:rPr>
          <w:noProof w:val="0"/>
          <w:color w:val="06357A"/>
        </w:rPr>
        <w:fldChar w:fldCharType="separate"/>
      </w:r>
      <w:hyperlink w:anchor="_Toc168652110" w:history="1">
        <w:r w:rsidR="00684C9F" w:rsidRPr="00943E3A">
          <w:rPr>
            <w:rStyle w:val="Hyperlink"/>
          </w:rPr>
          <w:t>Executive Summary</w:t>
        </w:r>
        <w:r w:rsidR="00684C9F">
          <w:rPr>
            <w:webHidden/>
          </w:rPr>
          <w:tab/>
        </w:r>
        <w:r w:rsidR="00684C9F">
          <w:rPr>
            <w:webHidden/>
          </w:rPr>
          <w:fldChar w:fldCharType="begin"/>
        </w:r>
        <w:r w:rsidR="00684C9F">
          <w:rPr>
            <w:webHidden/>
          </w:rPr>
          <w:instrText xml:space="preserve"> PAGEREF _Toc168652110 \h </w:instrText>
        </w:r>
        <w:r w:rsidR="00684C9F">
          <w:rPr>
            <w:webHidden/>
          </w:rPr>
        </w:r>
        <w:r w:rsidR="00684C9F">
          <w:rPr>
            <w:webHidden/>
          </w:rPr>
          <w:fldChar w:fldCharType="separate"/>
        </w:r>
        <w:r w:rsidR="00E33157">
          <w:rPr>
            <w:webHidden/>
          </w:rPr>
          <w:t>iii</w:t>
        </w:r>
        <w:r w:rsidR="00684C9F">
          <w:rPr>
            <w:webHidden/>
          </w:rPr>
          <w:fldChar w:fldCharType="end"/>
        </w:r>
      </w:hyperlink>
    </w:p>
    <w:p w14:paraId="41860D7A" w14:textId="2813E404" w:rsidR="00684C9F" w:rsidRDefault="00000000">
      <w:pPr>
        <w:pStyle w:val="TOC4"/>
        <w:rPr>
          <w:rFonts w:asciiTheme="minorHAnsi" w:eastAsiaTheme="minorEastAsia" w:hAnsiTheme="minorHAnsi"/>
          <w:noProof/>
          <w:kern w:val="2"/>
          <w:sz w:val="24"/>
          <w:szCs w:val="24"/>
          <w:lang w:eastAsia="en-GB"/>
          <w14:ligatures w14:val="standardContextual"/>
        </w:rPr>
      </w:pPr>
      <w:hyperlink w:anchor="_Toc168652111" w:history="1">
        <w:r w:rsidR="00684C9F" w:rsidRPr="00943E3A">
          <w:rPr>
            <w:rStyle w:val="Hyperlink"/>
            <w:noProof/>
          </w:rPr>
          <w:t>The aggregate economic impact of the University of Birmingham</w:t>
        </w:r>
        <w:r w:rsidR="00684C9F">
          <w:rPr>
            <w:noProof/>
            <w:webHidden/>
          </w:rPr>
          <w:tab/>
        </w:r>
        <w:r w:rsidR="00684C9F">
          <w:rPr>
            <w:noProof/>
            <w:webHidden/>
          </w:rPr>
          <w:fldChar w:fldCharType="begin"/>
        </w:r>
        <w:r w:rsidR="00684C9F">
          <w:rPr>
            <w:noProof/>
            <w:webHidden/>
          </w:rPr>
          <w:instrText xml:space="preserve"> PAGEREF _Toc168652111 \h </w:instrText>
        </w:r>
        <w:r w:rsidR="00684C9F">
          <w:rPr>
            <w:noProof/>
            <w:webHidden/>
          </w:rPr>
        </w:r>
        <w:r w:rsidR="00684C9F">
          <w:rPr>
            <w:noProof/>
            <w:webHidden/>
          </w:rPr>
          <w:fldChar w:fldCharType="separate"/>
        </w:r>
        <w:r w:rsidR="00E33157">
          <w:rPr>
            <w:noProof/>
            <w:webHidden/>
          </w:rPr>
          <w:t>iii</w:t>
        </w:r>
        <w:r w:rsidR="00684C9F">
          <w:rPr>
            <w:noProof/>
            <w:webHidden/>
          </w:rPr>
          <w:fldChar w:fldCharType="end"/>
        </w:r>
      </w:hyperlink>
    </w:p>
    <w:p w14:paraId="4EBFE5CC" w14:textId="2EFF30F0" w:rsidR="00684C9F" w:rsidRDefault="00000000">
      <w:pPr>
        <w:pStyle w:val="TOC4"/>
        <w:rPr>
          <w:rFonts w:asciiTheme="minorHAnsi" w:eastAsiaTheme="minorEastAsia" w:hAnsiTheme="minorHAnsi"/>
          <w:noProof/>
          <w:kern w:val="2"/>
          <w:sz w:val="24"/>
          <w:szCs w:val="24"/>
          <w:lang w:eastAsia="en-GB"/>
          <w14:ligatures w14:val="standardContextual"/>
        </w:rPr>
      </w:pPr>
      <w:hyperlink w:anchor="_Toc168652112" w:history="1">
        <w:r w:rsidR="00684C9F" w:rsidRPr="00943E3A">
          <w:rPr>
            <w:rStyle w:val="Hyperlink"/>
            <w:noProof/>
          </w:rPr>
          <w:t>The impact of the University of Birmingham’s research and knowledge exchange activities</w:t>
        </w:r>
        <w:r w:rsidR="00684C9F">
          <w:rPr>
            <w:noProof/>
            <w:webHidden/>
          </w:rPr>
          <w:tab/>
        </w:r>
        <w:r w:rsidR="00684C9F">
          <w:rPr>
            <w:noProof/>
            <w:webHidden/>
          </w:rPr>
          <w:fldChar w:fldCharType="begin"/>
        </w:r>
        <w:r w:rsidR="00684C9F">
          <w:rPr>
            <w:noProof/>
            <w:webHidden/>
          </w:rPr>
          <w:instrText xml:space="preserve"> PAGEREF _Toc168652112 \h </w:instrText>
        </w:r>
        <w:r w:rsidR="00684C9F">
          <w:rPr>
            <w:noProof/>
            <w:webHidden/>
          </w:rPr>
        </w:r>
        <w:r w:rsidR="00684C9F">
          <w:rPr>
            <w:noProof/>
            <w:webHidden/>
          </w:rPr>
          <w:fldChar w:fldCharType="separate"/>
        </w:r>
        <w:r w:rsidR="00E33157">
          <w:rPr>
            <w:noProof/>
            <w:webHidden/>
          </w:rPr>
          <w:t>iv</w:t>
        </w:r>
        <w:r w:rsidR="00684C9F">
          <w:rPr>
            <w:noProof/>
            <w:webHidden/>
          </w:rPr>
          <w:fldChar w:fldCharType="end"/>
        </w:r>
      </w:hyperlink>
    </w:p>
    <w:p w14:paraId="32DFB334" w14:textId="583D73F9" w:rsidR="00684C9F" w:rsidRDefault="00000000">
      <w:pPr>
        <w:pStyle w:val="TOC4"/>
        <w:rPr>
          <w:rFonts w:asciiTheme="minorHAnsi" w:eastAsiaTheme="minorEastAsia" w:hAnsiTheme="minorHAnsi"/>
          <w:noProof/>
          <w:kern w:val="2"/>
          <w:sz w:val="24"/>
          <w:szCs w:val="24"/>
          <w:lang w:eastAsia="en-GB"/>
          <w14:ligatures w14:val="standardContextual"/>
        </w:rPr>
      </w:pPr>
      <w:hyperlink w:anchor="_Toc168652113" w:history="1">
        <w:r w:rsidR="00684C9F" w:rsidRPr="00943E3A">
          <w:rPr>
            <w:rStyle w:val="Hyperlink"/>
            <w:noProof/>
          </w:rPr>
          <w:t>The impact of the University of Birmingham’s teaching and learning activities</w:t>
        </w:r>
        <w:r w:rsidR="00684C9F">
          <w:rPr>
            <w:noProof/>
            <w:webHidden/>
          </w:rPr>
          <w:tab/>
        </w:r>
        <w:r w:rsidR="00684C9F">
          <w:rPr>
            <w:noProof/>
            <w:webHidden/>
          </w:rPr>
          <w:fldChar w:fldCharType="begin"/>
        </w:r>
        <w:r w:rsidR="00684C9F">
          <w:rPr>
            <w:noProof/>
            <w:webHidden/>
          </w:rPr>
          <w:instrText xml:space="preserve"> PAGEREF _Toc168652113 \h </w:instrText>
        </w:r>
        <w:r w:rsidR="00684C9F">
          <w:rPr>
            <w:noProof/>
            <w:webHidden/>
          </w:rPr>
        </w:r>
        <w:r w:rsidR="00684C9F">
          <w:rPr>
            <w:noProof/>
            <w:webHidden/>
          </w:rPr>
          <w:fldChar w:fldCharType="separate"/>
        </w:r>
        <w:r w:rsidR="00E33157">
          <w:rPr>
            <w:noProof/>
            <w:webHidden/>
          </w:rPr>
          <w:t>v</w:t>
        </w:r>
        <w:r w:rsidR="00684C9F">
          <w:rPr>
            <w:noProof/>
            <w:webHidden/>
          </w:rPr>
          <w:fldChar w:fldCharType="end"/>
        </w:r>
      </w:hyperlink>
    </w:p>
    <w:p w14:paraId="4AEAA18A" w14:textId="618B8417" w:rsidR="00684C9F" w:rsidRDefault="00000000">
      <w:pPr>
        <w:pStyle w:val="TOC4"/>
        <w:rPr>
          <w:rFonts w:asciiTheme="minorHAnsi" w:eastAsiaTheme="minorEastAsia" w:hAnsiTheme="minorHAnsi"/>
          <w:noProof/>
          <w:kern w:val="2"/>
          <w:sz w:val="24"/>
          <w:szCs w:val="24"/>
          <w:lang w:eastAsia="en-GB"/>
          <w14:ligatures w14:val="standardContextual"/>
        </w:rPr>
      </w:pPr>
      <w:hyperlink w:anchor="_Toc168652114" w:history="1">
        <w:r w:rsidR="00684C9F" w:rsidRPr="00943E3A">
          <w:rPr>
            <w:rStyle w:val="Hyperlink"/>
            <w:noProof/>
          </w:rPr>
          <w:t>The impact of the University of Birmingham’s educational exports</w:t>
        </w:r>
        <w:r w:rsidR="00684C9F">
          <w:rPr>
            <w:noProof/>
            <w:webHidden/>
          </w:rPr>
          <w:tab/>
        </w:r>
        <w:r w:rsidR="00684C9F">
          <w:rPr>
            <w:noProof/>
            <w:webHidden/>
          </w:rPr>
          <w:fldChar w:fldCharType="begin"/>
        </w:r>
        <w:r w:rsidR="00684C9F">
          <w:rPr>
            <w:noProof/>
            <w:webHidden/>
          </w:rPr>
          <w:instrText xml:space="preserve"> PAGEREF _Toc168652114 \h </w:instrText>
        </w:r>
        <w:r w:rsidR="00684C9F">
          <w:rPr>
            <w:noProof/>
            <w:webHidden/>
          </w:rPr>
        </w:r>
        <w:r w:rsidR="00684C9F">
          <w:rPr>
            <w:noProof/>
            <w:webHidden/>
          </w:rPr>
          <w:fldChar w:fldCharType="separate"/>
        </w:r>
        <w:r w:rsidR="00E33157">
          <w:rPr>
            <w:noProof/>
            <w:webHidden/>
          </w:rPr>
          <w:t>vi</w:t>
        </w:r>
        <w:r w:rsidR="00684C9F">
          <w:rPr>
            <w:noProof/>
            <w:webHidden/>
          </w:rPr>
          <w:fldChar w:fldCharType="end"/>
        </w:r>
      </w:hyperlink>
    </w:p>
    <w:p w14:paraId="26440832" w14:textId="711AEF3E" w:rsidR="00684C9F" w:rsidRDefault="00000000">
      <w:pPr>
        <w:pStyle w:val="TOC4"/>
        <w:rPr>
          <w:rFonts w:asciiTheme="minorHAnsi" w:eastAsiaTheme="minorEastAsia" w:hAnsiTheme="minorHAnsi"/>
          <w:noProof/>
          <w:kern w:val="2"/>
          <w:sz w:val="24"/>
          <w:szCs w:val="24"/>
          <w:lang w:eastAsia="en-GB"/>
          <w14:ligatures w14:val="standardContextual"/>
        </w:rPr>
      </w:pPr>
      <w:hyperlink w:anchor="_Toc168652115" w:history="1">
        <w:r w:rsidR="00684C9F" w:rsidRPr="00943E3A">
          <w:rPr>
            <w:rStyle w:val="Hyperlink"/>
            <w:noProof/>
          </w:rPr>
          <w:t>The impact of the University of Birmingham’s expenditure</w:t>
        </w:r>
        <w:r w:rsidR="00684C9F">
          <w:rPr>
            <w:noProof/>
            <w:webHidden/>
          </w:rPr>
          <w:tab/>
        </w:r>
        <w:r w:rsidR="00684C9F">
          <w:rPr>
            <w:noProof/>
            <w:webHidden/>
          </w:rPr>
          <w:fldChar w:fldCharType="begin"/>
        </w:r>
        <w:r w:rsidR="00684C9F">
          <w:rPr>
            <w:noProof/>
            <w:webHidden/>
          </w:rPr>
          <w:instrText xml:space="preserve"> PAGEREF _Toc168652115 \h </w:instrText>
        </w:r>
        <w:r w:rsidR="00684C9F">
          <w:rPr>
            <w:noProof/>
            <w:webHidden/>
          </w:rPr>
        </w:r>
        <w:r w:rsidR="00684C9F">
          <w:rPr>
            <w:noProof/>
            <w:webHidden/>
          </w:rPr>
          <w:fldChar w:fldCharType="separate"/>
        </w:r>
        <w:r w:rsidR="00E33157">
          <w:rPr>
            <w:noProof/>
            <w:webHidden/>
          </w:rPr>
          <w:t>viii</w:t>
        </w:r>
        <w:r w:rsidR="00684C9F">
          <w:rPr>
            <w:noProof/>
            <w:webHidden/>
          </w:rPr>
          <w:fldChar w:fldCharType="end"/>
        </w:r>
      </w:hyperlink>
    </w:p>
    <w:p w14:paraId="1AFB3092" w14:textId="425D7FC0" w:rsidR="00684C9F" w:rsidRDefault="00000000">
      <w:pPr>
        <w:pStyle w:val="TOC4"/>
        <w:rPr>
          <w:rFonts w:asciiTheme="minorHAnsi" w:eastAsiaTheme="minorEastAsia" w:hAnsiTheme="minorHAnsi"/>
          <w:noProof/>
          <w:kern w:val="2"/>
          <w:sz w:val="24"/>
          <w:szCs w:val="24"/>
          <w:lang w:eastAsia="en-GB"/>
          <w14:ligatures w14:val="standardContextual"/>
        </w:rPr>
      </w:pPr>
      <w:hyperlink w:anchor="_Toc168652116" w:history="1">
        <w:r w:rsidR="00684C9F" w:rsidRPr="00943E3A">
          <w:rPr>
            <w:rStyle w:val="Hyperlink"/>
            <w:noProof/>
          </w:rPr>
          <w:t>The impact of the University of Birmingham’s contribution to tourism</w:t>
        </w:r>
        <w:r w:rsidR="00684C9F">
          <w:rPr>
            <w:noProof/>
            <w:webHidden/>
          </w:rPr>
          <w:tab/>
        </w:r>
        <w:r w:rsidR="00684C9F">
          <w:rPr>
            <w:noProof/>
            <w:webHidden/>
          </w:rPr>
          <w:fldChar w:fldCharType="begin"/>
        </w:r>
        <w:r w:rsidR="00684C9F">
          <w:rPr>
            <w:noProof/>
            <w:webHidden/>
          </w:rPr>
          <w:instrText xml:space="preserve"> PAGEREF _Toc168652116 \h </w:instrText>
        </w:r>
        <w:r w:rsidR="00684C9F">
          <w:rPr>
            <w:noProof/>
            <w:webHidden/>
          </w:rPr>
        </w:r>
        <w:r w:rsidR="00684C9F">
          <w:rPr>
            <w:noProof/>
            <w:webHidden/>
          </w:rPr>
          <w:fldChar w:fldCharType="separate"/>
        </w:r>
        <w:r w:rsidR="00E33157">
          <w:rPr>
            <w:noProof/>
            <w:webHidden/>
          </w:rPr>
          <w:t>ix</w:t>
        </w:r>
        <w:r w:rsidR="00684C9F">
          <w:rPr>
            <w:noProof/>
            <w:webHidden/>
          </w:rPr>
          <w:fldChar w:fldCharType="end"/>
        </w:r>
      </w:hyperlink>
    </w:p>
    <w:p w14:paraId="318312AD" w14:textId="0833619C" w:rsidR="00684C9F" w:rsidRDefault="00000000">
      <w:pPr>
        <w:pStyle w:val="TOC3"/>
        <w:rPr>
          <w:rFonts w:asciiTheme="minorHAnsi" w:eastAsiaTheme="minorEastAsia" w:hAnsiTheme="minorHAnsi" w:cstheme="minorBidi"/>
          <w:color w:val="auto"/>
          <w:kern w:val="2"/>
          <w:szCs w:val="24"/>
          <w:lang w:eastAsia="en-GB"/>
          <w14:ligatures w14:val="standardContextual"/>
        </w:rPr>
      </w:pPr>
      <w:hyperlink w:anchor="_Toc168652117" w:history="1">
        <w:r w:rsidR="00684C9F" w:rsidRPr="00943E3A">
          <w:rPr>
            <w:rStyle w:val="Hyperlink"/>
          </w:rPr>
          <w:t>1</w:t>
        </w:r>
        <w:r w:rsidR="00684C9F">
          <w:rPr>
            <w:rFonts w:asciiTheme="minorHAnsi" w:eastAsiaTheme="minorEastAsia" w:hAnsiTheme="minorHAnsi" w:cstheme="minorBidi"/>
            <w:color w:val="auto"/>
            <w:kern w:val="2"/>
            <w:szCs w:val="24"/>
            <w:lang w:eastAsia="en-GB"/>
            <w14:ligatures w14:val="standardContextual"/>
          </w:rPr>
          <w:tab/>
        </w:r>
        <w:r w:rsidR="00684C9F" w:rsidRPr="00943E3A">
          <w:rPr>
            <w:rStyle w:val="Hyperlink"/>
          </w:rPr>
          <w:t>Introduction</w:t>
        </w:r>
        <w:r w:rsidR="00684C9F">
          <w:rPr>
            <w:webHidden/>
          </w:rPr>
          <w:tab/>
        </w:r>
        <w:r w:rsidR="00684C9F">
          <w:rPr>
            <w:webHidden/>
          </w:rPr>
          <w:fldChar w:fldCharType="begin"/>
        </w:r>
        <w:r w:rsidR="00684C9F">
          <w:rPr>
            <w:webHidden/>
          </w:rPr>
          <w:instrText xml:space="preserve"> PAGEREF _Toc168652117 \h </w:instrText>
        </w:r>
        <w:r w:rsidR="00684C9F">
          <w:rPr>
            <w:webHidden/>
          </w:rPr>
        </w:r>
        <w:r w:rsidR="00684C9F">
          <w:rPr>
            <w:webHidden/>
          </w:rPr>
          <w:fldChar w:fldCharType="separate"/>
        </w:r>
        <w:r w:rsidR="00E33157">
          <w:rPr>
            <w:webHidden/>
          </w:rPr>
          <w:t>1</w:t>
        </w:r>
        <w:r w:rsidR="00684C9F">
          <w:rPr>
            <w:webHidden/>
          </w:rPr>
          <w:fldChar w:fldCharType="end"/>
        </w:r>
      </w:hyperlink>
    </w:p>
    <w:p w14:paraId="0C705530" w14:textId="12F6EF80" w:rsidR="00684C9F" w:rsidRDefault="00000000">
      <w:pPr>
        <w:pStyle w:val="TOC3"/>
        <w:rPr>
          <w:rFonts w:asciiTheme="minorHAnsi" w:eastAsiaTheme="minorEastAsia" w:hAnsiTheme="minorHAnsi" w:cstheme="minorBidi"/>
          <w:color w:val="auto"/>
          <w:kern w:val="2"/>
          <w:szCs w:val="24"/>
          <w:lang w:eastAsia="en-GB"/>
          <w14:ligatures w14:val="standardContextual"/>
        </w:rPr>
      </w:pPr>
      <w:hyperlink w:anchor="_Toc168652118" w:history="1">
        <w:r w:rsidR="00684C9F" w:rsidRPr="00943E3A">
          <w:rPr>
            <w:rStyle w:val="Hyperlink"/>
          </w:rPr>
          <w:t>2</w:t>
        </w:r>
        <w:r w:rsidR="00684C9F">
          <w:rPr>
            <w:rFonts w:asciiTheme="minorHAnsi" w:eastAsiaTheme="minorEastAsia" w:hAnsiTheme="minorHAnsi" w:cstheme="minorBidi"/>
            <w:color w:val="auto"/>
            <w:kern w:val="2"/>
            <w:szCs w:val="24"/>
            <w:lang w:eastAsia="en-GB"/>
            <w14:ligatures w14:val="standardContextual"/>
          </w:rPr>
          <w:tab/>
        </w:r>
        <w:r w:rsidR="00684C9F" w:rsidRPr="00943E3A">
          <w:rPr>
            <w:rStyle w:val="Hyperlink"/>
          </w:rPr>
          <w:t>The impact of the University of Birmingham’s research and knowledge exchange activities</w:t>
        </w:r>
        <w:r w:rsidR="00684C9F">
          <w:rPr>
            <w:webHidden/>
          </w:rPr>
          <w:tab/>
        </w:r>
        <w:r w:rsidR="00684C9F">
          <w:rPr>
            <w:webHidden/>
          </w:rPr>
          <w:fldChar w:fldCharType="begin"/>
        </w:r>
        <w:r w:rsidR="00684C9F">
          <w:rPr>
            <w:webHidden/>
          </w:rPr>
          <w:instrText xml:space="preserve"> PAGEREF _Toc168652118 \h </w:instrText>
        </w:r>
        <w:r w:rsidR="00684C9F">
          <w:rPr>
            <w:webHidden/>
          </w:rPr>
        </w:r>
        <w:r w:rsidR="00684C9F">
          <w:rPr>
            <w:webHidden/>
          </w:rPr>
          <w:fldChar w:fldCharType="separate"/>
        </w:r>
        <w:r w:rsidR="00E33157">
          <w:rPr>
            <w:webHidden/>
          </w:rPr>
          <w:t>3</w:t>
        </w:r>
        <w:r w:rsidR="00684C9F">
          <w:rPr>
            <w:webHidden/>
          </w:rPr>
          <w:fldChar w:fldCharType="end"/>
        </w:r>
      </w:hyperlink>
    </w:p>
    <w:p w14:paraId="4C80B9D9" w14:textId="37EE650C" w:rsidR="00684C9F" w:rsidRDefault="00000000">
      <w:pPr>
        <w:pStyle w:val="TOC5"/>
        <w:tabs>
          <w:tab w:val="left" w:pos="1078"/>
        </w:tabs>
        <w:rPr>
          <w:rFonts w:asciiTheme="minorHAnsi" w:eastAsiaTheme="minorEastAsia" w:hAnsiTheme="minorHAnsi"/>
          <w:noProof/>
          <w:kern w:val="2"/>
          <w:sz w:val="24"/>
          <w:szCs w:val="24"/>
          <w:lang w:eastAsia="en-GB"/>
          <w14:ligatures w14:val="standardContextual"/>
        </w:rPr>
      </w:pPr>
      <w:hyperlink w:anchor="_Toc168652119" w:history="1">
        <w:r w:rsidR="00684C9F" w:rsidRPr="00943E3A">
          <w:rPr>
            <w:rStyle w:val="Hyperlink"/>
            <w:noProof/>
          </w:rPr>
          <w:t>2.1</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noProof/>
          </w:rPr>
          <w:t>Economic impact of the University of Birmingham’s research</w:t>
        </w:r>
        <w:r w:rsidR="00684C9F">
          <w:rPr>
            <w:noProof/>
            <w:webHidden/>
          </w:rPr>
          <w:tab/>
        </w:r>
        <w:r w:rsidR="00684C9F">
          <w:rPr>
            <w:noProof/>
            <w:webHidden/>
          </w:rPr>
          <w:fldChar w:fldCharType="begin"/>
        </w:r>
        <w:r w:rsidR="00684C9F">
          <w:rPr>
            <w:noProof/>
            <w:webHidden/>
          </w:rPr>
          <w:instrText xml:space="preserve"> PAGEREF _Toc168652119 \h </w:instrText>
        </w:r>
        <w:r w:rsidR="00684C9F">
          <w:rPr>
            <w:noProof/>
            <w:webHidden/>
          </w:rPr>
        </w:r>
        <w:r w:rsidR="00684C9F">
          <w:rPr>
            <w:noProof/>
            <w:webHidden/>
          </w:rPr>
          <w:fldChar w:fldCharType="separate"/>
        </w:r>
        <w:r w:rsidR="00E33157">
          <w:rPr>
            <w:noProof/>
            <w:webHidden/>
          </w:rPr>
          <w:t>3</w:t>
        </w:r>
        <w:r w:rsidR="00684C9F">
          <w:rPr>
            <w:noProof/>
            <w:webHidden/>
          </w:rPr>
          <w:fldChar w:fldCharType="end"/>
        </w:r>
      </w:hyperlink>
    </w:p>
    <w:p w14:paraId="0166A881" w14:textId="6313A253" w:rsidR="00684C9F" w:rsidRDefault="00000000">
      <w:pPr>
        <w:pStyle w:val="TOC5"/>
        <w:tabs>
          <w:tab w:val="left" w:pos="1078"/>
        </w:tabs>
        <w:rPr>
          <w:rFonts w:asciiTheme="minorHAnsi" w:eastAsiaTheme="minorEastAsia" w:hAnsiTheme="minorHAnsi"/>
          <w:noProof/>
          <w:kern w:val="2"/>
          <w:sz w:val="24"/>
          <w:szCs w:val="24"/>
          <w:lang w:eastAsia="en-GB"/>
          <w14:ligatures w14:val="standardContextual"/>
        </w:rPr>
      </w:pPr>
      <w:hyperlink w:anchor="_Toc168652120" w:history="1">
        <w:r w:rsidR="00684C9F" w:rsidRPr="00943E3A">
          <w:rPr>
            <w:rStyle w:val="Hyperlink"/>
            <w:noProof/>
          </w:rPr>
          <w:t>2.2</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noProof/>
          </w:rPr>
          <w:t>Economic impact of the University of Birmingham’s knowledge exchange activities</w:t>
        </w:r>
        <w:r w:rsidR="00684C9F">
          <w:rPr>
            <w:noProof/>
            <w:webHidden/>
          </w:rPr>
          <w:tab/>
        </w:r>
        <w:r w:rsidR="00684C9F">
          <w:rPr>
            <w:noProof/>
            <w:webHidden/>
          </w:rPr>
          <w:fldChar w:fldCharType="begin"/>
        </w:r>
        <w:r w:rsidR="00684C9F">
          <w:rPr>
            <w:noProof/>
            <w:webHidden/>
          </w:rPr>
          <w:instrText xml:space="preserve"> PAGEREF _Toc168652120 \h </w:instrText>
        </w:r>
        <w:r w:rsidR="00684C9F">
          <w:rPr>
            <w:noProof/>
            <w:webHidden/>
          </w:rPr>
        </w:r>
        <w:r w:rsidR="00684C9F">
          <w:rPr>
            <w:noProof/>
            <w:webHidden/>
          </w:rPr>
          <w:fldChar w:fldCharType="separate"/>
        </w:r>
        <w:r w:rsidR="00E33157">
          <w:rPr>
            <w:noProof/>
            <w:webHidden/>
          </w:rPr>
          <w:t>9</w:t>
        </w:r>
        <w:r w:rsidR="00684C9F">
          <w:rPr>
            <w:noProof/>
            <w:webHidden/>
          </w:rPr>
          <w:fldChar w:fldCharType="end"/>
        </w:r>
      </w:hyperlink>
    </w:p>
    <w:p w14:paraId="5A5B1B34" w14:textId="5EE2CEEA" w:rsidR="00684C9F" w:rsidRDefault="00000000">
      <w:pPr>
        <w:pStyle w:val="TOC5"/>
        <w:tabs>
          <w:tab w:val="left" w:pos="1078"/>
        </w:tabs>
        <w:rPr>
          <w:rFonts w:asciiTheme="minorHAnsi" w:eastAsiaTheme="minorEastAsia" w:hAnsiTheme="minorHAnsi"/>
          <w:noProof/>
          <w:kern w:val="2"/>
          <w:sz w:val="24"/>
          <w:szCs w:val="24"/>
          <w:lang w:eastAsia="en-GB"/>
          <w14:ligatures w14:val="standardContextual"/>
        </w:rPr>
      </w:pPr>
      <w:hyperlink w:anchor="_Toc168652121" w:history="1">
        <w:r w:rsidR="00684C9F" w:rsidRPr="00943E3A">
          <w:rPr>
            <w:rStyle w:val="Hyperlink"/>
            <w:noProof/>
          </w:rPr>
          <w:t>2.3</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noProof/>
          </w:rPr>
          <w:t>Total impact of the University of Birmingham’s research and knowledge exchange activities</w:t>
        </w:r>
        <w:r w:rsidR="00684C9F">
          <w:rPr>
            <w:noProof/>
            <w:webHidden/>
          </w:rPr>
          <w:tab/>
        </w:r>
        <w:r w:rsidR="00684C9F">
          <w:rPr>
            <w:noProof/>
            <w:webHidden/>
          </w:rPr>
          <w:fldChar w:fldCharType="begin"/>
        </w:r>
        <w:r w:rsidR="00684C9F">
          <w:rPr>
            <w:noProof/>
            <w:webHidden/>
          </w:rPr>
          <w:instrText xml:space="preserve"> PAGEREF _Toc168652121 \h </w:instrText>
        </w:r>
        <w:r w:rsidR="00684C9F">
          <w:rPr>
            <w:noProof/>
            <w:webHidden/>
          </w:rPr>
        </w:r>
        <w:r w:rsidR="00684C9F">
          <w:rPr>
            <w:noProof/>
            <w:webHidden/>
          </w:rPr>
          <w:fldChar w:fldCharType="separate"/>
        </w:r>
        <w:r w:rsidR="00E33157">
          <w:rPr>
            <w:noProof/>
            <w:webHidden/>
          </w:rPr>
          <w:t>13</w:t>
        </w:r>
        <w:r w:rsidR="00684C9F">
          <w:rPr>
            <w:noProof/>
            <w:webHidden/>
          </w:rPr>
          <w:fldChar w:fldCharType="end"/>
        </w:r>
      </w:hyperlink>
    </w:p>
    <w:p w14:paraId="742F7886" w14:textId="3CEB4877" w:rsidR="00684C9F" w:rsidRDefault="00000000">
      <w:pPr>
        <w:pStyle w:val="TOC3"/>
        <w:rPr>
          <w:rFonts w:asciiTheme="minorHAnsi" w:eastAsiaTheme="minorEastAsia" w:hAnsiTheme="minorHAnsi" w:cstheme="minorBidi"/>
          <w:color w:val="auto"/>
          <w:kern w:val="2"/>
          <w:szCs w:val="24"/>
          <w:lang w:eastAsia="en-GB"/>
          <w14:ligatures w14:val="standardContextual"/>
        </w:rPr>
      </w:pPr>
      <w:hyperlink w:anchor="_Toc168652122" w:history="1">
        <w:r w:rsidR="00684C9F" w:rsidRPr="00943E3A">
          <w:rPr>
            <w:rStyle w:val="Hyperlink"/>
          </w:rPr>
          <w:t>3</w:t>
        </w:r>
        <w:r w:rsidR="00684C9F">
          <w:rPr>
            <w:rFonts w:asciiTheme="minorHAnsi" w:eastAsiaTheme="minorEastAsia" w:hAnsiTheme="minorHAnsi" w:cstheme="minorBidi"/>
            <w:color w:val="auto"/>
            <w:kern w:val="2"/>
            <w:szCs w:val="24"/>
            <w:lang w:eastAsia="en-GB"/>
            <w14:ligatures w14:val="standardContextual"/>
          </w:rPr>
          <w:tab/>
        </w:r>
        <w:r w:rsidR="00684C9F" w:rsidRPr="00943E3A">
          <w:rPr>
            <w:rStyle w:val="Hyperlink"/>
          </w:rPr>
          <w:t>The impact of the University’s teaching and learning activities</w:t>
        </w:r>
        <w:r w:rsidR="00684C9F">
          <w:rPr>
            <w:webHidden/>
          </w:rPr>
          <w:tab/>
        </w:r>
        <w:r w:rsidR="00684C9F">
          <w:rPr>
            <w:webHidden/>
          </w:rPr>
          <w:fldChar w:fldCharType="begin"/>
        </w:r>
        <w:r w:rsidR="00684C9F">
          <w:rPr>
            <w:webHidden/>
          </w:rPr>
          <w:instrText xml:space="preserve"> PAGEREF _Toc168652122 \h </w:instrText>
        </w:r>
        <w:r w:rsidR="00684C9F">
          <w:rPr>
            <w:webHidden/>
          </w:rPr>
        </w:r>
        <w:r w:rsidR="00684C9F">
          <w:rPr>
            <w:webHidden/>
          </w:rPr>
          <w:fldChar w:fldCharType="separate"/>
        </w:r>
        <w:r w:rsidR="00E33157">
          <w:rPr>
            <w:webHidden/>
          </w:rPr>
          <w:t>15</w:t>
        </w:r>
        <w:r w:rsidR="00684C9F">
          <w:rPr>
            <w:webHidden/>
          </w:rPr>
          <w:fldChar w:fldCharType="end"/>
        </w:r>
      </w:hyperlink>
    </w:p>
    <w:p w14:paraId="5C2FA1CB" w14:textId="418EBC2E" w:rsidR="00684C9F" w:rsidRDefault="00000000">
      <w:pPr>
        <w:pStyle w:val="TOC5"/>
        <w:tabs>
          <w:tab w:val="left" w:pos="1078"/>
        </w:tabs>
        <w:rPr>
          <w:rFonts w:asciiTheme="minorHAnsi" w:eastAsiaTheme="minorEastAsia" w:hAnsiTheme="minorHAnsi"/>
          <w:noProof/>
          <w:kern w:val="2"/>
          <w:sz w:val="24"/>
          <w:szCs w:val="24"/>
          <w:lang w:eastAsia="en-GB"/>
          <w14:ligatures w14:val="standardContextual"/>
        </w:rPr>
      </w:pPr>
      <w:hyperlink w:anchor="_Toc168652123" w:history="1">
        <w:r w:rsidR="00684C9F" w:rsidRPr="00943E3A">
          <w:rPr>
            <w:rStyle w:val="Hyperlink"/>
            <w:rFonts w:cstheme="minorHAnsi"/>
            <w:noProof/>
          </w:rPr>
          <w:t>3.1</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rFonts w:cstheme="minorHAnsi"/>
            <w:noProof/>
          </w:rPr>
          <w:t>The 2021-22 cohort of domestic University of Birmingham students</w:t>
        </w:r>
        <w:r w:rsidR="00684C9F">
          <w:rPr>
            <w:noProof/>
            <w:webHidden/>
          </w:rPr>
          <w:tab/>
        </w:r>
        <w:r w:rsidR="00684C9F">
          <w:rPr>
            <w:noProof/>
            <w:webHidden/>
          </w:rPr>
          <w:fldChar w:fldCharType="begin"/>
        </w:r>
        <w:r w:rsidR="00684C9F">
          <w:rPr>
            <w:noProof/>
            <w:webHidden/>
          </w:rPr>
          <w:instrText xml:space="preserve"> PAGEREF _Toc168652123 \h </w:instrText>
        </w:r>
        <w:r w:rsidR="00684C9F">
          <w:rPr>
            <w:noProof/>
            <w:webHidden/>
          </w:rPr>
        </w:r>
        <w:r w:rsidR="00684C9F">
          <w:rPr>
            <w:noProof/>
            <w:webHidden/>
          </w:rPr>
          <w:fldChar w:fldCharType="separate"/>
        </w:r>
        <w:r w:rsidR="00E33157">
          <w:rPr>
            <w:noProof/>
            <w:webHidden/>
          </w:rPr>
          <w:t>15</w:t>
        </w:r>
        <w:r w:rsidR="00684C9F">
          <w:rPr>
            <w:noProof/>
            <w:webHidden/>
          </w:rPr>
          <w:fldChar w:fldCharType="end"/>
        </w:r>
      </w:hyperlink>
    </w:p>
    <w:p w14:paraId="2A5EBEFD" w14:textId="7DAA5187" w:rsidR="00684C9F" w:rsidRDefault="00000000">
      <w:pPr>
        <w:pStyle w:val="TOC5"/>
        <w:tabs>
          <w:tab w:val="left" w:pos="1078"/>
        </w:tabs>
        <w:rPr>
          <w:rFonts w:asciiTheme="minorHAnsi" w:eastAsiaTheme="minorEastAsia" w:hAnsiTheme="minorHAnsi"/>
          <w:noProof/>
          <w:kern w:val="2"/>
          <w:sz w:val="24"/>
          <w:szCs w:val="24"/>
          <w:lang w:eastAsia="en-GB"/>
          <w14:ligatures w14:val="standardContextual"/>
        </w:rPr>
      </w:pPr>
      <w:hyperlink w:anchor="_Toc168652124" w:history="1">
        <w:r w:rsidR="00684C9F" w:rsidRPr="00943E3A">
          <w:rPr>
            <w:rStyle w:val="Hyperlink"/>
            <w:noProof/>
          </w:rPr>
          <w:t>3.2</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noProof/>
          </w:rPr>
          <w:t>Methodology</w:t>
        </w:r>
        <w:r w:rsidR="00684C9F">
          <w:rPr>
            <w:noProof/>
            <w:webHidden/>
          </w:rPr>
          <w:tab/>
        </w:r>
        <w:r w:rsidR="00684C9F">
          <w:rPr>
            <w:noProof/>
            <w:webHidden/>
          </w:rPr>
          <w:fldChar w:fldCharType="begin"/>
        </w:r>
        <w:r w:rsidR="00684C9F">
          <w:rPr>
            <w:noProof/>
            <w:webHidden/>
          </w:rPr>
          <w:instrText xml:space="preserve"> PAGEREF _Toc168652124 \h </w:instrText>
        </w:r>
        <w:r w:rsidR="00684C9F">
          <w:rPr>
            <w:noProof/>
            <w:webHidden/>
          </w:rPr>
        </w:r>
        <w:r w:rsidR="00684C9F">
          <w:rPr>
            <w:noProof/>
            <w:webHidden/>
          </w:rPr>
          <w:fldChar w:fldCharType="separate"/>
        </w:r>
        <w:r w:rsidR="00E33157">
          <w:rPr>
            <w:noProof/>
            <w:webHidden/>
          </w:rPr>
          <w:t>19</w:t>
        </w:r>
        <w:r w:rsidR="00684C9F">
          <w:rPr>
            <w:noProof/>
            <w:webHidden/>
          </w:rPr>
          <w:fldChar w:fldCharType="end"/>
        </w:r>
      </w:hyperlink>
    </w:p>
    <w:p w14:paraId="0FD1CC60" w14:textId="3D90BDB4" w:rsidR="00684C9F" w:rsidRDefault="00000000">
      <w:pPr>
        <w:pStyle w:val="TOC5"/>
        <w:tabs>
          <w:tab w:val="left" w:pos="1078"/>
        </w:tabs>
        <w:rPr>
          <w:rFonts w:asciiTheme="minorHAnsi" w:eastAsiaTheme="minorEastAsia" w:hAnsiTheme="minorHAnsi"/>
          <w:noProof/>
          <w:kern w:val="2"/>
          <w:sz w:val="24"/>
          <w:szCs w:val="24"/>
          <w:lang w:eastAsia="en-GB"/>
          <w14:ligatures w14:val="standardContextual"/>
        </w:rPr>
      </w:pPr>
      <w:hyperlink w:anchor="_Toc168652125" w:history="1">
        <w:r w:rsidR="00684C9F" w:rsidRPr="00943E3A">
          <w:rPr>
            <w:rStyle w:val="Hyperlink"/>
            <w:rFonts w:cstheme="minorHAnsi"/>
            <w:noProof/>
          </w:rPr>
          <w:t>3.3</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rFonts w:cstheme="minorHAnsi"/>
            <w:noProof/>
          </w:rPr>
          <w:t>Impact of the University’s teaching and learning activities</w:t>
        </w:r>
        <w:r w:rsidR="00684C9F">
          <w:rPr>
            <w:noProof/>
            <w:webHidden/>
          </w:rPr>
          <w:tab/>
        </w:r>
        <w:r w:rsidR="00684C9F">
          <w:rPr>
            <w:noProof/>
            <w:webHidden/>
          </w:rPr>
          <w:fldChar w:fldCharType="begin"/>
        </w:r>
        <w:r w:rsidR="00684C9F">
          <w:rPr>
            <w:noProof/>
            <w:webHidden/>
          </w:rPr>
          <w:instrText xml:space="preserve"> PAGEREF _Toc168652125 \h </w:instrText>
        </w:r>
        <w:r w:rsidR="00684C9F">
          <w:rPr>
            <w:noProof/>
            <w:webHidden/>
          </w:rPr>
        </w:r>
        <w:r w:rsidR="00684C9F">
          <w:rPr>
            <w:noProof/>
            <w:webHidden/>
          </w:rPr>
          <w:fldChar w:fldCharType="separate"/>
        </w:r>
        <w:r w:rsidR="00E33157">
          <w:rPr>
            <w:noProof/>
            <w:webHidden/>
          </w:rPr>
          <w:t>21</w:t>
        </w:r>
        <w:r w:rsidR="00684C9F">
          <w:rPr>
            <w:noProof/>
            <w:webHidden/>
          </w:rPr>
          <w:fldChar w:fldCharType="end"/>
        </w:r>
      </w:hyperlink>
    </w:p>
    <w:p w14:paraId="7E9A37E4" w14:textId="13C27B00" w:rsidR="00684C9F" w:rsidRDefault="00000000">
      <w:pPr>
        <w:pStyle w:val="TOC5"/>
        <w:tabs>
          <w:tab w:val="left" w:pos="1078"/>
        </w:tabs>
        <w:rPr>
          <w:rFonts w:asciiTheme="minorHAnsi" w:eastAsiaTheme="minorEastAsia" w:hAnsiTheme="minorHAnsi"/>
          <w:noProof/>
          <w:kern w:val="2"/>
          <w:sz w:val="24"/>
          <w:szCs w:val="24"/>
          <w:lang w:eastAsia="en-GB"/>
          <w14:ligatures w14:val="standardContextual"/>
        </w:rPr>
      </w:pPr>
      <w:hyperlink w:anchor="_Toc168652126" w:history="1">
        <w:r w:rsidR="00684C9F" w:rsidRPr="00943E3A">
          <w:rPr>
            <w:rStyle w:val="Hyperlink"/>
            <w:noProof/>
          </w:rPr>
          <w:t>3.4</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noProof/>
          </w:rPr>
          <w:t>Analysis of earnings and employment outcomes of the University of Birmingham’s graduates</w:t>
        </w:r>
        <w:r w:rsidR="00684C9F">
          <w:rPr>
            <w:noProof/>
            <w:webHidden/>
          </w:rPr>
          <w:tab/>
        </w:r>
        <w:r w:rsidR="00684C9F">
          <w:rPr>
            <w:noProof/>
            <w:webHidden/>
          </w:rPr>
          <w:fldChar w:fldCharType="begin"/>
        </w:r>
        <w:r w:rsidR="00684C9F">
          <w:rPr>
            <w:noProof/>
            <w:webHidden/>
          </w:rPr>
          <w:instrText xml:space="preserve"> PAGEREF _Toc168652126 \h </w:instrText>
        </w:r>
        <w:r w:rsidR="00684C9F">
          <w:rPr>
            <w:noProof/>
            <w:webHidden/>
          </w:rPr>
        </w:r>
        <w:r w:rsidR="00684C9F">
          <w:rPr>
            <w:noProof/>
            <w:webHidden/>
          </w:rPr>
          <w:fldChar w:fldCharType="separate"/>
        </w:r>
        <w:r w:rsidR="00E33157">
          <w:rPr>
            <w:noProof/>
            <w:webHidden/>
          </w:rPr>
          <w:t>23</w:t>
        </w:r>
        <w:r w:rsidR="00684C9F">
          <w:rPr>
            <w:noProof/>
            <w:webHidden/>
          </w:rPr>
          <w:fldChar w:fldCharType="end"/>
        </w:r>
      </w:hyperlink>
    </w:p>
    <w:p w14:paraId="7D5F2ECB" w14:textId="317BD537" w:rsidR="00684C9F" w:rsidRDefault="00000000">
      <w:pPr>
        <w:pStyle w:val="TOC3"/>
        <w:rPr>
          <w:rFonts w:asciiTheme="minorHAnsi" w:eastAsiaTheme="minorEastAsia" w:hAnsiTheme="minorHAnsi" w:cstheme="minorBidi"/>
          <w:color w:val="auto"/>
          <w:kern w:val="2"/>
          <w:szCs w:val="24"/>
          <w:lang w:eastAsia="en-GB"/>
          <w14:ligatures w14:val="standardContextual"/>
        </w:rPr>
      </w:pPr>
      <w:hyperlink w:anchor="_Toc168652127" w:history="1">
        <w:r w:rsidR="00684C9F" w:rsidRPr="00943E3A">
          <w:rPr>
            <w:rStyle w:val="Hyperlink"/>
          </w:rPr>
          <w:t>4</w:t>
        </w:r>
        <w:r w:rsidR="00684C9F">
          <w:rPr>
            <w:rFonts w:asciiTheme="minorHAnsi" w:eastAsiaTheme="minorEastAsia" w:hAnsiTheme="minorHAnsi" w:cstheme="minorBidi"/>
            <w:color w:val="auto"/>
            <w:kern w:val="2"/>
            <w:szCs w:val="24"/>
            <w:lang w:eastAsia="en-GB"/>
            <w14:ligatures w14:val="standardContextual"/>
          </w:rPr>
          <w:tab/>
        </w:r>
        <w:r w:rsidR="00684C9F" w:rsidRPr="00943E3A">
          <w:rPr>
            <w:rStyle w:val="Hyperlink"/>
          </w:rPr>
          <w:t>The impact of the University of Birmingham’s educational exports</w:t>
        </w:r>
        <w:r w:rsidR="00684C9F">
          <w:rPr>
            <w:webHidden/>
          </w:rPr>
          <w:tab/>
        </w:r>
        <w:r w:rsidR="00684C9F">
          <w:rPr>
            <w:webHidden/>
          </w:rPr>
          <w:fldChar w:fldCharType="begin"/>
        </w:r>
        <w:r w:rsidR="00684C9F">
          <w:rPr>
            <w:webHidden/>
          </w:rPr>
          <w:instrText xml:space="preserve"> PAGEREF _Toc168652127 \h </w:instrText>
        </w:r>
        <w:r w:rsidR="00684C9F">
          <w:rPr>
            <w:webHidden/>
          </w:rPr>
        </w:r>
        <w:r w:rsidR="00684C9F">
          <w:rPr>
            <w:webHidden/>
          </w:rPr>
          <w:fldChar w:fldCharType="separate"/>
        </w:r>
        <w:r w:rsidR="00E33157">
          <w:rPr>
            <w:webHidden/>
          </w:rPr>
          <w:t>27</w:t>
        </w:r>
        <w:r w:rsidR="00684C9F">
          <w:rPr>
            <w:webHidden/>
          </w:rPr>
          <w:fldChar w:fldCharType="end"/>
        </w:r>
      </w:hyperlink>
    </w:p>
    <w:p w14:paraId="47932372" w14:textId="4168083E" w:rsidR="00684C9F" w:rsidRDefault="00000000">
      <w:pPr>
        <w:pStyle w:val="TOC5"/>
        <w:tabs>
          <w:tab w:val="left" w:pos="1078"/>
        </w:tabs>
        <w:rPr>
          <w:rFonts w:asciiTheme="minorHAnsi" w:eastAsiaTheme="minorEastAsia" w:hAnsiTheme="minorHAnsi"/>
          <w:noProof/>
          <w:kern w:val="2"/>
          <w:sz w:val="24"/>
          <w:szCs w:val="24"/>
          <w:lang w:eastAsia="en-GB"/>
          <w14:ligatures w14:val="standardContextual"/>
        </w:rPr>
      </w:pPr>
      <w:hyperlink w:anchor="_Toc168652128" w:history="1">
        <w:r w:rsidR="00684C9F" w:rsidRPr="00943E3A">
          <w:rPr>
            <w:rStyle w:val="Hyperlink"/>
            <w:noProof/>
          </w:rPr>
          <w:t>4.1</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noProof/>
          </w:rPr>
          <w:t>The 2021-22 cohort of international University of Birmingham students</w:t>
        </w:r>
        <w:r w:rsidR="00684C9F">
          <w:rPr>
            <w:noProof/>
            <w:webHidden/>
          </w:rPr>
          <w:tab/>
        </w:r>
        <w:r w:rsidR="00684C9F">
          <w:rPr>
            <w:noProof/>
            <w:webHidden/>
          </w:rPr>
          <w:fldChar w:fldCharType="begin"/>
        </w:r>
        <w:r w:rsidR="00684C9F">
          <w:rPr>
            <w:noProof/>
            <w:webHidden/>
          </w:rPr>
          <w:instrText xml:space="preserve"> PAGEREF _Toc168652128 \h </w:instrText>
        </w:r>
        <w:r w:rsidR="00684C9F">
          <w:rPr>
            <w:noProof/>
            <w:webHidden/>
          </w:rPr>
        </w:r>
        <w:r w:rsidR="00684C9F">
          <w:rPr>
            <w:noProof/>
            <w:webHidden/>
          </w:rPr>
          <w:fldChar w:fldCharType="separate"/>
        </w:r>
        <w:r w:rsidR="00E33157">
          <w:rPr>
            <w:noProof/>
            <w:webHidden/>
          </w:rPr>
          <w:t>28</w:t>
        </w:r>
        <w:r w:rsidR="00684C9F">
          <w:rPr>
            <w:noProof/>
            <w:webHidden/>
          </w:rPr>
          <w:fldChar w:fldCharType="end"/>
        </w:r>
      </w:hyperlink>
    </w:p>
    <w:p w14:paraId="72C3B66F" w14:textId="5ADDAB6C" w:rsidR="00684C9F" w:rsidRDefault="00000000">
      <w:pPr>
        <w:pStyle w:val="TOC5"/>
        <w:tabs>
          <w:tab w:val="left" w:pos="1078"/>
        </w:tabs>
        <w:rPr>
          <w:rFonts w:asciiTheme="minorHAnsi" w:eastAsiaTheme="minorEastAsia" w:hAnsiTheme="minorHAnsi"/>
          <w:noProof/>
          <w:kern w:val="2"/>
          <w:sz w:val="24"/>
          <w:szCs w:val="24"/>
          <w:lang w:eastAsia="en-GB"/>
          <w14:ligatures w14:val="standardContextual"/>
        </w:rPr>
      </w:pPr>
      <w:hyperlink w:anchor="_Toc168652129" w:history="1">
        <w:r w:rsidR="00684C9F" w:rsidRPr="00943E3A">
          <w:rPr>
            <w:rStyle w:val="Hyperlink"/>
            <w:noProof/>
          </w:rPr>
          <w:t>4.2</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noProof/>
          </w:rPr>
          <w:t>Changes in the number of international students at the University of Birmingham</w:t>
        </w:r>
        <w:r w:rsidR="00684C9F">
          <w:rPr>
            <w:noProof/>
            <w:webHidden/>
          </w:rPr>
          <w:tab/>
        </w:r>
        <w:r w:rsidR="00684C9F">
          <w:rPr>
            <w:noProof/>
            <w:webHidden/>
          </w:rPr>
          <w:fldChar w:fldCharType="begin"/>
        </w:r>
        <w:r w:rsidR="00684C9F">
          <w:rPr>
            <w:noProof/>
            <w:webHidden/>
          </w:rPr>
          <w:instrText xml:space="preserve"> PAGEREF _Toc168652129 \h </w:instrText>
        </w:r>
        <w:r w:rsidR="00684C9F">
          <w:rPr>
            <w:noProof/>
            <w:webHidden/>
          </w:rPr>
        </w:r>
        <w:r w:rsidR="00684C9F">
          <w:rPr>
            <w:noProof/>
            <w:webHidden/>
          </w:rPr>
          <w:fldChar w:fldCharType="separate"/>
        </w:r>
        <w:r w:rsidR="00E33157">
          <w:rPr>
            <w:noProof/>
            <w:webHidden/>
          </w:rPr>
          <w:t>31</w:t>
        </w:r>
        <w:r w:rsidR="00684C9F">
          <w:rPr>
            <w:noProof/>
            <w:webHidden/>
          </w:rPr>
          <w:fldChar w:fldCharType="end"/>
        </w:r>
      </w:hyperlink>
    </w:p>
    <w:p w14:paraId="593AC159" w14:textId="5BA04B84" w:rsidR="00684C9F" w:rsidRDefault="00000000">
      <w:pPr>
        <w:pStyle w:val="TOC5"/>
        <w:tabs>
          <w:tab w:val="left" w:pos="1078"/>
        </w:tabs>
        <w:rPr>
          <w:rFonts w:asciiTheme="minorHAnsi" w:eastAsiaTheme="minorEastAsia" w:hAnsiTheme="minorHAnsi"/>
          <w:noProof/>
          <w:kern w:val="2"/>
          <w:sz w:val="24"/>
          <w:szCs w:val="24"/>
          <w:lang w:eastAsia="en-GB"/>
          <w14:ligatures w14:val="standardContextual"/>
        </w:rPr>
      </w:pPr>
      <w:hyperlink w:anchor="_Toc168652130" w:history="1">
        <w:r w:rsidR="00684C9F" w:rsidRPr="00943E3A">
          <w:rPr>
            <w:rStyle w:val="Hyperlink"/>
            <w:noProof/>
          </w:rPr>
          <w:t>4.3</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noProof/>
          </w:rPr>
          <w:t>Direct impact</w:t>
        </w:r>
        <w:r w:rsidR="00684C9F">
          <w:rPr>
            <w:noProof/>
            <w:webHidden/>
          </w:rPr>
          <w:tab/>
        </w:r>
        <w:r w:rsidR="00684C9F">
          <w:rPr>
            <w:noProof/>
            <w:webHidden/>
          </w:rPr>
          <w:fldChar w:fldCharType="begin"/>
        </w:r>
        <w:r w:rsidR="00684C9F">
          <w:rPr>
            <w:noProof/>
            <w:webHidden/>
          </w:rPr>
          <w:instrText xml:space="preserve"> PAGEREF _Toc168652130 \h </w:instrText>
        </w:r>
        <w:r w:rsidR="00684C9F">
          <w:rPr>
            <w:noProof/>
            <w:webHidden/>
          </w:rPr>
        </w:r>
        <w:r w:rsidR="00684C9F">
          <w:rPr>
            <w:noProof/>
            <w:webHidden/>
          </w:rPr>
          <w:fldChar w:fldCharType="separate"/>
        </w:r>
        <w:r w:rsidR="00E33157">
          <w:rPr>
            <w:noProof/>
            <w:webHidden/>
          </w:rPr>
          <w:t>32</w:t>
        </w:r>
        <w:r w:rsidR="00684C9F">
          <w:rPr>
            <w:noProof/>
            <w:webHidden/>
          </w:rPr>
          <w:fldChar w:fldCharType="end"/>
        </w:r>
      </w:hyperlink>
    </w:p>
    <w:p w14:paraId="3E186B71" w14:textId="0E4A7936" w:rsidR="00684C9F" w:rsidRDefault="00000000">
      <w:pPr>
        <w:pStyle w:val="TOC5"/>
        <w:tabs>
          <w:tab w:val="left" w:pos="1078"/>
        </w:tabs>
        <w:rPr>
          <w:rFonts w:asciiTheme="minorHAnsi" w:eastAsiaTheme="minorEastAsia" w:hAnsiTheme="minorHAnsi"/>
          <w:noProof/>
          <w:kern w:val="2"/>
          <w:sz w:val="24"/>
          <w:szCs w:val="24"/>
          <w:lang w:eastAsia="en-GB"/>
          <w14:ligatures w14:val="standardContextual"/>
        </w:rPr>
      </w:pPr>
      <w:hyperlink w:anchor="_Toc168652131" w:history="1">
        <w:r w:rsidR="00684C9F" w:rsidRPr="00943E3A">
          <w:rPr>
            <w:rStyle w:val="Hyperlink"/>
            <w:noProof/>
          </w:rPr>
          <w:t>4.4</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noProof/>
          </w:rPr>
          <w:t>Total economic impact associated with the University of Birmingham’s educational exports</w:t>
        </w:r>
        <w:r w:rsidR="00684C9F">
          <w:rPr>
            <w:noProof/>
            <w:webHidden/>
          </w:rPr>
          <w:tab/>
        </w:r>
        <w:r w:rsidR="00684C9F">
          <w:rPr>
            <w:noProof/>
            <w:webHidden/>
          </w:rPr>
          <w:fldChar w:fldCharType="begin"/>
        </w:r>
        <w:r w:rsidR="00684C9F">
          <w:rPr>
            <w:noProof/>
            <w:webHidden/>
          </w:rPr>
          <w:instrText xml:space="preserve"> PAGEREF _Toc168652131 \h </w:instrText>
        </w:r>
        <w:r w:rsidR="00684C9F">
          <w:rPr>
            <w:noProof/>
            <w:webHidden/>
          </w:rPr>
        </w:r>
        <w:r w:rsidR="00684C9F">
          <w:rPr>
            <w:noProof/>
            <w:webHidden/>
          </w:rPr>
          <w:fldChar w:fldCharType="separate"/>
        </w:r>
        <w:r w:rsidR="00E33157">
          <w:rPr>
            <w:noProof/>
            <w:webHidden/>
          </w:rPr>
          <w:t>34</w:t>
        </w:r>
        <w:r w:rsidR="00684C9F">
          <w:rPr>
            <w:noProof/>
            <w:webHidden/>
          </w:rPr>
          <w:fldChar w:fldCharType="end"/>
        </w:r>
      </w:hyperlink>
    </w:p>
    <w:p w14:paraId="49DEAE69" w14:textId="0209F058" w:rsidR="00684C9F" w:rsidRDefault="00000000">
      <w:pPr>
        <w:pStyle w:val="TOC3"/>
        <w:rPr>
          <w:rFonts w:asciiTheme="minorHAnsi" w:eastAsiaTheme="minorEastAsia" w:hAnsiTheme="minorHAnsi" w:cstheme="minorBidi"/>
          <w:color w:val="auto"/>
          <w:kern w:val="2"/>
          <w:szCs w:val="24"/>
          <w:lang w:eastAsia="en-GB"/>
          <w14:ligatures w14:val="standardContextual"/>
        </w:rPr>
      </w:pPr>
      <w:hyperlink w:anchor="_Toc168652132" w:history="1">
        <w:r w:rsidR="00684C9F" w:rsidRPr="00943E3A">
          <w:rPr>
            <w:rStyle w:val="Hyperlink"/>
          </w:rPr>
          <w:t>5</w:t>
        </w:r>
        <w:r w:rsidR="00684C9F">
          <w:rPr>
            <w:rFonts w:asciiTheme="minorHAnsi" w:eastAsiaTheme="minorEastAsia" w:hAnsiTheme="minorHAnsi" w:cstheme="minorBidi"/>
            <w:color w:val="auto"/>
            <w:kern w:val="2"/>
            <w:szCs w:val="24"/>
            <w:lang w:eastAsia="en-GB"/>
            <w14:ligatures w14:val="standardContextual"/>
          </w:rPr>
          <w:tab/>
        </w:r>
        <w:r w:rsidR="00684C9F" w:rsidRPr="00943E3A">
          <w:rPr>
            <w:rStyle w:val="Hyperlink"/>
          </w:rPr>
          <w:t>The impact of the University of Birmingham’s expenditures</w:t>
        </w:r>
        <w:r w:rsidR="00684C9F">
          <w:rPr>
            <w:webHidden/>
          </w:rPr>
          <w:tab/>
        </w:r>
        <w:r w:rsidR="00684C9F">
          <w:rPr>
            <w:webHidden/>
          </w:rPr>
          <w:fldChar w:fldCharType="begin"/>
        </w:r>
        <w:r w:rsidR="00684C9F">
          <w:rPr>
            <w:webHidden/>
          </w:rPr>
          <w:instrText xml:space="preserve"> PAGEREF _Toc168652132 \h </w:instrText>
        </w:r>
        <w:r w:rsidR="00684C9F">
          <w:rPr>
            <w:webHidden/>
          </w:rPr>
        </w:r>
        <w:r w:rsidR="00684C9F">
          <w:rPr>
            <w:webHidden/>
          </w:rPr>
          <w:fldChar w:fldCharType="separate"/>
        </w:r>
        <w:r w:rsidR="00E33157">
          <w:rPr>
            <w:webHidden/>
          </w:rPr>
          <w:t>37</w:t>
        </w:r>
        <w:r w:rsidR="00684C9F">
          <w:rPr>
            <w:webHidden/>
          </w:rPr>
          <w:fldChar w:fldCharType="end"/>
        </w:r>
      </w:hyperlink>
    </w:p>
    <w:p w14:paraId="7ED5BC3F" w14:textId="4ACD52BE" w:rsidR="00684C9F" w:rsidRDefault="00000000">
      <w:pPr>
        <w:pStyle w:val="TOC5"/>
        <w:tabs>
          <w:tab w:val="left" w:pos="1078"/>
        </w:tabs>
        <w:rPr>
          <w:rFonts w:asciiTheme="minorHAnsi" w:eastAsiaTheme="minorEastAsia" w:hAnsiTheme="minorHAnsi"/>
          <w:noProof/>
          <w:kern w:val="2"/>
          <w:sz w:val="24"/>
          <w:szCs w:val="24"/>
          <w:lang w:eastAsia="en-GB"/>
          <w14:ligatures w14:val="standardContextual"/>
        </w:rPr>
      </w:pPr>
      <w:hyperlink w:anchor="_Toc168652133" w:history="1">
        <w:r w:rsidR="00684C9F" w:rsidRPr="00943E3A">
          <w:rPr>
            <w:rStyle w:val="Hyperlink"/>
            <w:noProof/>
          </w:rPr>
          <w:t>5.1</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noProof/>
          </w:rPr>
          <w:t>Direct impact of the University’s expenditures</w:t>
        </w:r>
        <w:r w:rsidR="00684C9F">
          <w:rPr>
            <w:noProof/>
            <w:webHidden/>
          </w:rPr>
          <w:tab/>
        </w:r>
        <w:r w:rsidR="00684C9F">
          <w:rPr>
            <w:noProof/>
            <w:webHidden/>
          </w:rPr>
          <w:fldChar w:fldCharType="begin"/>
        </w:r>
        <w:r w:rsidR="00684C9F">
          <w:rPr>
            <w:noProof/>
            <w:webHidden/>
          </w:rPr>
          <w:instrText xml:space="preserve"> PAGEREF _Toc168652133 \h </w:instrText>
        </w:r>
        <w:r w:rsidR="00684C9F">
          <w:rPr>
            <w:noProof/>
            <w:webHidden/>
          </w:rPr>
        </w:r>
        <w:r w:rsidR="00684C9F">
          <w:rPr>
            <w:noProof/>
            <w:webHidden/>
          </w:rPr>
          <w:fldChar w:fldCharType="separate"/>
        </w:r>
        <w:r w:rsidR="00E33157">
          <w:rPr>
            <w:noProof/>
            <w:webHidden/>
          </w:rPr>
          <w:t>37</w:t>
        </w:r>
        <w:r w:rsidR="00684C9F">
          <w:rPr>
            <w:noProof/>
            <w:webHidden/>
          </w:rPr>
          <w:fldChar w:fldCharType="end"/>
        </w:r>
      </w:hyperlink>
    </w:p>
    <w:p w14:paraId="68A3AF60" w14:textId="1CB9DDD4" w:rsidR="00684C9F" w:rsidRDefault="00000000">
      <w:pPr>
        <w:pStyle w:val="TOC5"/>
        <w:tabs>
          <w:tab w:val="left" w:pos="1078"/>
        </w:tabs>
        <w:rPr>
          <w:rFonts w:asciiTheme="minorHAnsi" w:eastAsiaTheme="minorEastAsia" w:hAnsiTheme="minorHAnsi"/>
          <w:noProof/>
          <w:kern w:val="2"/>
          <w:sz w:val="24"/>
          <w:szCs w:val="24"/>
          <w:lang w:eastAsia="en-GB"/>
          <w14:ligatures w14:val="standardContextual"/>
        </w:rPr>
      </w:pPr>
      <w:hyperlink w:anchor="_Toc168652134" w:history="1">
        <w:r w:rsidR="00684C9F" w:rsidRPr="00943E3A">
          <w:rPr>
            <w:rStyle w:val="Hyperlink"/>
            <w:noProof/>
          </w:rPr>
          <w:t>5.2</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noProof/>
          </w:rPr>
          <w:t>Indirect and induced impacts of the University’s expenditures</w:t>
        </w:r>
        <w:r w:rsidR="00684C9F">
          <w:rPr>
            <w:noProof/>
            <w:webHidden/>
          </w:rPr>
          <w:tab/>
        </w:r>
        <w:r w:rsidR="00684C9F">
          <w:rPr>
            <w:noProof/>
            <w:webHidden/>
          </w:rPr>
          <w:fldChar w:fldCharType="begin"/>
        </w:r>
        <w:r w:rsidR="00684C9F">
          <w:rPr>
            <w:noProof/>
            <w:webHidden/>
          </w:rPr>
          <w:instrText xml:space="preserve"> PAGEREF _Toc168652134 \h </w:instrText>
        </w:r>
        <w:r w:rsidR="00684C9F">
          <w:rPr>
            <w:noProof/>
            <w:webHidden/>
          </w:rPr>
        </w:r>
        <w:r w:rsidR="00684C9F">
          <w:rPr>
            <w:noProof/>
            <w:webHidden/>
          </w:rPr>
          <w:fldChar w:fldCharType="separate"/>
        </w:r>
        <w:r w:rsidR="00E33157">
          <w:rPr>
            <w:noProof/>
            <w:webHidden/>
          </w:rPr>
          <w:t>41</w:t>
        </w:r>
        <w:r w:rsidR="00684C9F">
          <w:rPr>
            <w:noProof/>
            <w:webHidden/>
          </w:rPr>
          <w:fldChar w:fldCharType="end"/>
        </w:r>
      </w:hyperlink>
    </w:p>
    <w:p w14:paraId="6A8BE4B1" w14:textId="3CF27329" w:rsidR="00684C9F" w:rsidRDefault="00000000">
      <w:pPr>
        <w:pStyle w:val="TOC5"/>
        <w:tabs>
          <w:tab w:val="left" w:pos="1078"/>
        </w:tabs>
        <w:rPr>
          <w:rFonts w:asciiTheme="minorHAnsi" w:eastAsiaTheme="minorEastAsia" w:hAnsiTheme="minorHAnsi"/>
          <w:noProof/>
          <w:kern w:val="2"/>
          <w:sz w:val="24"/>
          <w:szCs w:val="24"/>
          <w:lang w:eastAsia="en-GB"/>
          <w14:ligatures w14:val="standardContextual"/>
        </w:rPr>
      </w:pPr>
      <w:hyperlink w:anchor="_Toc168652135" w:history="1">
        <w:r w:rsidR="00684C9F" w:rsidRPr="00943E3A">
          <w:rPr>
            <w:rStyle w:val="Hyperlink"/>
            <w:noProof/>
          </w:rPr>
          <w:t>5.3</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noProof/>
          </w:rPr>
          <w:t>Aggregate impact of the University of Birmingham’s spending</w:t>
        </w:r>
        <w:r w:rsidR="00684C9F">
          <w:rPr>
            <w:noProof/>
            <w:webHidden/>
          </w:rPr>
          <w:tab/>
        </w:r>
        <w:r w:rsidR="00684C9F">
          <w:rPr>
            <w:noProof/>
            <w:webHidden/>
          </w:rPr>
          <w:fldChar w:fldCharType="begin"/>
        </w:r>
        <w:r w:rsidR="00684C9F">
          <w:rPr>
            <w:noProof/>
            <w:webHidden/>
          </w:rPr>
          <w:instrText xml:space="preserve"> PAGEREF _Toc168652135 \h </w:instrText>
        </w:r>
        <w:r w:rsidR="00684C9F">
          <w:rPr>
            <w:noProof/>
            <w:webHidden/>
          </w:rPr>
        </w:r>
        <w:r w:rsidR="00684C9F">
          <w:rPr>
            <w:noProof/>
            <w:webHidden/>
          </w:rPr>
          <w:fldChar w:fldCharType="separate"/>
        </w:r>
        <w:r w:rsidR="00E33157">
          <w:rPr>
            <w:noProof/>
            <w:webHidden/>
          </w:rPr>
          <w:t>42</w:t>
        </w:r>
        <w:r w:rsidR="00684C9F">
          <w:rPr>
            <w:noProof/>
            <w:webHidden/>
          </w:rPr>
          <w:fldChar w:fldCharType="end"/>
        </w:r>
      </w:hyperlink>
    </w:p>
    <w:p w14:paraId="13D14CF2" w14:textId="6A6DDECD" w:rsidR="00684C9F" w:rsidRDefault="00000000">
      <w:pPr>
        <w:pStyle w:val="TOC3"/>
        <w:rPr>
          <w:rFonts w:asciiTheme="minorHAnsi" w:eastAsiaTheme="minorEastAsia" w:hAnsiTheme="minorHAnsi" w:cstheme="minorBidi"/>
          <w:color w:val="auto"/>
          <w:kern w:val="2"/>
          <w:szCs w:val="24"/>
          <w:lang w:eastAsia="en-GB"/>
          <w14:ligatures w14:val="standardContextual"/>
        </w:rPr>
      </w:pPr>
      <w:hyperlink w:anchor="_Toc168652136" w:history="1">
        <w:r w:rsidR="00684C9F" w:rsidRPr="00943E3A">
          <w:rPr>
            <w:rStyle w:val="Hyperlink"/>
          </w:rPr>
          <w:t>6</w:t>
        </w:r>
        <w:r w:rsidR="00684C9F">
          <w:rPr>
            <w:rFonts w:asciiTheme="minorHAnsi" w:eastAsiaTheme="minorEastAsia" w:hAnsiTheme="minorHAnsi" w:cstheme="minorBidi"/>
            <w:color w:val="auto"/>
            <w:kern w:val="2"/>
            <w:szCs w:val="24"/>
            <w:lang w:eastAsia="en-GB"/>
            <w14:ligatures w14:val="standardContextual"/>
          </w:rPr>
          <w:tab/>
        </w:r>
        <w:r w:rsidR="00684C9F" w:rsidRPr="00943E3A">
          <w:rPr>
            <w:rStyle w:val="Hyperlink"/>
          </w:rPr>
          <w:t>The University of Birmingham’s contribution to tourism</w:t>
        </w:r>
        <w:r w:rsidR="00684C9F">
          <w:rPr>
            <w:webHidden/>
          </w:rPr>
          <w:tab/>
        </w:r>
        <w:r w:rsidR="00684C9F">
          <w:rPr>
            <w:webHidden/>
          </w:rPr>
          <w:fldChar w:fldCharType="begin"/>
        </w:r>
        <w:r w:rsidR="00684C9F">
          <w:rPr>
            <w:webHidden/>
          </w:rPr>
          <w:instrText xml:space="preserve"> PAGEREF _Toc168652136 \h </w:instrText>
        </w:r>
        <w:r w:rsidR="00684C9F">
          <w:rPr>
            <w:webHidden/>
          </w:rPr>
        </w:r>
        <w:r w:rsidR="00684C9F">
          <w:rPr>
            <w:webHidden/>
          </w:rPr>
          <w:fldChar w:fldCharType="separate"/>
        </w:r>
        <w:r w:rsidR="00E33157">
          <w:rPr>
            <w:webHidden/>
          </w:rPr>
          <w:t>44</w:t>
        </w:r>
        <w:r w:rsidR="00684C9F">
          <w:rPr>
            <w:webHidden/>
          </w:rPr>
          <w:fldChar w:fldCharType="end"/>
        </w:r>
      </w:hyperlink>
    </w:p>
    <w:p w14:paraId="5F818FF1" w14:textId="43FB219E" w:rsidR="00684C9F" w:rsidRDefault="00000000">
      <w:pPr>
        <w:pStyle w:val="TOC5"/>
        <w:tabs>
          <w:tab w:val="left" w:pos="1078"/>
        </w:tabs>
        <w:rPr>
          <w:rFonts w:asciiTheme="minorHAnsi" w:eastAsiaTheme="minorEastAsia" w:hAnsiTheme="minorHAnsi"/>
          <w:noProof/>
          <w:kern w:val="2"/>
          <w:sz w:val="24"/>
          <w:szCs w:val="24"/>
          <w:lang w:eastAsia="en-GB"/>
          <w14:ligatures w14:val="standardContextual"/>
        </w:rPr>
      </w:pPr>
      <w:hyperlink w:anchor="_Toc168652137" w:history="1">
        <w:r w:rsidR="00684C9F" w:rsidRPr="00943E3A">
          <w:rPr>
            <w:rStyle w:val="Hyperlink"/>
            <w:noProof/>
          </w:rPr>
          <w:t>6.1</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noProof/>
          </w:rPr>
          <w:t>Estimating the number of visitors associated with the University’s activities</w:t>
        </w:r>
        <w:r w:rsidR="00684C9F">
          <w:rPr>
            <w:noProof/>
            <w:webHidden/>
          </w:rPr>
          <w:tab/>
        </w:r>
        <w:r w:rsidR="00684C9F">
          <w:rPr>
            <w:noProof/>
            <w:webHidden/>
          </w:rPr>
          <w:fldChar w:fldCharType="begin"/>
        </w:r>
        <w:r w:rsidR="00684C9F">
          <w:rPr>
            <w:noProof/>
            <w:webHidden/>
          </w:rPr>
          <w:instrText xml:space="preserve"> PAGEREF _Toc168652137 \h </w:instrText>
        </w:r>
        <w:r w:rsidR="00684C9F">
          <w:rPr>
            <w:noProof/>
            <w:webHidden/>
          </w:rPr>
        </w:r>
        <w:r w:rsidR="00684C9F">
          <w:rPr>
            <w:noProof/>
            <w:webHidden/>
          </w:rPr>
          <w:fldChar w:fldCharType="separate"/>
        </w:r>
        <w:r w:rsidR="00E33157">
          <w:rPr>
            <w:noProof/>
            <w:webHidden/>
          </w:rPr>
          <w:t>44</w:t>
        </w:r>
        <w:r w:rsidR="00684C9F">
          <w:rPr>
            <w:noProof/>
            <w:webHidden/>
          </w:rPr>
          <w:fldChar w:fldCharType="end"/>
        </w:r>
      </w:hyperlink>
    </w:p>
    <w:p w14:paraId="087BFAF4" w14:textId="4AD7BF5B" w:rsidR="00684C9F" w:rsidRDefault="00000000">
      <w:pPr>
        <w:pStyle w:val="TOC5"/>
        <w:tabs>
          <w:tab w:val="left" w:pos="1078"/>
        </w:tabs>
        <w:rPr>
          <w:rFonts w:asciiTheme="minorHAnsi" w:eastAsiaTheme="minorEastAsia" w:hAnsiTheme="minorHAnsi"/>
          <w:noProof/>
          <w:kern w:val="2"/>
          <w:sz w:val="24"/>
          <w:szCs w:val="24"/>
          <w:lang w:eastAsia="en-GB"/>
          <w14:ligatures w14:val="standardContextual"/>
        </w:rPr>
      </w:pPr>
      <w:hyperlink w:anchor="_Toc168652138" w:history="1">
        <w:r w:rsidR="00684C9F" w:rsidRPr="00943E3A">
          <w:rPr>
            <w:rStyle w:val="Hyperlink"/>
            <w:noProof/>
          </w:rPr>
          <w:t>6.2</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noProof/>
          </w:rPr>
          <w:t>Direct impact associated with visitor expenditure</w:t>
        </w:r>
        <w:r w:rsidR="00684C9F">
          <w:rPr>
            <w:noProof/>
            <w:webHidden/>
          </w:rPr>
          <w:tab/>
        </w:r>
        <w:r w:rsidR="00684C9F">
          <w:rPr>
            <w:noProof/>
            <w:webHidden/>
          </w:rPr>
          <w:fldChar w:fldCharType="begin"/>
        </w:r>
        <w:r w:rsidR="00684C9F">
          <w:rPr>
            <w:noProof/>
            <w:webHidden/>
          </w:rPr>
          <w:instrText xml:space="preserve"> PAGEREF _Toc168652138 \h </w:instrText>
        </w:r>
        <w:r w:rsidR="00684C9F">
          <w:rPr>
            <w:noProof/>
            <w:webHidden/>
          </w:rPr>
        </w:r>
        <w:r w:rsidR="00684C9F">
          <w:rPr>
            <w:noProof/>
            <w:webHidden/>
          </w:rPr>
          <w:fldChar w:fldCharType="separate"/>
        </w:r>
        <w:r w:rsidR="00E33157">
          <w:rPr>
            <w:noProof/>
            <w:webHidden/>
          </w:rPr>
          <w:t>46</w:t>
        </w:r>
        <w:r w:rsidR="00684C9F">
          <w:rPr>
            <w:noProof/>
            <w:webHidden/>
          </w:rPr>
          <w:fldChar w:fldCharType="end"/>
        </w:r>
      </w:hyperlink>
    </w:p>
    <w:p w14:paraId="1757136C" w14:textId="7044D937" w:rsidR="00684C9F" w:rsidRDefault="00000000">
      <w:pPr>
        <w:pStyle w:val="TOC5"/>
        <w:tabs>
          <w:tab w:val="left" w:pos="1078"/>
        </w:tabs>
        <w:rPr>
          <w:rFonts w:asciiTheme="minorHAnsi" w:eastAsiaTheme="minorEastAsia" w:hAnsiTheme="minorHAnsi"/>
          <w:noProof/>
          <w:kern w:val="2"/>
          <w:sz w:val="24"/>
          <w:szCs w:val="24"/>
          <w:lang w:eastAsia="en-GB"/>
          <w14:ligatures w14:val="standardContextual"/>
        </w:rPr>
      </w:pPr>
      <w:hyperlink w:anchor="_Toc168652139" w:history="1">
        <w:r w:rsidR="00684C9F" w:rsidRPr="00943E3A">
          <w:rPr>
            <w:rStyle w:val="Hyperlink"/>
            <w:noProof/>
          </w:rPr>
          <w:t>6.3</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noProof/>
          </w:rPr>
          <w:t>Indirect and induced impacts associated with visitor expenditure</w:t>
        </w:r>
        <w:r w:rsidR="00684C9F">
          <w:rPr>
            <w:noProof/>
            <w:webHidden/>
          </w:rPr>
          <w:tab/>
        </w:r>
        <w:r w:rsidR="00684C9F">
          <w:rPr>
            <w:noProof/>
            <w:webHidden/>
          </w:rPr>
          <w:fldChar w:fldCharType="begin"/>
        </w:r>
        <w:r w:rsidR="00684C9F">
          <w:rPr>
            <w:noProof/>
            <w:webHidden/>
          </w:rPr>
          <w:instrText xml:space="preserve"> PAGEREF _Toc168652139 \h </w:instrText>
        </w:r>
        <w:r w:rsidR="00684C9F">
          <w:rPr>
            <w:noProof/>
            <w:webHidden/>
          </w:rPr>
        </w:r>
        <w:r w:rsidR="00684C9F">
          <w:rPr>
            <w:noProof/>
            <w:webHidden/>
          </w:rPr>
          <w:fldChar w:fldCharType="separate"/>
        </w:r>
        <w:r w:rsidR="00E33157">
          <w:rPr>
            <w:noProof/>
            <w:webHidden/>
          </w:rPr>
          <w:t>46</w:t>
        </w:r>
        <w:r w:rsidR="00684C9F">
          <w:rPr>
            <w:noProof/>
            <w:webHidden/>
          </w:rPr>
          <w:fldChar w:fldCharType="end"/>
        </w:r>
      </w:hyperlink>
    </w:p>
    <w:p w14:paraId="0290D33B" w14:textId="75A558E5" w:rsidR="00684C9F" w:rsidRDefault="00000000">
      <w:pPr>
        <w:pStyle w:val="TOC5"/>
        <w:tabs>
          <w:tab w:val="left" w:pos="1078"/>
        </w:tabs>
        <w:rPr>
          <w:rFonts w:asciiTheme="minorHAnsi" w:eastAsiaTheme="minorEastAsia" w:hAnsiTheme="minorHAnsi"/>
          <w:noProof/>
          <w:kern w:val="2"/>
          <w:sz w:val="24"/>
          <w:szCs w:val="24"/>
          <w:lang w:eastAsia="en-GB"/>
          <w14:ligatures w14:val="standardContextual"/>
        </w:rPr>
      </w:pPr>
      <w:hyperlink w:anchor="_Toc168652140" w:history="1">
        <w:r w:rsidR="00684C9F" w:rsidRPr="00943E3A">
          <w:rPr>
            <w:rStyle w:val="Hyperlink"/>
            <w:noProof/>
          </w:rPr>
          <w:t>6.4</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noProof/>
          </w:rPr>
          <w:t>Total impact associated with visitor expenditure</w:t>
        </w:r>
        <w:r w:rsidR="00684C9F">
          <w:rPr>
            <w:noProof/>
            <w:webHidden/>
          </w:rPr>
          <w:tab/>
        </w:r>
        <w:r w:rsidR="00684C9F">
          <w:rPr>
            <w:noProof/>
            <w:webHidden/>
          </w:rPr>
          <w:fldChar w:fldCharType="begin"/>
        </w:r>
        <w:r w:rsidR="00684C9F">
          <w:rPr>
            <w:noProof/>
            <w:webHidden/>
          </w:rPr>
          <w:instrText xml:space="preserve"> PAGEREF _Toc168652140 \h </w:instrText>
        </w:r>
        <w:r w:rsidR="00684C9F">
          <w:rPr>
            <w:noProof/>
            <w:webHidden/>
          </w:rPr>
        </w:r>
        <w:r w:rsidR="00684C9F">
          <w:rPr>
            <w:noProof/>
            <w:webHidden/>
          </w:rPr>
          <w:fldChar w:fldCharType="separate"/>
        </w:r>
        <w:r w:rsidR="00E33157">
          <w:rPr>
            <w:noProof/>
            <w:webHidden/>
          </w:rPr>
          <w:t>47</w:t>
        </w:r>
        <w:r w:rsidR="00684C9F">
          <w:rPr>
            <w:noProof/>
            <w:webHidden/>
          </w:rPr>
          <w:fldChar w:fldCharType="end"/>
        </w:r>
      </w:hyperlink>
    </w:p>
    <w:p w14:paraId="09042C5E" w14:textId="1AE89055" w:rsidR="00684C9F" w:rsidRDefault="00000000">
      <w:pPr>
        <w:pStyle w:val="TOC3"/>
        <w:rPr>
          <w:rFonts w:asciiTheme="minorHAnsi" w:eastAsiaTheme="minorEastAsia" w:hAnsiTheme="minorHAnsi" w:cstheme="minorBidi"/>
          <w:color w:val="auto"/>
          <w:kern w:val="2"/>
          <w:szCs w:val="24"/>
          <w:lang w:eastAsia="en-GB"/>
          <w14:ligatures w14:val="standardContextual"/>
        </w:rPr>
      </w:pPr>
      <w:hyperlink w:anchor="_Toc168652141" w:history="1">
        <w:r w:rsidR="00684C9F" w:rsidRPr="00943E3A">
          <w:rPr>
            <w:rStyle w:val="Hyperlink"/>
          </w:rPr>
          <w:t>7</w:t>
        </w:r>
        <w:r w:rsidR="00684C9F">
          <w:rPr>
            <w:rFonts w:asciiTheme="minorHAnsi" w:eastAsiaTheme="minorEastAsia" w:hAnsiTheme="minorHAnsi" w:cstheme="minorBidi"/>
            <w:color w:val="auto"/>
            <w:kern w:val="2"/>
            <w:szCs w:val="24"/>
            <w:lang w:eastAsia="en-GB"/>
            <w14:ligatures w14:val="standardContextual"/>
          </w:rPr>
          <w:tab/>
        </w:r>
        <w:r w:rsidR="00684C9F" w:rsidRPr="00943E3A">
          <w:rPr>
            <w:rStyle w:val="Hyperlink"/>
          </w:rPr>
          <w:t>The social and cultural impact of the University of Birmingham</w:t>
        </w:r>
        <w:r w:rsidR="00684C9F">
          <w:rPr>
            <w:webHidden/>
          </w:rPr>
          <w:tab/>
        </w:r>
        <w:r w:rsidR="00684C9F">
          <w:rPr>
            <w:webHidden/>
          </w:rPr>
          <w:fldChar w:fldCharType="begin"/>
        </w:r>
        <w:r w:rsidR="00684C9F">
          <w:rPr>
            <w:webHidden/>
          </w:rPr>
          <w:instrText xml:space="preserve"> PAGEREF _Toc168652141 \h </w:instrText>
        </w:r>
        <w:r w:rsidR="00684C9F">
          <w:rPr>
            <w:webHidden/>
          </w:rPr>
        </w:r>
        <w:r w:rsidR="00684C9F">
          <w:rPr>
            <w:webHidden/>
          </w:rPr>
          <w:fldChar w:fldCharType="separate"/>
        </w:r>
        <w:r w:rsidR="00E33157">
          <w:rPr>
            <w:webHidden/>
          </w:rPr>
          <w:t>49</w:t>
        </w:r>
        <w:r w:rsidR="00684C9F">
          <w:rPr>
            <w:webHidden/>
          </w:rPr>
          <w:fldChar w:fldCharType="end"/>
        </w:r>
      </w:hyperlink>
    </w:p>
    <w:p w14:paraId="0026D2E5" w14:textId="010BA4C1" w:rsidR="00684C9F" w:rsidRDefault="00000000">
      <w:pPr>
        <w:pStyle w:val="TOC5"/>
        <w:tabs>
          <w:tab w:val="left" w:pos="1078"/>
        </w:tabs>
        <w:rPr>
          <w:rFonts w:asciiTheme="minorHAnsi" w:eastAsiaTheme="minorEastAsia" w:hAnsiTheme="minorHAnsi"/>
          <w:noProof/>
          <w:kern w:val="2"/>
          <w:sz w:val="24"/>
          <w:szCs w:val="24"/>
          <w:lang w:eastAsia="en-GB"/>
          <w14:ligatures w14:val="standardContextual"/>
        </w:rPr>
      </w:pPr>
      <w:hyperlink w:anchor="_Toc168652142" w:history="1">
        <w:r w:rsidR="00684C9F" w:rsidRPr="00943E3A">
          <w:rPr>
            <w:rStyle w:val="Hyperlink"/>
            <w:noProof/>
          </w:rPr>
          <w:t>7.1</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noProof/>
          </w:rPr>
          <w:t>Wider economic and societal benefits of the University of Birmingham for students and graduates</w:t>
        </w:r>
        <w:r w:rsidR="00684C9F">
          <w:rPr>
            <w:noProof/>
            <w:webHidden/>
          </w:rPr>
          <w:tab/>
        </w:r>
        <w:r w:rsidR="00684C9F">
          <w:rPr>
            <w:noProof/>
            <w:webHidden/>
          </w:rPr>
          <w:fldChar w:fldCharType="begin"/>
        </w:r>
        <w:r w:rsidR="00684C9F">
          <w:rPr>
            <w:noProof/>
            <w:webHidden/>
          </w:rPr>
          <w:instrText xml:space="preserve"> PAGEREF _Toc168652142 \h </w:instrText>
        </w:r>
        <w:r w:rsidR="00684C9F">
          <w:rPr>
            <w:noProof/>
            <w:webHidden/>
          </w:rPr>
        </w:r>
        <w:r w:rsidR="00684C9F">
          <w:rPr>
            <w:noProof/>
            <w:webHidden/>
          </w:rPr>
          <w:fldChar w:fldCharType="separate"/>
        </w:r>
        <w:r w:rsidR="00E33157">
          <w:rPr>
            <w:noProof/>
            <w:webHidden/>
          </w:rPr>
          <w:t>49</w:t>
        </w:r>
        <w:r w:rsidR="00684C9F">
          <w:rPr>
            <w:noProof/>
            <w:webHidden/>
          </w:rPr>
          <w:fldChar w:fldCharType="end"/>
        </w:r>
      </w:hyperlink>
    </w:p>
    <w:p w14:paraId="6C753CE6" w14:textId="6DDA509A" w:rsidR="00684C9F" w:rsidRDefault="00000000">
      <w:pPr>
        <w:pStyle w:val="TOC5"/>
        <w:tabs>
          <w:tab w:val="left" w:pos="1078"/>
        </w:tabs>
        <w:rPr>
          <w:rFonts w:asciiTheme="minorHAnsi" w:eastAsiaTheme="minorEastAsia" w:hAnsiTheme="minorHAnsi"/>
          <w:noProof/>
          <w:kern w:val="2"/>
          <w:sz w:val="24"/>
          <w:szCs w:val="24"/>
          <w:lang w:eastAsia="en-GB"/>
          <w14:ligatures w14:val="standardContextual"/>
        </w:rPr>
      </w:pPr>
      <w:hyperlink w:anchor="_Toc168652143" w:history="1">
        <w:r w:rsidR="00684C9F" w:rsidRPr="00943E3A">
          <w:rPr>
            <w:rStyle w:val="Hyperlink"/>
            <w:noProof/>
          </w:rPr>
          <w:t>7.2</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noProof/>
          </w:rPr>
          <w:t>Cultural impact</w:t>
        </w:r>
        <w:r w:rsidR="00684C9F">
          <w:rPr>
            <w:noProof/>
            <w:webHidden/>
          </w:rPr>
          <w:tab/>
        </w:r>
        <w:r w:rsidR="00684C9F">
          <w:rPr>
            <w:noProof/>
            <w:webHidden/>
          </w:rPr>
          <w:fldChar w:fldCharType="begin"/>
        </w:r>
        <w:r w:rsidR="00684C9F">
          <w:rPr>
            <w:noProof/>
            <w:webHidden/>
          </w:rPr>
          <w:instrText xml:space="preserve"> PAGEREF _Toc168652143 \h </w:instrText>
        </w:r>
        <w:r w:rsidR="00684C9F">
          <w:rPr>
            <w:noProof/>
            <w:webHidden/>
          </w:rPr>
        </w:r>
        <w:r w:rsidR="00684C9F">
          <w:rPr>
            <w:noProof/>
            <w:webHidden/>
          </w:rPr>
          <w:fldChar w:fldCharType="separate"/>
        </w:r>
        <w:r w:rsidR="00E33157">
          <w:rPr>
            <w:noProof/>
            <w:webHidden/>
          </w:rPr>
          <w:t>54</w:t>
        </w:r>
        <w:r w:rsidR="00684C9F">
          <w:rPr>
            <w:noProof/>
            <w:webHidden/>
          </w:rPr>
          <w:fldChar w:fldCharType="end"/>
        </w:r>
      </w:hyperlink>
    </w:p>
    <w:p w14:paraId="68AE2A75" w14:textId="6EE69FD3" w:rsidR="00684C9F" w:rsidRDefault="00000000">
      <w:pPr>
        <w:pStyle w:val="TOC5"/>
        <w:tabs>
          <w:tab w:val="left" w:pos="1078"/>
        </w:tabs>
        <w:rPr>
          <w:rFonts w:asciiTheme="minorHAnsi" w:eastAsiaTheme="minorEastAsia" w:hAnsiTheme="minorHAnsi"/>
          <w:noProof/>
          <w:kern w:val="2"/>
          <w:sz w:val="24"/>
          <w:szCs w:val="24"/>
          <w:lang w:eastAsia="en-GB"/>
          <w14:ligatures w14:val="standardContextual"/>
        </w:rPr>
      </w:pPr>
      <w:hyperlink w:anchor="_Toc168652144" w:history="1">
        <w:r w:rsidR="00684C9F" w:rsidRPr="00943E3A">
          <w:rPr>
            <w:rStyle w:val="Hyperlink"/>
            <w:noProof/>
          </w:rPr>
          <w:t>7.3</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noProof/>
          </w:rPr>
          <w:t>Staff volunteering</w:t>
        </w:r>
        <w:r w:rsidR="00684C9F">
          <w:rPr>
            <w:noProof/>
            <w:webHidden/>
          </w:rPr>
          <w:tab/>
        </w:r>
        <w:r w:rsidR="00684C9F">
          <w:rPr>
            <w:noProof/>
            <w:webHidden/>
          </w:rPr>
          <w:fldChar w:fldCharType="begin"/>
        </w:r>
        <w:r w:rsidR="00684C9F">
          <w:rPr>
            <w:noProof/>
            <w:webHidden/>
          </w:rPr>
          <w:instrText xml:space="preserve"> PAGEREF _Toc168652144 \h </w:instrText>
        </w:r>
        <w:r w:rsidR="00684C9F">
          <w:rPr>
            <w:noProof/>
            <w:webHidden/>
          </w:rPr>
        </w:r>
        <w:r w:rsidR="00684C9F">
          <w:rPr>
            <w:noProof/>
            <w:webHidden/>
          </w:rPr>
          <w:fldChar w:fldCharType="separate"/>
        </w:r>
        <w:r w:rsidR="00E33157">
          <w:rPr>
            <w:noProof/>
            <w:webHidden/>
          </w:rPr>
          <w:t>55</w:t>
        </w:r>
        <w:r w:rsidR="00684C9F">
          <w:rPr>
            <w:noProof/>
            <w:webHidden/>
          </w:rPr>
          <w:fldChar w:fldCharType="end"/>
        </w:r>
      </w:hyperlink>
    </w:p>
    <w:p w14:paraId="7C9FC934" w14:textId="1191DD34" w:rsidR="00684C9F" w:rsidRDefault="00000000">
      <w:pPr>
        <w:pStyle w:val="TOC5"/>
        <w:tabs>
          <w:tab w:val="left" w:pos="1078"/>
        </w:tabs>
        <w:rPr>
          <w:rFonts w:asciiTheme="minorHAnsi" w:eastAsiaTheme="minorEastAsia" w:hAnsiTheme="minorHAnsi"/>
          <w:noProof/>
          <w:kern w:val="2"/>
          <w:sz w:val="24"/>
          <w:szCs w:val="24"/>
          <w:lang w:eastAsia="en-GB"/>
          <w14:ligatures w14:val="standardContextual"/>
        </w:rPr>
      </w:pPr>
      <w:hyperlink w:anchor="_Toc168652145" w:history="1">
        <w:r w:rsidR="00684C9F" w:rsidRPr="00943E3A">
          <w:rPr>
            <w:rStyle w:val="Hyperlink"/>
            <w:noProof/>
          </w:rPr>
          <w:t>7.4</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noProof/>
          </w:rPr>
          <w:t>Environmental impact</w:t>
        </w:r>
        <w:r w:rsidR="00684C9F">
          <w:rPr>
            <w:noProof/>
            <w:webHidden/>
          </w:rPr>
          <w:tab/>
        </w:r>
        <w:r w:rsidR="00684C9F">
          <w:rPr>
            <w:noProof/>
            <w:webHidden/>
          </w:rPr>
          <w:fldChar w:fldCharType="begin"/>
        </w:r>
        <w:r w:rsidR="00684C9F">
          <w:rPr>
            <w:noProof/>
            <w:webHidden/>
          </w:rPr>
          <w:instrText xml:space="preserve"> PAGEREF _Toc168652145 \h </w:instrText>
        </w:r>
        <w:r w:rsidR="00684C9F">
          <w:rPr>
            <w:noProof/>
            <w:webHidden/>
          </w:rPr>
        </w:r>
        <w:r w:rsidR="00684C9F">
          <w:rPr>
            <w:noProof/>
            <w:webHidden/>
          </w:rPr>
          <w:fldChar w:fldCharType="separate"/>
        </w:r>
        <w:r w:rsidR="00E33157">
          <w:rPr>
            <w:noProof/>
            <w:webHidden/>
          </w:rPr>
          <w:t>56</w:t>
        </w:r>
        <w:r w:rsidR="00684C9F">
          <w:rPr>
            <w:noProof/>
            <w:webHidden/>
          </w:rPr>
          <w:fldChar w:fldCharType="end"/>
        </w:r>
      </w:hyperlink>
    </w:p>
    <w:p w14:paraId="18F6D604" w14:textId="5E572BA2" w:rsidR="00684C9F" w:rsidRDefault="00000000">
      <w:pPr>
        <w:pStyle w:val="TOC3"/>
        <w:rPr>
          <w:rFonts w:asciiTheme="minorHAnsi" w:eastAsiaTheme="minorEastAsia" w:hAnsiTheme="minorHAnsi" w:cstheme="minorBidi"/>
          <w:color w:val="auto"/>
          <w:kern w:val="2"/>
          <w:szCs w:val="24"/>
          <w:lang w:eastAsia="en-GB"/>
          <w14:ligatures w14:val="standardContextual"/>
        </w:rPr>
      </w:pPr>
      <w:hyperlink w:anchor="_Toc168652146" w:history="1">
        <w:r w:rsidR="00684C9F" w:rsidRPr="00943E3A">
          <w:rPr>
            <w:rStyle w:val="Hyperlink"/>
          </w:rPr>
          <w:t>8</w:t>
        </w:r>
        <w:r w:rsidR="00684C9F">
          <w:rPr>
            <w:rFonts w:asciiTheme="minorHAnsi" w:eastAsiaTheme="minorEastAsia" w:hAnsiTheme="minorHAnsi" w:cstheme="minorBidi"/>
            <w:color w:val="auto"/>
            <w:kern w:val="2"/>
            <w:szCs w:val="24"/>
            <w:lang w:eastAsia="en-GB"/>
            <w14:ligatures w14:val="standardContextual"/>
          </w:rPr>
          <w:tab/>
        </w:r>
        <w:r w:rsidR="00684C9F" w:rsidRPr="00943E3A">
          <w:rPr>
            <w:rStyle w:val="Hyperlink"/>
          </w:rPr>
          <w:t>The total economic impact of the University of Birmingham on the UK economy in 2021-22</w:t>
        </w:r>
        <w:r w:rsidR="00684C9F">
          <w:rPr>
            <w:webHidden/>
          </w:rPr>
          <w:tab/>
        </w:r>
        <w:r w:rsidR="00684C9F">
          <w:rPr>
            <w:webHidden/>
          </w:rPr>
          <w:fldChar w:fldCharType="begin"/>
        </w:r>
        <w:r w:rsidR="00684C9F">
          <w:rPr>
            <w:webHidden/>
          </w:rPr>
          <w:instrText xml:space="preserve"> PAGEREF _Toc168652146 \h </w:instrText>
        </w:r>
        <w:r w:rsidR="00684C9F">
          <w:rPr>
            <w:webHidden/>
          </w:rPr>
        </w:r>
        <w:r w:rsidR="00684C9F">
          <w:rPr>
            <w:webHidden/>
          </w:rPr>
          <w:fldChar w:fldCharType="separate"/>
        </w:r>
        <w:r w:rsidR="00E33157">
          <w:rPr>
            <w:webHidden/>
          </w:rPr>
          <w:t>57</w:t>
        </w:r>
        <w:r w:rsidR="00684C9F">
          <w:rPr>
            <w:webHidden/>
          </w:rPr>
          <w:fldChar w:fldCharType="end"/>
        </w:r>
      </w:hyperlink>
    </w:p>
    <w:p w14:paraId="507D1053" w14:textId="7F1A7DDF" w:rsidR="00684C9F" w:rsidRDefault="00000000">
      <w:pPr>
        <w:pStyle w:val="TOC5"/>
        <w:tabs>
          <w:tab w:val="left" w:pos="1078"/>
        </w:tabs>
        <w:rPr>
          <w:rFonts w:asciiTheme="minorHAnsi" w:eastAsiaTheme="minorEastAsia" w:hAnsiTheme="minorHAnsi"/>
          <w:noProof/>
          <w:kern w:val="2"/>
          <w:sz w:val="24"/>
          <w:szCs w:val="24"/>
          <w:lang w:eastAsia="en-GB"/>
          <w14:ligatures w14:val="standardContextual"/>
        </w:rPr>
      </w:pPr>
      <w:hyperlink w:anchor="_Toc168652147" w:history="1">
        <w:r w:rsidR="00684C9F" w:rsidRPr="00943E3A">
          <w:rPr>
            <w:rStyle w:val="Hyperlink"/>
            <w:noProof/>
          </w:rPr>
          <w:t>8.1</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noProof/>
          </w:rPr>
          <w:t>Total impact by region and sector (where available)</w:t>
        </w:r>
        <w:r w:rsidR="00684C9F">
          <w:rPr>
            <w:noProof/>
            <w:webHidden/>
          </w:rPr>
          <w:tab/>
        </w:r>
        <w:r w:rsidR="00684C9F">
          <w:rPr>
            <w:noProof/>
            <w:webHidden/>
          </w:rPr>
          <w:fldChar w:fldCharType="begin"/>
        </w:r>
        <w:r w:rsidR="00684C9F">
          <w:rPr>
            <w:noProof/>
            <w:webHidden/>
          </w:rPr>
          <w:instrText xml:space="preserve"> PAGEREF _Toc168652147 \h </w:instrText>
        </w:r>
        <w:r w:rsidR="00684C9F">
          <w:rPr>
            <w:noProof/>
            <w:webHidden/>
          </w:rPr>
        </w:r>
        <w:r w:rsidR="00684C9F">
          <w:rPr>
            <w:noProof/>
            <w:webHidden/>
          </w:rPr>
          <w:fldChar w:fldCharType="separate"/>
        </w:r>
        <w:r w:rsidR="00E33157">
          <w:rPr>
            <w:noProof/>
            <w:webHidden/>
          </w:rPr>
          <w:t>58</w:t>
        </w:r>
        <w:r w:rsidR="00684C9F">
          <w:rPr>
            <w:noProof/>
            <w:webHidden/>
          </w:rPr>
          <w:fldChar w:fldCharType="end"/>
        </w:r>
      </w:hyperlink>
    </w:p>
    <w:p w14:paraId="68E814D2" w14:textId="7ADDBFD4" w:rsidR="00684C9F" w:rsidRDefault="00000000">
      <w:pPr>
        <w:pStyle w:val="TOC2"/>
        <w:rPr>
          <w:rFonts w:asciiTheme="minorHAnsi" w:eastAsiaTheme="minorEastAsia" w:hAnsiTheme="minorHAnsi" w:cstheme="minorBidi"/>
          <w:color w:val="auto"/>
          <w:kern w:val="2"/>
          <w:szCs w:val="24"/>
          <w:lang w:eastAsia="en-GB"/>
          <w14:ligatures w14:val="standardContextual"/>
        </w:rPr>
      </w:pPr>
      <w:hyperlink w:anchor="_Toc168652148" w:history="1">
        <w:r w:rsidR="00684C9F" w:rsidRPr="00943E3A">
          <w:rPr>
            <w:rStyle w:val="Hyperlink"/>
          </w:rPr>
          <w:t>Index of Tables, Figures and Boxes</w:t>
        </w:r>
        <w:r w:rsidR="00684C9F">
          <w:rPr>
            <w:webHidden/>
          </w:rPr>
          <w:tab/>
        </w:r>
        <w:r w:rsidR="00684C9F">
          <w:rPr>
            <w:webHidden/>
          </w:rPr>
          <w:fldChar w:fldCharType="begin"/>
        </w:r>
        <w:r w:rsidR="00684C9F">
          <w:rPr>
            <w:webHidden/>
          </w:rPr>
          <w:instrText xml:space="preserve"> PAGEREF _Toc168652148 \h </w:instrText>
        </w:r>
        <w:r w:rsidR="00684C9F">
          <w:rPr>
            <w:webHidden/>
          </w:rPr>
        </w:r>
        <w:r w:rsidR="00684C9F">
          <w:rPr>
            <w:webHidden/>
          </w:rPr>
          <w:fldChar w:fldCharType="separate"/>
        </w:r>
        <w:r w:rsidR="00E33157">
          <w:rPr>
            <w:webHidden/>
          </w:rPr>
          <w:t>61</w:t>
        </w:r>
        <w:r w:rsidR="00684C9F">
          <w:rPr>
            <w:webHidden/>
          </w:rPr>
          <w:fldChar w:fldCharType="end"/>
        </w:r>
      </w:hyperlink>
    </w:p>
    <w:p w14:paraId="2A739FDF" w14:textId="4AEC09BF" w:rsidR="00684C9F" w:rsidRDefault="00000000">
      <w:pPr>
        <w:pStyle w:val="TOC1"/>
        <w:rPr>
          <w:rFonts w:asciiTheme="minorHAnsi" w:eastAsiaTheme="minorEastAsia" w:hAnsiTheme="minorHAnsi" w:cstheme="minorBidi"/>
          <w:caps w:val="0"/>
          <w:color w:val="auto"/>
          <w:kern w:val="2"/>
          <w:szCs w:val="24"/>
          <w:lang w:val="en-GB" w:eastAsia="en-GB"/>
          <w14:ligatures w14:val="standardContextual"/>
        </w:rPr>
      </w:pPr>
      <w:hyperlink w:anchor="_Toc168652149" w:history="1">
        <w:r w:rsidR="00684C9F" w:rsidRPr="00943E3A">
          <w:rPr>
            <w:rStyle w:val="Hyperlink"/>
          </w:rPr>
          <w:t>Annexes</w:t>
        </w:r>
        <w:r w:rsidR="00684C9F">
          <w:rPr>
            <w:webHidden/>
          </w:rPr>
          <w:tab/>
        </w:r>
        <w:r w:rsidR="00684C9F">
          <w:rPr>
            <w:webHidden/>
          </w:rPr>
          <w:fldChar w:fldCharType="begin"/>
        </w:r>
        <w:r w:rsidR="00684C9F">
          <w:rPr>
            <w:webHidden/>
          </w:rPr>
          <w:instrText xml:space="preserve"> PAGEREF _Toc168652149 \h </w:instrText>
        </w:r>
        <w:r w:rsidR="00684C9F">
          <w:rPr>
            <w:webHidden/>
          </w:rPr>
        </w:r>
        <w:r w:rsidR="00684C9F">
          <w:rPr>
            <w:webHidden/>
          </w:rPr>
          <w:fldChar w:fldCharType="separate"/>
        </w:r>
        <w:r w:rsidR="00E33157">
          <w:rPr>
            <w:webHidden/>
          </w:rPr>
          <w:t>66</w:t>
        </w:r>
        <w:r w:rsidR="00684C9F">
          <w:rPr>
            <w:webHidden/>
          </w:rPr>
          <w:fldChar w:fldCharType="end"/>
        </w:r>
      </w:hyperlink>
    </w:p>
    <w:p w14:paraId="30C8F0D9" w14:textId="71420424" w:rsidR="00684C9F" w:rsidRDefault="00000000">
      <w:pPr>
        <w:pStyle w:val="TOC6"/>
        <w:rPr>
          <w:rFonts w:asciiTheme="minorHAnsi" w:eastAsiaTheme="minorEastAsia" w:hAnsiTheme="minorHAnsi"/>
          <w:noProof/>
          <w:color w:val="auto"/>
          <w:kern w:val="2"/>
          <w:szCs w:val="24"/>
          <w:lang w:eastAsia="en-GB"/>
          <w14:ligatures w14:val="standardContextual"/>
        </w:rPr>
      </w:pPr>
      <w:hyperlink w:anchor="_Toc168652150" w:history="1">
        <w:r w:rsidR="00684C9F" w:rsidRPr="00943E3A">
          <w:rPr>
            <w:rStyle w:val="Hyperlink"/>
            <w:noProof/>
          </w:rPr>
          <w:t>Annex 1</w:t>
        </w:r>
        <w:r w:rsidR="00684C9F">
          <w:rPr>
            <w:rFonts w:asciiTheme="minorHAnsi" w:eastAsiaTheme="minorEastAsia" w:hAnsiTheme="minorHAnsi"/>
            <w:noProof/>
            <w:color w:val="auto"/>
            <w:kern w:val="2"/>
            <w:szCs w:val="24"/>
            <w:lang w:eastAsia="en-GB"/>
            <w14:ligatures w14:val="standardContextual"/>
          </w:rPr>
          <w:tab/>
        </w:r>
        <w:r w:rsidR="00684C9F" w:rsidRPr="00943E3A">
          <w:rPr>
            <w:rStyle w:val="Hyperlink"/>
            <w:noProof/>
          </w:rPr>
          <w:t>References</w:t>
        </w:r>
        <w:r w:rsidR="00684C9F">
          <w:rPr>
            <w:noProof/>
            <w:webHidden/>
          </w:rPr>
          <w:tab/>
        </w:r>
        <w:r w:rsidR="00684C9F">
          <w:rPr>
            <w:noProof/>
            <w:webHidden/>
          </w:rPr>
          <w:fldChar w:fldCharType="begin"/>
        </w:r>
        <w:r w:rsidR="00684C9F">
          <w:rPr>
            <w:noProof/>
            <w:webHidden/>
          </w:rPr>
          <w:instrText xml:space="preserve"> PAGEREF _Toc168652150 \h </w:instrText>
        </w:r>
        <w:r w:rsidR="00684C9F">
          <w:rPr>
            <w:noProof/>
            <w:webHidden/>
          </w:rPr>
        </w:r>
        <w:r w:rsidR="00684C9F">
          <w:rPr>
            <w:noProof/>
            <w:webHidden/>
          </w:rPr>
          <w:fldChar w:fldCharType="separate"/>
        </w:r>
        <w:r w:rsidR="00E33157">
          <w:rPr>
            <w:noProof/>
            <w:webHidden/>
          </w:rPr>
          <w:t>67</w:t>
        </w:r>
        <w:r w:rsidR="00684C9F">
          <w:rPr>
            <w:noProof/>
            <w:webHidden/>
          </w:rPr>
          <w:fldChar w:fldCharType="end"/>
        </w:r>
      </w:hyperlink>
    </w:p>
    <w:p w14:paraId="27CC8F92" w14:textId="4F2EEC1E" w:rsidR="00684C9F" w:rsidRDefault="00000000">
      <w:pPr>
        <w:pStyle w:val="TOC6"/>
        <w:rPr>
          <w:rFonts w:asciiTheme="minorHAnsi" w:eastAsiaTheme="minorEastAsia" w:hAnsiTheme="minorHAnsi"/>
          <w:noProof/>
          <w:color w:val="auto"/>
          <w:kern w:val="2"/>
          <w:szCs w:val="24"/>
          <w:lang w:eastAsia="en-GB"/>
          <w14:ligatures w14:val="standardContextual"/>
        </w:rPr>
      </w:pPr>
      <w:hyperlink w:anchor="_Toc168652151" w:history="1">
        <w:r w:rsidR="00684C9F" w:rsidRPr="00943E3A">
          <w:rPr>
            <w:rStyle w:val="Hyperlink"/>
            <w:noProof/>
          </w:rPr>
          <w:t>Annex 2</w:t>
        </w:r>
        <w:r w:rsidR="00684C9F">
          <w:rPr>
            <w:rFonts w:asciiTheme="minorHAnsi" w:eastAsiaTheme="minorEastAsia" w:hAnsiTheme="minorHAnsi"/>
            <w:noProof/>
            <w:color w:val="auto"/>
            <w:kern w:val="2"/>
            <w:szCs w:val="24"/>
            <w:lang w:eastAsia="en-GB"/>
            <w14:ligatures w14:val="standardContextual"/>
          </w:rPr>
          <w:tab/>
        </w:r>
        <w:r w:rsidR="00684C9F" w:rsidRPr="00943E3A">
          <w:rPr>
            <w:rStyle w:val="Hyperlink"/>
            <w:noProof/>
          </w:rPr>
          <w:t>Technical annex</w:t>
        </w:r>
        <w:r w:rsidR="00684C9F">
          <w:rPr>
            <w:noProof/>
            <w:webHidden/>
          </w:rPr>
          <w:tab/>
        </w:r>
        <w:r w:rsidR="00684C9F">
          <w:rPr>
            <w:noProof/>
            <w:webHidden/>
          </w:rPr>
          <w:fldChar w:fldCharType="begin"/>
        </w:r>
        <w:r w:rsidR="00684C9F">
          <w:rPr>
            <w:noProof/>
            <w:webHidden/>
          </w:rPr>
          <w:instrText xml:space="preserve"> PAGEREF _Toc168652151 \h </w:instrText>
        </w:r>
        <w:r w:rsidR="00684C9F">
          <w:rPr>
            <w:noProof/>
            <w:webHidden/>
          </w:rPr>
        </w:r>
        <w:r w:rsidR="00684C9F">
          <w:rPr>
            <w:noProof/>
            <w:webHidden/>
          </w:rPr>
          <w:fldChar w:fldCharType="separate"/>
        </w:r>
        <w:r w:rsidR="00E33157">
          <w:rPr>
            <w:noProof/>
            <w:webHidden/>
          </w:rPr>
          <w:t>71</w:t>
        </w:r>
        <w:r w:rsidR="00684C9F">
          <w:rPr>
            <w:noProof/>
            <w:webHidden/>
          </w:rPr>
          <w:fldChar w:fldCharType="end"/>
        </w:r>
      </w:hyperlink>
    </w:p>
    <w:p w14:paraId="6DACAC9A" w14:textId="659C9F39" w:rsidR="00684C9F" w:rsidRDefault="00000000">
      <w:pPr>
        <w:pStyle w:val="TOC7"/>
        <w:tabs>
          <w:tab w:val="left" w:pos="1134"/>
        </w:tabs>
        <w:rPr>
          <w:rFonts w:asciiTheme="minorHAnsi" w:eastAsiaTheme="minorEastAsia" w:hAnsiTheme="minorHAnsi"/>
          <w:noProof/>
          <w:kern w:val="2"/>
          <w:sz w:val="24"/>
          <w:szCs w:val="24"/>
          <w:lang w:eastAsia="en-GB"/>
          <w14:ligatures w14:val="standardContextual"/>
        </w:rPr>
      </w:pPr>
      <w:hyperlink w:anchor="_Toc168652152" w:history="1">
        <w:r w:rsidR="00684C9F" w:rsidRPr="00943E3A">
          <w:rPr>
            <w:rStyle w:val="Hyperlink"/>
            <w:noProof/>
          </w:rPr>
          <w:t>A2.1</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noProof/>
          </w:rPr>
          <w:t>Multi-regional Input-Output tables</w:t>
        </w:r>
        <w:r w:rsidR="00684C9F">
          <w:rPr>
            <w:noProof/>
            <w:webHidden/>
          </w:rPr>
          <w:tab/>
        </w:r>
        <w:r w:rsidR="00684C9F">
          <w:rPr>
            <w:noProof/>
            <w:webHidden/>
          </w:rPr>
          <w:fldChar w:fldCharType="begin"/>
        </w:r>
        <w:r w:rsidR="00684C9F">
          <w:rPr>
            <w:noProof/>
            <w:webHidden/>
          </w:rPr>
          <w:instrText xml:space="preserve"> PAGEREF _Toc168652152 \h </w:instrText>
        </w:r>
        <w:r w:rsidR="00684C9F">
          <w:rPr>
            <w:noProof/>
            <w:webHidden/>
          </w:rPr>
        </w:r>
        <w:r w:rsidR="00684C9F">
          <w:rPr>
            <w:noProof/>
            <w:webHidden/>
          </w:rPr>
          <w:fldChar w:fldCharType="separate"/>
        </w:r>
        <w:r w:rsidR="00E33157">
          <w:rPr>
            <w:noProof/>
            <w:webHidden/>
          </w:rPr>
          <w:t>71</w:t>
        </w:r>
        <w:r w:rsidR="00684C9F">
          <w:rPr>
            <w:noProof/>
            <w:webHidden/>
          </w:rPr>
          <w:fldChar w:fldCharType="end"/>
        </w:r>
      </w:hyperlink>
    </w:p>
    <w:p w14:paraId="1466849D" w14:textId="291DD767" w:rsidR="00684C9F" w:rsidRDefault="00000000">
      <w:pPr>
        <w:pStyle w:val="TOC7"/>
        <w:tabs>
          <w:tab w:val="left" w:pos="1134"/>
        </w:tabs>
        <w:rPr>
          <w:rFonts w:asciiTheme="minorHAnsi" w:eastAsiaTheme="minorEastAsia" w:hAnsiTheme="minorHAnsi"/>
          <w:noProof/>
          <w:kern w:val="2"/>
          <w:sz w:val="24"/>
          <w:szCs w:val="24"/>
          <w:lang w:eastAsia="en-GB"/>
          <w14:ligatures w14:val="standardContextual"/>
        </w:rPr>
      </w:pPr>
      <w:hyperlink w:anchor="_Toc168652153" w:history="1">
        <w:r w:rsidR="00684C9F" w:rsidRPr="00943E3A">
          <w:rPr>
            <w:rStyle w:val="Hyperlink"/>
            <w:noProof/>
          </w:rPr>
          <w:t>A2.2</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noProof/>
          </w:rPr>
          <w:t>Impact of the University’s research and knowledge exchange activities</w:t>
        </w:r>
        <w:r w:rsidR="00684C9F">
          <w:rPr>
            <w:noProof/>
            <w:webHidden/>
          </w:rPr>
          <w:tab/>
        </w:r>
        <w:r w:rsidR="00684C9F">
          <w:rPr>
            <w:noProof/>
            <w:webHidden/>
          </w:rPr>
          <w:fldChar w:fldCharType="begin"/>
        </w:r>
        <w:r w:rsidR="00684C9F">
          <w:rPr>
            <w:noProof/>
            <w:webHidden/>
          </w:rPr>
          <w:instrText xml:space="preserve"> PAGEREF _Toc168652153 \h </w:instrText>
        </w:r>
        <w:r w:rsidR="00684C9F">
          <w:rPr>
            <w:noProof/>
            <w:webHidden/>
          </w:rPr>
        </w:r>
        <w:r w:rsidR="00684C9F">
          <w:rPr>
            <w:noProof/>
            <w:webHidden/>
          </w:rPr>
          <w:fldChar w:fldCharType="separate"/>
        </w:r>
        <w:r w:rsidR="00E33157">
          <w:rPr>
            <w:noProof/>
            <w:webHidden/>
          </w:rPr>
          <w:t>73</w:t>
        </w:r>
        <w:r w:rsidR="00684C9F">
          <w:rPr>
            <w:noProof/>
            <w:webHidden/>
          </w:rPr>
          <w:fldChar w:fldCharType="end"/>
        </w:r>
      </w:hyperlink>
    </w:p>
    <w:p w14:paraId="3BFA2778" w14:textId="5FACB189" w:rsidR="00684C9F" w:rsidRDefault="00000000">
      <w:pPr>
        <w:pStyle w:val="TOC7"/>
        <w:tabs>
          <w:tab w:val="left" w:pos="1134"/>
        </w:tabs>
        <w:rPr>
          <w:rFonts w:asciiTheme="minorHAnsi" w:eastAsiaTheme="minorEastAsia" w:hAnsiTheme="minorHAnsi"/>
          <w:noProof/>
          <w:kern w:val="2"/>
          <w:sz w:val="24"/>
          <w:szCs w:val="24"/>
          <w:lang w:eastAsia="en-GB"/>
          <w14:ligatures w14:val="standardContextual"/>
        </w:rPr>
      </w:pPr>
      <w:hyperlink w:anchor="_Toc168652154" w:history="1">
        <w:r w:rsidR="00684C9F" w:rsidRPr="00943E3A">
          <w:rPr>
            <w:rStyle w:val="Hyperlink"/>
            <w:rFonts w:cstheme="minorHAnsi"/>
            <w:noProof/>
          </w:rPr>
          <w:t>A2.3</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rFonts w:cstheme="minorHAnsi"/>
            <w:noProof/>
          </w:rPr>
          <w:t>Impact of the University’s teaching and learning activities</w:t>
        </w:r>
        <w:r w:rsidR="00684C9F">
          <w:rPr>
            <w:noProof/>
            <w:webHidden/>
          </w:rPr>
          <w:tab/>
        </w:r>
        <w:r w:rsidR="00684C9F">
          <w:rPr>
            <w:noProof/>
            <w:webHidden/>
          </w:rPr>
          <w:fldChar w:fldCharType="begin"/>
        </w:r>
        <w:r w:rsidR="00684C9F">
          <w:rPr>
            <w:noProof/>
            <w:webHidden/>
          </w:rPr>
          <w:instrText xml:space="preserve"> PAGEREF _Toc168652154 \h </w:instrText>
        </w:r>
        <w:r w:rsidR="00684C9F">
          <w:rPr>
            <w:noProof/>
            <w:webHidden/>
          </w:rPr>
        </w:r>
        <w:r w:rsidR="00684C9F">
          <w:rPr>
            <w:noProof/>
            <w:webHidden/>
          </w:rPr>
          <w:fldChar w:fldCharType="separate"/>
        </w:r>
        <w:r w:rsidR="00E33157">
          <w:rPr>
            <w:noProof/>
            <w:webHidden/>
          </w:rPr>
          <w:t>79</w:t>
        </w:r>
        <w:r w:rsidR="00684C9F">
          <w:rPr>
            <w:noProof/>
            <w:webHidden/>
          </w:rPr>
          <w:fldChar w:fldCharType="end"/>
        </w:r>
      </w:hyperlink>
    </w:p>
    <w:p w14:paraId="06C8F56C" w14:textId="1A0D8465" w:rsidR="00684C9F" w:rsidRDefault="00000000">
      <w:pPr>
        <w:pStyle w:val="TOC7"/>
        <w:tabs>
          <w:tab w:val="left" w:pos="1134"/>
        </w:tabs>
        <w:rPr>
          <w:rFonts w:asciiTheme="minorHAnsi" w:eastAsiaTheme="minorEastAsia" w:hAnsiTheme="minorHAnsi"/>
          <w:noProof/>
          <w:kern w:val="2"/>
          <w:sz w:val="24"/>
          <w:szCs w:val="24"/>
          <w:lang w:eastAsia="en-GB"/>
          <w14:ligatures w14:val="standardContextual"/>
        </w:rPr>
      </w:pPr>
      <w:hyperlink w:anchor="_Toc168652155" w:history="1">
        <w:r w:rsidR="00684C9F" w:rsidRPr="00943E3A">
          <w:rPr>
            <w:rStyle w:val="Hyperlink"/>
            <w:noProof/>
          </w:rPr>
          <w:t>A2.4</w:t>
        </w:r>
        <w:r w:rsidR="00684C9F">
          <w:rPr>
            <w:rFonts w:asciiTheme="minorHAnsi" w:eastAsiaTheme="minorEastAsia" w:hAnsiTheme="minorHAnsi"/>
            <w:noProof/>
            <w:kern w:val="2"/>
            <w:sz w:val="24"/>
            <w:szCs w:val="24"/>
            <w:lang w:eastAsia="en-GB"/>
            <w14:ligatures w14:val="standardContextual"/>
          </w:rPr>
          <w:tab/>
        </w:r>
        <w:r w:rsidR="00684C9F" w:rsidRPr="00943E3A">
          <w:rPr>
            <w:rStyle w:val="Hyperlink"/>
            <w:noProof/>
          </w:rPr>
          <w:t>Impact of the University’s educational exports</w:t>
        </w:r>
        <w:r w:rsidR="00684C9F">
          <w:rPr>
            <w:noProof/>
            <w:webHidden/>
          </w:rPr>
          <w:tab/>
        </w:r>
        <w:r w:rsidR="00684C9F">
          <w:rPr>
            <w:noProof/>
            <w:webHidden/>
          </w:rPr>
          <w:fldChar w:fldCharType="begin"/>
        </w:r>
        <w:r w:rsidR="00684C9F">
          <w:rPr>
            <w:noProof/>
            <w:webHidden/>
          </w:rPr>
          <w:instrText xml:space="preserve"> PAGEREF _Toc168652155 \h </w:instrText>
        </w:r>
        <w:r w:rsidR="00684C9F">
          <w:rPr>
            <w:noProof/>
            <w:webHidden/>
          </w:rPr>
        </w:r>
        <w:r w:rsidR="00684C9F">
          <w:rPr>
            <w:noProof/>
            <w:webHidden/>
          </w:rPr>
          <w:fldChar w:fldCharType="separate"/>
        </w:r>
        <w:r w:rsidR="00E33157">
          <w:rPr>
            <w:noProof/>
            <w:webHidden/>
          </w:rPr>
          <w:t>96</w:t>
        </w:r>
        <w:r w:rsidR="00684C9F">
          <w:rPr>
            <w:noProof/>
            <w:webHidden/>
          </w:rPr>
          <w:fldChar w:fldCharType="end"/>
        </w:r>
      </w:hyperlink>
    </w:p>
    <w:p w14:paraId="7A263079" w14:textId="667BE701" w:rsidR="0030437C" w:rsidRPr="0078056B" w:rsidRDefault="000D319B" w:rsidP="00EF7CA0">
      <w:r w:rsidRPr="0078056B">
        <w:fldChar w:fldCharType="end"/>
      </w:r>
    </w:p>
    <w:p w14:paraId="261E8C8B" w14:textId="77777777" w:rsidR="00FE5929" w:rsidRPr="0078056B" w:rsidRDefault="00FE5929" w:rsidP="00FE2369">
      <w:pPr>
        <w:sectPr w:rsidR="00FE5929" w:rsidRPr="0078056B" w:rsidSect="00B0172D">
          <w:headerReference w:type="even" r:id="rId26"/>
          <w:headerReference w:type="default" r:id="rId27"/>
          <w:footerReference w:type="even" r:id="rId28"/>
          <w:footerReference w:type="default" r:id="rId29"/>
          <w:headerReference w:type="first" r:id="rId30"/>
          <w:footerReference w:type="first" r:id="rId31"/>
          <w:pgSz w:w="11906" w:h="16838"/>
          <w:pgMar w:top="1418" w:right="1531" w:bottom="1418" w:left="1531" w:header="1060" w:footer="851" w:gutter="0"/>
          <w:pgNumType w:fmt="lowerRoman" w:start="1"/>
          <w:cols w:space="708"/>
          <w:docGrid w:linePitch="360"/>
        </w:sectPr>
      </w:pPr>
    </w:p>
    <w:p w14:paraId="7D026A43" w14:textId="3A664FED" w:rsidR="006817DD" w:rsidRPr="0078056B" w:rsidRDefault="006817DD" w:rsidP="006F195F">
      <w:pPr>
        <w:pStyle w:val="LEExecSummHeading1"/>
      </w:pPr>
      <w:bookmarkStart w:id="2" w:name="_Toc404859076"/>
      <w:bookmarkStart w:id="3" w:name="_Toc404859240"/>
      <w:bookmarkStart w:id="4" w:name="_Toc168652110"/>
      <w:bookmarkStart w:id="5" w:name="_Toc404859079"/>
      <w:bookmarkStart w:id="6" w:name="_Toc404859243"/>
      <w:r w:rsidRPr="0078056B">
        <w:lastRenderedPageBreak/>
        <w:t>Executive Summary</w:t>
      </w:r>
      <w:bookmarkEnd w:id="2"/>
      <w:bookmarkEnd w:id="3"/>
      <w:bookmarkEnd w:id="4"/>
    </w:p>
    <w:p w14:paraId="5C86D5AE" w14:textId="77777777" w:rsidR="001F0F67" w:rsidRPr="0078056B" w:rsidRDefault="001F0F67" w:rsidP="00E13125">
      <w:pPr>
        <w:pStyle w:val="Heading2NoNumb"/>
        <w:pBdr>
          <w:top w:val="single" w:sz="8" w:space="1" w:color="4F5961"/>
        </w:pBdr>
        <w:spacing w:after="480"/>
        <w:contextualSpacing/>
      </w:pPr>
      <w:bookmarkStart w:id="7" w:name="_Toc119925168"/>
      <w:bookmarkStart w:id="8" w:name="_Toc168652111"/>
      <w:r w:rsidRPr="0078056B">
        <w:rPr>
          <w:noProof/>
        </w:rPr>
        <w:drawing>
          <wp:anchor distT="0" distB="0" distL="114300" distR="114300" simplePos="0" relativeHeight="251672576" behindDoc="0" locked="1" layoutInCell="1" allowOverlap="1" wp14:anchorId="4F97D04B" wp14:editId="2A81DDED">
            <wp:simplePos x="0" y="0"/>
            <wp:positionH relativeFrom="column">
              <wp:posOffset>-635</wp:posOffset>
            </wp:positionH>
            <wp:positionV relativeFrom="line">
              <wp:posOffset>3810</wp:posOffset>
            </wp:positionV>
            <wp:extent cx="503555" cy="495300"/>
            <wp:effectExtent l="0" t="0" r="0" b="0"/>
            <wp:wrapSquare wrapText="bothSides"/>
            <wp:docPr id="109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Picture 33"/>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03555" cy="495300"/>
                    </a:xfrm>
                    <a:prstGeom prst="rect">
                      <a:avLst/>
                    </a:prstGeom>
                  </pic:spPr>
                </pic:pic>
              </a:graphicData>
            </a:graphic>
            <wp14:sizeRelH relativeFrom="margin">
              <wp14:pctWidth>0</wp14:pctWidth>
            </wp14:sizeRelH>
            <wp14:sizeRelV relativeFrom="margin">
              <wp14:pctHeight>0</wp14:pctHeight>
            </wp14:sizeRelV>
          </wp:anchor>
        </w:drawing>
      </w:r>
      <w:r w:rsidRPr="0078056B">
        <w:rPr>
          <w:rStyle w:val="HeaderRepeat"/>
        </w:rPr>
        <w:t xml:space="preserve">The aggregate economic impact of the University of </w:t>
      </w:r>
      <w:bookmarkEnd w:id="7"/>
      <w:r w:rsidRPr="0078056B">
        <w:rPr>
          <w:rStyle w:val="HeaderRepeat"/>
        </w:rPr>
        <w:t>Birmingham</w:t>
      </w:r>
      <w:bookmarkEnd w:id="8"/>
    </w:p>
    <w:p w14:paraId="77070D9A" w14:textId="074B2B2D" w:rsidR="00E13125" w:rsidRPr="0078056B" w:rsidRDefault="00E13125" w:rsidP="00FE4BB7">
      <w:pPr>
        <w:spacing w:before="120" w:after="120"/>
      </w:pPr>
      <w:r w:rsidRPr="0078056B">
        <w:rPr>
          <w:noProof/>
        </w:rPr>
        <mc:AlternateContent>
          <mc:Choice Requires="wps">
            <w:drawing>
              <wp:anchor distT="0" distB="0" distL="114300" distR="114300" simplePos="0" relativeHeight="251684864" behindDoc="0" locked="0" layoutInCell="1" allowOverlap="1" wp14:anchorId="3B7ABBE9" wp14:editId="32B16614">
                <wp:simplePos x="0" y="0"/>
                <wp:positionH relativeFrom="margin">
                  <wp:posOffset>3803650</wp:posOffset>
                </wp:positionH>
                <wp:positionV relativeFrom="paragraph">
                  <wp:posOffset>94351</wp:posOffset>
                </wp:positionV>
                <wp:extent cx="1828165" cy="1477645"/>
                <wp:effectExtent l="38100" t="38100" r="95885" b="103505"/>
                <wp:wrapSquare wrapText="bothSides"/>
                <wp:docPr id="6478177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477645"/>
                        </a:xfrm>
                        <a:prstGeom prst="rect">
                          <a:avLst/>
                        </a:prstGeom>
                        <a:solidFill>
                          <a:schemeClr val="accent1"/>
                        </a:solidFill>
                        <a:ln w="12700">
                          <a:noFill/>
                          <a:miter lim="800000"/>
                          <a:headEnd/>
                          <a:tailEnd/>
                        </a:ln>
                        <a:effectLst>
                          <a:outerShdw blurRad="50800" dist="38100" dir="2700000" algn="tl" rotWithShape="0">
                            <a:prstClr val="black">
                              <a:alpha val="40000"/>
                            </a:prstClr>
                          </a:outerShdw>
                        </a:effectLst>
                      </wps:spPr>
                      <wps:txbx>
                        <w:txbxContent>
                          <w:p w14:paraId="187A8485" w14:textId="77777777" w:rsidR="00E13125" w:rsidRPr="003541E0" w:rsidRDefault="00E13125" w:rsidP="00E13125">
                            <w:pPr>
                              <w:spacing w:before="0" w:after="0"/>
                              <w:jc w:val="center"/>
                              <w:rPr>
                                <w:b/>
                                <w:color w:val="FFFFFF" w:themeColor="background1"/>
                                <w:sz w:val="28"/>
                                <w:szCs w:val="28"/>
                              </w:rPr>
                            </w:pPr>
                            <w:r w:rsidRPr="0078056B">
                              <w:rPr>
                                <w:b/>
                                <w:color w:val="FFFFFF" w:themeColor="background1"/>
                                <w:sz w:val="28"/>
                                <w:szCs w:val="28"/>
                              </w:rPr>
                              <w:t>The total economic impact associated with the University of Birmingham's activities in 2021-22 stood at £4.4 billion.</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B7ABBE9" id="Text Box 3" o:spid="_x0000_s1029" type="#_x0000_t202" style="position:absolute;left:0;text-align:left;margin-left:299.5pt;margin-top:7.45pt;width:143.95pt;height:116.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urcAIAAMUEAAAOAAAAZHJzL2Uyb0RvYy54bWysVMtu2zAQvBfoPxC8N5KcxDGEyEGaNEWB&#10;vtC06JkiKYsIxWVJ2lL69V2uHMdIb0V9ELQmPTszO+vLq2mwbKdDNOAaXp2UnGknQRm3afiP73dv&#10;VpzFJJwSFpxu+KOO/Gr9+tXl6Gu9gB6s0oEhiIv16Bvep+Trooiy14OIJ+C1w8MOwiASlmFTqCBG&#10;RB9ssSjLZTFCUD6A1DHit7fzIV8Tftdpmb50XdSJ2YYjt0TPQM82P4v1pag3QfjeyD0N8Q8sBmEc&#10;Nj1A3Yok2DaYv6AGIwNE6NKJhKGArjNSkwZUU5Uv1Nz3wmvSguZEf7Ap/j9Y+Xl3778Glqa3MOEA&#10;SUT0H0E+RObgphduo69DgLHXQmHjKltWjD7W+59mq2MdM0g7fgKFQxbbBAQ0dWHIrqBOhug4gMeD&#10;6XpKTOaWq8WqWp5zJvGsOru4WJ6dUw9RP/3ch5jeaxhYfml4wKkSvNh9jCnTEfXTldwtgjXqzlhL&#10;RU6SvrGB7QRmQEipXZpFvLhpHRuRweKiLAndQcaggAwmYUqtGRq+KvNnzk225J1TdCUJY+d3ZGNd&#10;bq0pf0iRLNgixH2vRtbabfgmVMPPSwTjTJks6nRVzQWGM1PITZiwG9yqZDkLkH6a1FMisoUZMms+&#10;CGutkA+zK9b3YlZ7RjDPDuFtcgueyFB1xJMGm2c5TzVN7cQMUj3NgvOcW1CPOGmkQ+PEzceXHsJv&#10;zkbcoobHX1sRNGf2g8O0nC5JR6Kiyt6hlOOT9vhEOIlQDZcpoHYqbtK8rFsfzKbHXnNCHVxjxjpD&#10;03/mtU8m7goJ2+91Xsbjmm49//us/wAAAP//AwBQSwMEFAAGAAgAAAAhAF1PzbDgAAAACgEAAA8A&#10;AABkcnMvZG93bnJldi54bWxMj81OwzAQhO9IvIO1SNyok6iEJMSp+FcR4tAUcd7GJomI7SjetoGn&#10;ZznBbUczmv2mXM12EAczhd47BfEiAmFc43XvWgVv28eLDEQgdBoH74yCLxNgVZ2elFhof3Qbc6ip&#10;FVziQoEKOqKxkDI0nbEYFn40jr0PP1kkllMr9YRHLreDTKIolRZ7xx86HM1dZ5rPem8VtPck8eH7&#10;Ob6N39d18rSmF/2aK3V+Nt9cgyAz018YfvEZHSpm2vm900EMCi7znLcQG8scBAeyLOVjpyBZXqUg&#10;q1L+n1D9AAAA//8DAFBLAQItABQABgAIAAAAIQC2gziS/gAAAOEBAAATAAAAAAAAAAAAAAAAAAAA&#10;AABbQ29udGVudF9UeXBlc10ueG1sUEsBAi0AFAAGAAgAAAAhADj9If/WAAAAlAEAAAsAAAAAAAAA&#10;AAAAAAAALwEAAF9yZWxzLy5yZWxzUEsBAi0AFAAGAAgAAAAhAHmJC6twAgAAxQQAAA4AAAAAAAAA&#10;AAAAAAAALgIAAGRycy9lMm9Eb2MueG1sUEsBAi0AFAAGAAgAAAAhAF1PzbDgAAAACgEAAA8AAAAA&#10;AAAAAAAAAAAAygQAAGRycy9kb3ducmV2LnhtbFBLBQYAAAAABAAEAPMAAADXBQAAAAA=&#10;" fillcolor="#06357a [3204]" stroked="f" strokeweight="1pt">
                <v:shadow on="t" color="black" opacity="26214f" origin="-.5,-.5" offset=".74836mm,.74836mm"/>
                <v:textbox inset="1mm,.5mm,1mm,.5mm">
                  <w:txbxContent>
                    <w:p w14:paraId="187A8485" w14:textId="77777777" w:rsidR="00E13125" w:rsidRPr="003541E0" w:rsidRDefault="00E13125" w:rsidP="00E13125">
                      <w:pPr>
                        <w:spacing w:before="0" w:after="0"/>
                        <w:jc w:val="center"/>
                        <w:rPr>
                          <w:b/>
                          <w:color w:val="FFFFFF" w:themeColor="background1"/>
                          <w:sz w:val="28"/>
                          <w:szCs w:val="28"/>
                        </w:rPr>
                      </w:pPr>
                      <w:r w:rsidRPr="0078056B">
                        <w:rPr>
                          <w:b/>
                          <w:color w:val="FFFFFF" w:themeColor="background1"/>
                          <w:sz w:val="28"/>
                          <w:szCs w:val="28"/>
                        </w:rPr>
                        <w:t>The total economic impact associated with the University of Birmingham's activities in 2021-22 stood at £4.4 billion.</w:t>
                      </w:r>
                    </w:p>
                  </w:txbxContent>
                </v:textbox>
                <w10:wrap type="square" anchorx="margin"/>
              </v:shape>
            </w:pict>
          </mc:Fallback>
        </mc:AlternateContent>
      </w:r>
      <w:r w:rsidRPr="0078056B">
        <w:t xml:space="preserve">The total economic impact on the UK economy associated with the University of Birmingham’s activities in 2021-22 was estimated at approximately </w:t>
      </w:r>
      <w:r w:rsidRPr="0078056B">
        <w:rPr>
          <w:b/>
          <w:bCs/>
          <w:color w:val="06357A" w:themeColor="accent1"/>
        </w:rPr>
        <w:t>£4.4 billion</w:t>
      </w:r>
      <w:r w:rsidRPr="0078056B">
        <w:rPr>
          <w:color w:val="000000" w:themeColor="text1"/>
        </w:rPr>
        <w:t xml:space="preserve"> </w:t>
      </w:r>
      <w:r w:rsidRPr="0078056B">
        <w:t xml:space="preserve">(see </w:t>
      </w:r>
      <w:r w:rsidRPr="0078056B">
        <w:rPr>
          <w:bCs/>
        </w:rPr>
        <w:fldChar w:fldCharType="begin"/>
      </w:r>
      <w:r w:rsidRPr="0078056B">
        <w:rPr>
          <w:bCs/>
        </w:rPr>
        <w:instrText xml:space="preserve"> REF _Ref77069777 \r \h  \* MERGEFORMAT </w:instrText>
      </w:r>
      <w:r w:rsidRPr="0078056B">
        <w:rPr>
          <w:bCs/>
        </w:rPr>
      </w:r>
      <w:r w:rsidRPr="0078056B">
        <w:rPr>
          <w:bCs/>
        </w:rPr>
        <w:fldChar w:fldCharType="separate"/>
      </w:r>
      <w:r w:rsidR="00E33157" w:rsidRPr="00E33157">
        <w:t>Table 1</w:t>
      </w:r>
      <w:r w:rsidRPr="0078056B">
        <w:rPr>
          <w:bCs/>
        </w:rPr>
        <w:fldChar w:fldCharType="end"/>
      </w:r>
      <w:r w:rsidRPr="0078056B">
        <w:rPr>
          <w:bCs/>
        </w:rPr>
        <w:t>)</w:t>
      </w:r>
      <w:r w:rsidRPr="0078056B">
        <w:rPr>
          <w:rStyle w:val="FootnoteReference"/>
        </w:rPr>
        <w:footnoteReference w:id="1"/>
      </w:r>
      <w:r w:rsidRPr="0078056B">
        <w:t xml:space="preserve">. In terms of the components of this impact, the value of the University’s </w:t>
      </w:r>
      <w:r w:rsidRPr="0078056B">
        <w:rPr>
          <w:b/>
          <w:bCs/>
          <w:color w:val="06357A" w:themeColor="accent1"/>
        </w:rPr>
        <w:t>research and knowledge exchange activities</w:t>
      </w:r>
      <w:r w:rsidRPr="0078056B">
        <w:rPr>
          <w:color w:val="06357A" w:themeColor="accent1"/>
        </w:rPr>
        <w:t xml:space="preserve"> </w:t>
      </w:r>
      <w:r w:rsidRPr="0078056B">
        <w:t xml:space="preserve">stood at </w:t>
      </w:r>
      <w:r w:rsidRPr="0078056B">
        <w:rPr>
          <w:b/>
          <w:bCs/>
          <w:color w:val="06357A" w:themeColor="accent1"/>
        </w:rPr>
        <w:t>£1.4 billion</w:t>
      </w:r>
      <w:r w:rsidRPr="0078056B">
        <w:t xml:space="preserve"> (</w:t>
      </w:r>
      <w:r w:rsidRPr="0078056B">
        <w:rPr>
          <w:b/>
          <w:bCs/>
          <w:color w:val="06357A" w:themeColor="accent1"/>
        </w:rPr>
        <w:t xml:space="preserve">32% </w:t>
      </w:r>
      <w:r w:rsidRPr="0078056B">
        <w:t xml:space="preserve">of total), while the impact associated with the University’s </w:t>
      </w:r>
      <w:r w:rsidRPr="0078056B">
        <w:rPr>
          <w:b/>
          <w:bCs/>
          <w:color w:val="06357A" w:themeColor="accent1"/>
        </w:rPr>
        <w:t>teaching and learning activities</w:t>
      </w:r>
      <w:r w:rsidRPr="0078056B">
        <w:rPr>
          <w:color w:val="06357A" w:themeColor="accent1"/>
        </w:rPr>
        <w:t xml:space="preserve"> </w:t>
      </w:r>
      <w:r w:rsidRPr="0078056B">
        <w:t xml:space="preserve">accounted for </w:t>
      </w:r>
      <w:r w:rsidRPr="0078056B">
        <w:rPr>
          <w:b/>
          <w:bCs/>
          <w:color w:val="06357A" w:themeColor="accent1"/>
        </w:rPr>
        <w:t>£1.3 billion</w:t>
      </w:r>
      <w:r w:rsidRPr="0078056B">
        <w:rPr>
          <w:color w:val="06357A" w:themeColor="accent1"/>
        </w:rPr>
        <w:t xml:space="preserve"> </w:t>
      </w:r>
      <w:r w:rsidRPr="0078056B">
        <w:t>(</w:t>
      </w:r>
      <w:r w:rsidRPr="0078056B">
        <w:rPr>
          <w:b/>
          <w:bCs/>
          <w:color w:val="06357A" w:themeColor="accent1"/>
        </w:rPr>
        <w:t>31%</w:t>
      </w:r>
      <w:r w:rsidRPr="0078056B">
        <w:t xml:space="preserve">). The impact generated by the </w:t>
      </w:r>
      <w:r w:rsidRPr="0078056B">
        <w:rPr>
          <w:b/>
          <w:bCs/>
          <w:color w:val="06357A" w:themeColor="accent1"/>
        </w:rPr>
        <w:t>operating and capital expenditures of the University</w:t>
      </w:r>
      <w:r w:rsidRPr="0078056B">
        <w:rPr>
          <w:color w:val="06357A" w:themeColor="accent1"/>
        </w:rPr>
        <w:t xml:space="preserve"> </w:t>
      </w:r>
      <w:r w:rsidRPr="0078056B">
        <w:t>was</w:t>
      </w:r>
      <w:r w:rsidR="00F051D8" w:rsidRPr="0078056B">
        <w:t xml:space="preserve"> estimated to be</w:t>
      </w:r>
      <w:r w:rsidRPr="0078056B">
        <w:t xml:space="preserve"> </w:t>
      </w:r>
      <w:r w:rsidRPr="0078056B">
        <w:rPr>
          <w:b/>
          <w:bCs/>
          <w:color w:val="06357A" w:themeColor="accent1"/>
        </w:rPr>
        <w:t>£908 million</w:t>
      </w:r>
      <w:r w:rsidRPr="0078056B">
        <w:t xml:space="preserve"> (</w:t>
      </w:r>
      <w:r w:rsidRPr="0078056B">
        <w:rPr>
          <w:b/>
          <w:bCs/>
          <w:color w:val="06357A" w:themeColor="accent1"/>
        </w:rPr>
        <w:t>21%</w:t>
      </w:r>
      <w:r w:rsidRPr="0078056B">
        <w:t xml:space="preserve">), and the impact of the University’s </w:t>
      </w:r>
      <w:r w:rsidRPr="0078056B">
        <w:rPr>
          <w:b/>
          <w:bCs/>
          <w:color w:val="06357A" w:themeColor="accent1"/>
        </w:rPr>
        <w:t>international students</w:t>
      </w:r>
      <w:r w:rsidRPr="0078056B">
        <w:rPr>
          <w:color w:val="06357A" w:themeColor="accent1"/>
        </w:rPr>
        <w:t xml:space="preserve"> </w:t>
      </w:r>
      <w:r w:rsidRPr="0078056B">
        <w:t xml:space="preserve">accounted for </w:t>
      </w:r>
      <w:r w:rsidRPr="0078056B">
        <w:rPr>
          <w:b/>
          <w:bCs/>
          <w:color w:val="06357A" w:themeColor="accent1"/>
        </w:rPr>
        <w:t>£690 million</w:t>
      </w:r>
      <w:r w:rsidRPr="0078056B">
        <w:rPr>
          <w:color w:val="06357A" w:themeColor="accent1"/>
        </w:rPr>
        <w:t xml:space="preserve"> </w:t>
      </w:r>
      <w:r w:rsidRPr="0078056B">
        <w:t>(</w:t>
      </w:r>
      <w:r w:rsidRPr="0078056B">
        <w:rPr>
          <w:b/>
          <w:bCs/>
          <w:color w:val="06357A" w:themeColor="accent1"/>
        </w:rPr>
        <w:t>16%</w:t>
      </w:r>
      <w:r w:rsidRPr="0078056B">
        <w:t xml:space="preserve">). The remaining </w:t>
      </w:r>
      <w:r w:rsidRPr="0078056B">
        <w:rPr>
          <w:b/>
          <w:bCs/>
          <w:color w:val="06357A" w:themeColor="accent1"/>
        </w:rPr>
        <w:t>1%</w:t>
      </w:r>
      <w:r w:rsidRPr="0078056B">
        <w:t xml:space="preserve"> of economic impact (</w:t>
      </w:r>
      <w:r w:rsidRPr="0078056B">
        <w:rPr>
          <w:b/>
          <w:bCs/>
          <w:color w:val="06357A" w:themeColor="accent1"/>
        </w:rPr>
        <w:t>£46 million</w:t>
      </w:r>
      <w:r w:rsidRPr="0078056B">
        <w:t xml:space="preserve">) was from the impact of </w:t>
      </w:r>
      <w:r w:rsidRPr="0078056B">
        <w:rPr>
          <w:b/>
          <w:bCs/>
          <w:color w:val="06357A" w:themeColor="accent1"/>
        </w:rPr>
        <w:t>tourism</w:t>
      </w:r>
      <w:r w:rsidRPr="0078056B">
        <w:t xml:space="preserve"> activities associated with the University.</w:t>
      </w:r>
    </w:p>
    <w:p w14:paraId="13D7FC5E" w14:textId="3F676B33" w:rsidR="00392A7B" w:rsidRPr="0078056B" w:rsidRDefault="00D252CC" w:rsidP="00D252CC">
      <w:pPr>
        <w:spacing w:before="120" w:after="120"/>
      </w:pPr>
      <w:r w:rsidRPr="0078056B">
        <w:t>T</w:t>
      </w:r>
      <w:r w:rsidR="00392A7B" w:rsidRPr="0078056B">
        <w:t xml:space="preserve">here is </w:t>
      </w:r>
      <w:r w:rsidRPr="0078056B">
        <w:t xml:space="preserve">also a </w:t>
      </w:r>
      <w:r w:rsidR="00392A7B" w:rsidRPr="0078056B">
        <w:t xml:space="preserve">wide range of social and cultural impacts </w:t>
      </w:r>
      <w:r w:rsidR="003D4AAF" w:rsidRPr="0078056B">
        <w:t>arising from</w:t>
      </w:r>
      <w:r w:rsidR="00B74FA3" w:rsidRPr="0078056B">
        <w:t xml:space="preserve"> </w:t>
      </w:r>
      <w:r w:rsidR="00392A7B" w:rsidRPr="0078056B">
        <w:t>the University</w:t>
      </w:r>
      <w:r w:rsidR="00B74FA3" w:rsidRPr="0078056B">
        <w:t xml:space="preserve"> and its members</w:t>
      </w:r>
      <w:r w:rsidR="00392A7B" w:rsidRPr="0078056B">
        <w:t xml:space="preserve">. We present </w:t>
      </w:r>
      <w:r w:rsidR="00362B8E" w:rsidRPr="0078056B">
        <w:t xml:space="preserve">some of </w:t>
      </w:r>
      <w:r w:rsidR="00392A7B" w:rsidRPr="0078056B">
        <w:t>the</w:t>
      </w:r>
      <w:r w:rsidR="00362B8E" w:rsidRPr="0078056B">
        <w:t>se</w:t>
      </w:r>
      <w:r w:rsidR="00392A7B" w:rsidRPr="0078056B">
        <w:t xml:space="preserve"> wider societal benefits of the University for students and graduates (</w:t>
      </w:r>
      <w:r w:rsidR="00C8107F" w:rsidRPr="0078056B">
        <w:t xml:space="preserve">identified via </w:t>
      </w:r>
      <w:r w:rsidR="00392A7B" w:rsidRPr="0078056B">
        <w:t>a</w:t>
      </w:r>
      <w:r w:rsidR="00FE4BB7" w:rsidRPr="0078056B">
        <w:t>n</w:t>
      </w:r>
      <w:r w:rsidR="00392A7B" w:rsidRPr="0078056B">
        <w:t xml:space="preserve"> alumni</w:t>
      </w:r>
      <w:r w:rsidR="00FE4BB7" w:rsidRPr="0078056B">
        <w:t xml:space="preserve"> survey</w:t>
      </w:r>
      <w:r w:rsidR="00392A7B" w:rsidRPr="0078056B">
        <w:t xml:space="preserve">), its cultural impact </w:t>
      </w:r>
      <w:r w:rsidR="005F1A92" w:rsidRPr="0078056B">
        <w:t>(</w:t>
      </w:r>
      <w:r w:rsidR="00392A7B" w:rsidRPr="0078056B">
        <w:t>through hosting public events</w:t>
      </w:r>
      <w:r w:rsidR="005F1A92" w:rsidRPr="0078056B">
        <w:t>)</w:t>
      </w:r>
      <w:r w:rsidR="00392A7B" w:rsidRPr="0078056B">
        <w:t xml:space="preserve">, </w:t>
      </w:r>
      <w:r w:rsidR="00580FD5" w:rsidRPr="0078056B">
        <w:t xml:space="preserve">supporting </w:t>
      </w:r>
      <w:r w:rsidR="00392A7B" w:rsidRPr="0078056B">
        <w:t xml:space="preserve">the local community </w:t>
      </w:r>
      <w:r w:rsidR="005F1A92" w:rsidRPr="0078056B">
        <w:t>(</w:t>
      </w:r>
      <w:r w:rsidR="00392A7B" w:rsidRPr="0078056B">
        <w:t>through volunteering</w:t>
      </w:r>
      <w:r w:rsidR="005F1A92" w:rsidRPr="0078056B">
        <w:t>)</w:t>
      </w:r>
      <w:r w:rsidR="00580FD5" w:rsidRPr="0078056B">
        <w:t>, and the University’s environmental impact.</w:t>
      </w:r>
    </w:p>
    <w:p w14:paraId="64A1CE0B" w14:textId="77777777" w:rsidR="00E13125" w:rsidRPr="0078056B" w:rsidRDefault="00E13125" w:rsidP="00D252CC">
      <w:pPr>
        <w:pStyle w:val="TableTitle"/>
        <w:spacing w:before="120" w:after="120"/>
      </w:pPr>
      <w:bookmarkStart w:id="9" w:name="_Ref77069777"/>
      <w:bookmarkStart w:id="10" w:name="_Toc81580474"/>
      <w:bookmarkStart w:id="11" w:name="_Toc138171562"/>
      <w:bookmarkStart w:id="12" w:name="_Toc161676198"/>
      <w:bookmarkStart w:id="13" w:name="_Toc168652156"/>
      <w:r w:rsidRPr="0078056B">
        <w:t>Total economic impact of the University of Birmingham’s activities in the UK in 2021-22 (£m and % of total)</w:t>
      </w:r>
      <w:bookmarkEnd w:id="9"/>
      <w:bookmarkEnd w:id="10"/>
      <w:bookmarkEnd w:id="11"/>
      <w:bookmarkEnd w:id="12"/>
      <w:bookmarkEnd w:id="13"/>
    </w:p>
    <w:tbl>
      <w:tblPr>
        <w:tblW w:w="5000" w:type="pct"/>
        <w:tblBorders>
          <w:top w:val="single" w:sz="4" w:space="0" w:color="BFBFBF"/>
          <w:bottom w:val="single" w:sz="4" w:space="0" w:color="BFBFBF"/>
          <w:insideH w:val="single" w:sz="4" w:space="0" w:color="BFBFBF"/>
          <w:insideV w:val="single" w:sz="4" w:space="0" w:color="BFBFBF"/>
        </w:tblBorders>
        <w:tblCellMar>
          <w:left w:w="0" w:type="dxa"/>
          <w:right w:w="0" w:type="dxa"/>
        </w:tblCellMar>
        <w:tblLook w:val="0000" w:firstRow="0" w:lastRow="0" w:firstColumn="0" w:lastColumn="0" w:noHBand="0" w:noVBand="0"/>
      </w:tblPr>
      <w:tblGrid>
        <w:gridCol w:w="1121"/>
        <w:gridCol w:w="4125"/>
        <w:gridCol w:w="1799"/>
        <w:gridCol w:w="1799"/>
      </w:tblGrid>
      <w:tr w:rsidR="00E13125" w:rsidRPr="0078056B" w14:paraId="7C8D7D59" w14:textId="77777777" w:rsidTr="000A186C">
        <w:trPr>
          <w:trHeight w:val="283"/>
        </w:trPr>
        <w:tc>
          <w:tcPr>
            <w:tcW w:w="2966" w:type="pct"/>
            <w:gridSpan w:val="2"/>
            <w:tcBorders>
              <w:top w:val="single" w:sz="4" w:space="0" w:color="06357A"/>
              <w:bottom w:val="single" w:sz="4" w:space="0" w:color="06357A"/>
            </w:tcBorders>
            <w:vAlign w:val="center"/>
          </w:tcPr>
          <w:p w14:paraId="2E6A7B00" w14:textId="77777777" w:rsidR="00E13125" w:rsidRPr="0078056B" w:rsidRDefault="00E13125" w:rsidP="000A186C">
            <w:pPr>
              <w:keepNext/>
              <w:spacing w:before="0" w:after="0"/>
              <w:ind w:left="57" w:right="57"/>
              <w:jc w:val="left"/>
              <w:rPr>
                <w:rFonts w:asciiTheme="minorHAnsi" w:hAnsiTheme="minorHAnsi" w:cstheme="minorHAnsi"/>
                <w:b/>
                <w:color w:val="06357A" w:themeColor="accent1"/>
                <w:sz w:val="20"/>
                <w:szCs w:val="20"/>
              </w:rPr>
            </w:pPr>
            <w:r w:rsidRPr="0078056B">
              <w:rPr>
                <w:rFonts w:asciiTheme="minorHAnsi" w:hAnsiTheme="minorHAnsi" w:cstheme="minorHAnsi"/>
                <w:b/>
                <w:color w:val="06357A" w:themeColor="accent1"/>
                <w:sz w:val="20"/>
                <w:szCs w:val="20"/>
              </w:rPr>
              <w:t>Type of impact</w:t>
            </w:r>
          </w:p>
        </w:tc>
        <w:tc>
          <w:tcPr>
            <w:tcW w:w="1017" w:type="pct"/>
            <w:tcBorders>
              <w:top w:val="single" w:sz="4" w:space="0" w:color="06357A"/>
              <w:bottom w:val="single" w:sz="4" w:space="0" w:color="06357A"/>
            </w:tcBorders>
            <w:shd w:val="clear" w:color="auto" w:fill="auto"/>
            <w:vAlign w:val="center"/>
          </w:tcPr>
          <w:p w14:paraId="45FD8445" w14:textId="77777777" w:rsidR="00E13125" w:rsidRPr="0078056B" w:rsidRDefault="00E13125" w:rsidP="000A186C">
            <w:pPr>
              <w:keepNext/>
              <w:spacing w:before="0" w:after="0"/>
              <w:ind w:left="57" w:right="57"/>
              <w:jc w:val="center"/>
              <w:rPr>
                <w:rFonts w:asciiTheme="minorHAnsi" w:hAnsiTheme="minorHAnsi" w:cstheme="minorHAnsi"/>
                <w:b/>
                <w:color w:val="06357A" w:themeColor="accent1"/>
                <w:sz w:val="20"/>
                <w:szCs w:val="20"/>
              </w:rPr>
            </w:pPr>
            <w:r w:rsidRPr="0078056B">
              <w:rPr>
                <w:rFonts w:asciiTheme="minorHAnsi" w:hAnsiTheme="minorHAnsi" w:cstheme="minorHAnsi"/>
                <w:b/>
                <w:color w:val="06357A" w:themeColor="accent1"/>
                <w:sz w:val="20"/>
                <w:szCs w:val="20"/>
              </w:rPr>
              <w:t>£m</w:t>
            </w:r>
          </w:p>
        </w:tc>
        <w:tc>
          <w:tcPr>
            <w:tcW w:w="1017" w:type="pct"/>
            <w:tcBorders>
              <w:top w:val="single" w:sz="4" w:space="0" w:color="06357A"/>
              <w:bottom w:val="single" w:sz="4" w:space="0" w:color="06357A"/>
              <w:right w:val="nil"/>
            </w:tcBorders>
            <w:shd w:val="clear" w:color="auto" w:fill="auto"/>
            <w:vAlign w:val="center"/>
          </w:tcPr>
          <w:p w14:paraId="29C819AB" w14:textId="77777777" w:rsidR="00E13125" w:rsidRPr="0078056B" w:rsidRDefault="00E13125" w:rsidP="000A186C">
            <w:pPr>
              <w:keepNext/>
              <w:spacing w:before="0" w:after="0"/>
              <w:ind w:left="57" w:right="57"/>
              <w:jc w:val="center"/>
              <w:rPr>
                <w:rFonts w:asciiTheme="minorHAnsi" w:hAnsiTheme="minorHAnsi" w:cstheme="minorHAnsi"/>
                <w:b/>
                <w:color w:val="06357A" w:themeColor="accent1"/>
                <w:sz w:val="20"/>
                <w:szCs w:val="20"/>
              </w:rPr>
            </w:pPr>
            <w:r w:rsidRPr="0078056B">
              <w:rPr>
                <w:rFonts w:asciiTheme="minorHAnsi" w:hAnsiTheme="minorHAnsi" w:cstheme="minorHAnsi"/>
                <w:b/>
                <w:color w:val="06357A" w:themeColor="accent1"/>
                <w:sz w:val="20"/>
                <w:szCs w:val="20"/>
              </w:rPr>
              <w:t>%</w:t>
            </w:r>
          </w:p>
        </w:tc>
      </w:tr>
      <w:tr w:rsidR="00E13125" w:rsidRPr="0078056B" w14:paraId="5006DBEF" w14:textId="77777777" w:rsidTr="000A186C">
        <w:trPr>
          <w:trHeight w:val="283"/>
        </w:trPr>
        <w:tc>
          <w:tcPr>
            <w:tcW w:w="634" w:type="pct"/>
            <w:vMerge w:val="restart"/>
            <w:tcBorders>
              <w:top w:val="single" w:sz="4" w:space="0" w:color="06357A"/>
            </w:tcBorders>
            <w:shd w:val="clear" w:color="auto" w:fill="auto"/>
            <w:vAlign w:val="center"/>
          </w:tcPr>
          <w:p w14:paraId="5B0EC36E" w14:textId="77777777" w:rsidR="00E13125" w:rsidRPr="0078056B" w:rsidRDefault="00E13125" w:rsidP="000A186C">
            <w:pPr>
              <w:keepNext/>
              <w:spacing w:before="0" w:after="0"/>
              <w:ind w:left="57" w:right="57"/>
              <w:jc w:val="center"/>
              <w:rPr>
                <w:sz w:val="20"/>
                <w:szCs w:val="20"/>
              </w:rPr>
            </w:pPr>
            <w:r w:rsidRPr="0078056B">
              <w:rPr>
                <w:noProof/>
                <w:sz w:val="20"/>
                <w:szCs w:val="20"/>
                <w:lang w:eastAsia="en-GB"/>
              </w:rPr>
              <w:drawing>
                <wp:inline distT="0" distB="0" distL="0" distR="0" wp14:anchorId="6611B852" wp14:editId="50D91A33">
                  <wp:extent cx="468000" cy="468000"/>
                  <wp:effectExtent l="0" t="0" r="825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468000" cy="468000"/>
                          </a:xfrm>
                          <a:prstGeom prst="rect">
                            <a:avLst/>
                          </a:prstGeom>
                        </pic:spPr>
                      </pic:pic>
                    </a:graphicData>
                  </a:graphic>
                </wp:inline>
              </w:drawing>
            </w:r>
          </w:p>
        </w:tc>
        <w:tc>
          <w:tcPr>
            <w:tcW w:w="2332" w:type="pct"/>
            <w:tcBorders>
              <w:top w:val="single" w:sz="4" w:space="0" w:color="06357A"/>
              <w:bottom w:val="single" w:sz="4" w:space="0" w:color="06357A"/>
            </w:tcBorders>
            <w:shd w:val="clear" w:color="auto" w:fill="06357A" w:themeFill="text2"/>
            <w:vAlign w:val="bottom"/>
          </w:tcPr>
          <w:p w14:paraId="606C35CA" w14:textId="77777777" w:rsidR="00E13125" w:rsidRPr="0078056B" w:rsidRDefault="00E13125" w:rsidP="000A186C">
            <w:pPr>
              <w:keepNext/>
              <w:spacing w:before="0" w:after="0"/>
              <w:ind w:left="57" w:right="57"/>
              <w:jc w:val="left"/>
              <w:rPr>
                <w:rFonts w:asciiTheme="minorHAnsi" w:hAnsiTheme="minorHAnsi" w:cstheme="minorHAnsi"/>
                <w:b/>
                <w:color w:val="FFFFFF" w:themeColor="background1"/>
                <w:sz w:val="20"/>
                <w:szCs w:val="20"/>
              </w:rPr>
            </w:pPr>
            <w:r w:rsidRPr="0078056B">
              <w:rPr>
                <w:rFonts w:asciiTheme="minorHAnsi" w:hAnsiTheme="minorHAnsi" w:cstheme="minorHAnsi"/>
                <w:b/>
                <w:bCs/>
                <w:color w:val="FFFFFF"/>
                <w:sz w:val="20"/>
                <w:szCs w:val="20"/>
              </w:rPr>
              <w:t>Impact of research and knowledge exchange</w:t>
            </w:r>
          </w:p>
        </w:tc>
        <w:tc>
          <w:tcPr>
            <w:tcW w:w="1017" w:type="pct"/>
            <w:tcBorders>
              <w:top w:val="single" w:sz="4" w:space="0" w:color="06357A"/>
              <w:bottom w:val="single" w:sz="4" w:space="0" w:color="06357A"/>
            </w:tcBorders>
            <w:shd w:val="clear" w:color="auto" w:fill="06357A" w:themeFill="text2"/>
            <w:vAlign w:val="center"/>
          </w:tcPr>
          <w:p w14:paraId="325876A0" w14:textId="77777777" w:rsidR="00E13125" w:rsidRPr="0078056B" w:rsidRDefault="00E13125" w:rsidP="000A186C">
            <w:pPr>
              <w:keepNext/>
              <w:spacing w:before="0" w:after="0"/>
              <w:ind w:left="57" w:right="57"/>
              <w:jc w:val="center"/>
              <w:rPr>
                <w:rFonts w:asciiTheme="minorHAnsi" w:hAnsiTheme="minorHAnsi" w:cstheme="minorHAnsi"/>
                <w:color w:val="FFFFFF" w:themeColor="background1"/>
                <w:sz w:val="20"/>
                <w:szCs w:val="20"/>
              </w:rPr>
            </w:pPr>
            <w:r w:rsidRPr="0078056B">
              <w:rPr>
                <w:rFonts w:asciiTheme="minorHAnsi" w:hAnsiTheme="minorHAnsi" w:cstheme="minorHAnsi"/>
                <w:b/>
                <w:bCs/>
                <w:color w:val="FFFFFF"/>
                <w:sz w:val="20"/>
                <w:szCs w:val="20"/>
              </w:rPr>
              <w:t xml:space="preserve">£1,399m </w:t>
            </w:r>
          </w:p>
        </w:tc>
        <w:tc>
          <w:tcPr>
            <w:tcW w:w="1017" w:type="pct"/>
            <w:tcBorders>
              <w:top w:val="single" w:sz="4" w:space="0" w:color="06357A"/>
              <w:bottom w:val="single" w:sz="4" w:space="0" w:color="06357A"/>
              <w:right w:val="nil"/>
            </w:tcBorders>
            <w:shd w:val="clear" w:color="auto" w:fill="06357A" w:themeFill="text2"/>
            <w:vAlign w:val="center"/>
          </w:tcPr>
          <w:p w14:paraId="06CBB5B7" w14:textId="77777777" w:rsidR="00E13125" w:rsidRPr="0078056B" w:rsidRDefault="00E13125" w:rsidP="000A186C">
            <w:pPr>
              <w:keepNext/>
              <w:spacing w:before="0" w:after="0"/>
              <w:ind w:left="57" w:right="57"/>
              <w:jc w:val="center"/>
              <w:rPr>
                <w:rFonts w:asciiTheme="minorHAnsi" w:hAnsiTheme="minorHAnsi" w:cstheme="minorHAnsi"/>
                <w:color w:val="FFFFFF" w:themeColor="background1"/>
                <w:sz w:val="20"/>
                <w:szCs w:val="20"/>
              </w:rPr>
            </w:pPr>
            <w:r w:rsidRPr="0078056B">
              <w:rPr>
                <w:rFonts w:asciiTheme="minorHAnsi" w:hAnsiTheme="minorHAnsi" w:cstheme="minorHAnsi"/>
                <w:b/>
                <w:bCs/>
                <w:color w:val="FFFFFF"/>
                <w:sz w:val="20"/>
                <w:szCs w:val="20"/>
              </w:rPr>
              <w:t>32%</w:t>
            </w:r>
          </w:p>
        </w:tc>
      </w:tr>
      <w:tr w:rsidR="00E13125" w:rsidRPr="0078056B" w14:paraId="29B0B818" w14:textId="77777777" w:rsidTr="000A186C">
        <w:trPr>
          <w:trHeight w:val="283"/>
        </w:trPr>
        <w:tc>
          <w:tcPr>
            <w:tcW w:w="634" w:type="pct"/>
            <w:vMerge/>
            <w:shd w:val="clear" w:color="auto" w:fill="auto"/>
            <w:vAlign w:val="center"/>
          </w:tcPr>
          <w:p w14:paraId="32305157" w14:textId="77777777" w:rsidR="00E13125" w:rsidRPr="0078056B" w:rsidRDefault="00E13125" w:rsidP="000A186C">
            <w:pPr>
              <w:keepNext/>
              <w:spacing w:before="0" w:after="0"/>
              <w:ind w:left="57" w:right="57"/>
              <w:jc w:val="center"/>
              <w:rPr>
                <w:sz w:val="20"/>
                <w:szCs w:val="20"/>
              </w:rPr>
            </w:pPr>
          </w:p>
        </w:tc>
        <w:tc>
          <w:tcPr>
            <w:tcW w:w="2332" w:type="pct"/>
            <w:tcBorders>
              <w:top w:val="single" w:sz="4" w:space="0" w:color="06357A"/>
              <w:bottom w:val="single" w:sz="4" w:space="0" w:color="BFBFBF" w:themeColor="background1" w:themeShade="BF"/>
            </w:tcBorders>
            <w:shd w:val="clear" w:color="auto" w:fill="auto"/>
            <w:vAlign w:val="bottom"/>
          </w:tcPr>
          <w:p w14:paraId="02AD5791" w14:textId="77777777" w:rsidR="00E13125" w:rsidRPr="0078056B" w:rsidRDefault="00E13125" w:rsidP="000A186C">
            <w:pPr>
              <w:keepNext/>
              <w:spacing w:before="0" w:after="0"/>
              <w:ind w:left="57" w:right="57"/>
              <w:jc w:val="left"/>
              <w:rPr>
                <w:rFonts w:asciiTheme="minorHAnsi" w:hAnsiTheme="minorHAnsi" w:cstheme="minorHAnsi"/>
                <w:sz w:val="20"/>
                <w:szCs w:val="20"/>
              </w:rPr>
            </w:pPr>
            <w:r w:rsidRPr="0078056B">
              <w:rPr>
                <w:rFonts w:asciiTheme="minorHAnsi" w:hAnsiTheme="minorHAnsi" w:cstheme="minorHAnsi"/>
                <w:color w:val="000000"/>
                <w:sz w:val="20"/>
                <w:szCs w:val="20"/>
              </w:rPr>
              <w:t>Research activities</w:t>
            </w:r>
          </w:p>
        </w:tc>
        <w:tc>
          <w:tcPr>
            <w:tcW w:w="1017" w:type="pct"/>
            <w:tcBorders>
              <w:top w:val="single" w:sz="4" w:space="0" w:color="06357A"/>
              <w:bottom w:val="single" w:sz="4" w:space="0" w:color="BFBFBF" w:themeColor="background1" w:themeShade="BF"/>
            </w:tcBorders>
            <w:shd w:val="clear" w:color="auto" w:fill="auto"/>
            <w:vAlign w:val="center"/>
          </w:tcPr>
          <w:p w14:paraId="4F050ACD"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asciiTheme="minorHAnsi" w:hAnsiTheme="minorHAnsi" w:cstheme="minorHAnsi"/>
                <w:sz w:val="20"/>
                <w:szCs w:val="20"/>
              </w:rPr>
              <w:t xml:space="preserve">£1,051m </w:t>
            </w:r>
          </w:p>
        </w:tc>
        <w:tc>
          <w:tcPr>
            <w:tcW w:w="1017" w:type="pct"/>
            <w:tcBorders>
              <w:top w:val="single" w:sz="4" w:space="0" w:color="06357A"/>
              <w:bottom w:val="single" w:sz="4" w:space="0" w:color="BFBFBF" w:themeColor="background1" w:themeShade="BF"/>
              <w:right w:val="nil"/>
            </w:tcBorders>
            <w:shd w:val="clear" w:color="auto" w:fill="auto"/>
            <w:vAlign w:val="center"/>
          </w:tcPr>
          <w:p w14:paraId="0F7C2C00"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asciiTheme="minorHAnsi" w:hAnsiTheme="minorHAnsi" w:cstheme="minorHAnsi"/>
                <w:sz w:val="20"/>
                <w:szCs w:val="20"/>
              </w:rPr>
              <w:t>24%</w:t>
            </w:r>
          </w:p>
        </w:tc>
      </w:tr>
      <w:tr w:rsidR="00E13125" w:rsidRPr="0078056B" w14:paraId="7BA80F30" w14:textId="77777777" w:rsidTr="000A186C">
        <w:trPr>
          <w:trHeight w:val="283"/>
        </w:trPr>
        <w:tc>
          <w:tcPr>
            <w:tcW w:w="634" w:type="pct"/>
            <w:vMerge/>
            <w:tcBorders>
              <w:bottom w:val="single" w:sz="4" w:space="0" w:color="06357A"/>
            </w:tcBorders>
            <w:shd w:val="clear" w:color="auto" w:fill="auto"/>
            <w:vAlign w:val="center"/>
          </w:tcPr>
          <w:p w14:paraId="7B933E1E" w14:textId="77777777" w:rsidR="00E13125" w:rsidRPr="0078056B" w:rsidRDefault="00E13125" w:rsidP="000A186C">
            <w:pPr>
              <w:keepNext/>
              <w:spacing w:before="0" w:after="0"/>
              <w:ind w:left="57" w:right="57"/>
              <w:jc w:val="center"/>
              <w:rPr>
                <w:sz w:val="20"/>
                <w:szCs w:val="20"/>
              </w:rPr>
            </w:pPr>
          </w:p>
        </w:tc>
        <w:tc>
          <w:tcPr>
            <w:tcW w:w="2332" w:type="pct"/>
            <w:tcBorders>
              <w:bottom w:val="single" w:sz="4" w:space="0" w:color="06357A"/>
            </w:tcBorders>
            <w:shd w:val="clear" w:color="auto" w:fill="auto"/>
            <w:vAlign w:val="bottom"/>
          </w:tcPr>
          <w:p w14:paraId="5AC2F716" w14:textId="77777777" w:rsidR="00E13125" w:rsidRPr="0078056B" w:rsidRDefault="00E13125" w:rsidP="000A186C">
            <w:pPr>
              <w:keepNext/>
              <w:spacing w:before="0" w:after="0"/>
              <w:ind w:left="57" w:right="57"/>
              <w:jc w:val="left"/>
              <w:rPr>
                <w:rFonts w:asciiTheme="minorHAnsi" w:hAnsiTheme="minorHAnsi" w:cstheme="minorHAnsi"/>
                <w:sz w:val="20"/>
                <w:szCs w:val="20"/>
              </w:rPr>
            </w:pPr>
            <w:r w:rsidRPr="0078056B">
              <w:rPr>
                <w:rFonts w:asciiTheme="minorHAnsi" w:hAnsiTheme="minorHAnsi" w:cstheme="minorHAnsi"/>
                <w:color w:val="000000"/>
                <w:sz w:val="20"/>
                <w:szCs w:val="20"/>
              </w:rPr>
              <w:t>Knowledge exchange activities</w:t>
            </w:r>
          </w:p>
        </w:tc>
        <w:tc>
          <w:tcPr>
            <w:tcW w:w="1017" w:type="pct"/>
            <w:tcBorders>
              <w:bottom w:val="single" w:sz="4" w:space="0" w:color="06357A"/>
            </w:tcBorders>
            <w:shd w:val="clear" w:color="auto" w:fill="auto"/>
            <w:vAlign w:val="center"/>
          </w:tcPr>
          <w:p w14:paraId="048E004E"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asciiTheme="minorHAnsi" w:hAnsiTheme="minorHAnsi" w:cstheme="minorHAnsi"/>
                <w:sz w:val="20"/>
                <w:szCs w:val="20"/>
              </w:rPr>
              <w:t xml:space="preserve">£348m </w:t>
            </w:r>
          </w:p>
        </w:tc>
        <w:tc>
          <w:tcPr>
            <w:tcW w:w="1017" w:type="pct"/>
            <w:tcBorders>
              <w:bottom w:val="single" w:sz="4" w:space="0" w:color="06357A"/>
              <w:right w:val="nil"/>
            </w:tcBorders>
            <w:shd w:val="clear" w:color="auto" w:fill="auto"/>
            <w:vAlign w:val="center"/>
          </w:tcPr>
          <w:p w14:paraId="56AE66BC"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asciiTheme="minorHAnsi" w:hAnsiTheme="minorHAnsi" w:cstheme="minorHAnsi"/>
                <w:sz w:val="20"/>
                <w:szCs w:val="20"/>
              </w:rPr>
              <w:t>8%</w:t>
            </w:r>
          </w:p>
        </w:tc>
      </w:tr>
      <w:tr w:rsidR="00E13125" w:rsidRPr="0078056B" w14:paraId="1D7377A0" w14:textId="77777777" w:rsidTr="000A186C">
        <w:trPr>
          <w:trHeight w:val="283"/>
        </w:trPr>
        <w:tc>
          <w:tcPr>
            <w:tcW w:w="634" w:type="pct"/>
            <w:vMerge w:val="restart"/>
            <w:tcBorders>
              <w:top w:val="single" w:sz="4" w:space="0" w:color="06357A"/>
            </w:tcBorders>
            <w:shd w:val="clear" w:color="auto" w:fill="auto"/>
            <w:vAlign w:val="center"/>
          </w:tcPr>
          <w:p w14:paraId="795B9CEB" w14:textId="77777777" w:rsidR="00E13125" w:rsidRPr="0078056B" w:rsidRDefault="00E13125" w:rsidP="000A186C">
            <w:pPr>
              <w:keepNext/>
              <w:spacing w:before="0" w:after="0"/>
              <w:ind w:left="57" w:right="57"/>
              <w:jc w:val="center"/>
              <w:rPr>
                <w:b/>
                <w:bCs/>
                <w:sz w:val="20"/>
                <w:szCs w:val="20"/>
              </w:rPr>
            </w:pPr>
            <w:r w:rsidRPr="0078056B">
              <w:rPr>
                <w:b/>
                <w:bCs/>
                <w:noProof/>
                <w:sz w:val="20"/>
                <w:szCs w:val="20"/>
                <w:lang w:eastAsia="en-GB"/>
              </w:rPr>
              <w:drawing>
                <wp:inline distT="0" distB="0" distL="0" distR="0" wp14:anchorId="33CEEC65" wp14:editId="244FBEAD">
                  <wp:extent cx="429841" cy="385979"/>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429841" cy="385979"/>
                          </a:xfrm>
                          <a:prstGeom prst="rect">
                            <a:avLst/>
                          </a:prstGeom>
                        </pic:spPr>
                      </pic:pic>
                    </a:graphicData>
                  </a:graphic>
                </wp:inline>
              </w:drawing>
            </w:r>
          </w:p>
        </w:tc>
        <w:tc>
          <w:tcPr>
            <w:tcW w:w="2332" w:type="pct"/>
            <w:tcBorders>
              <w:top w:val="single" w:sz="4" w:space="0" w:color="06357A"/>
              <w:bottom w:val="single" w:sz="4" w:space="0" w:color="06357A"/>
            </w:tcBorders>
            <w:shd w:val="clear" w:color="auto" w:fill="06357A" w:themeFill="text2"/>
            <w:vAlign w:val="bottom"/>
          </w:tcPr>
          <w:p w14:paraId="4A9FE692" w14:textId="77777777" w:rsidR="00E13125" w:rsidRPr="0078056B" w:rsidRDefault="00E13125" w:rsidP="000A186C">
            <w:pPr>
              <w:keepNext/>
              <w:spacing w:before="0" w:after="0"/>
              <w:ind w:left="57" w:right="57"/>
              <w:jc w:val="left"/>
              <w:rPr>
                <w:rFonts w:asciiTheme="minorHAnsi" w:hAnsiTheme="minorHAnsi" w:cstheme="minorHAnsi"/>
                <w:b/>
                <w:color w:val="FFFFFF" w:themeColor="background1"/>
                <w:sz w:val="20"/>
                <w:szCs w:val="20"/>
              </w:rPr>
            </w:pPr>
            <w:r w:rsidRPr="0078056B">
              <w:rPr>
                <w:rFonts w:asciiTheme="minorHAnsi" w:hAnsiTheme="minorHAnsi" w:cstheme="minorHAnsi"/>
                <w:b/>
                <w:bCs/>
                <w:color w:val="FFFFFF"/>
                <w:sz w:val="20"/>
                <w:szCs w:val="20"/>
              </w:rPr>
              <w:t>Impact of teaching and learning</w:t>
            </w:r>
          </w:p>
        </w:tc>
        <w:tc>
          <w:tcPr>
            <w:tcW w:w="1017" w:type="pct"/>
            <w:tcBorders>
              <w:top w:val="single" w:sz="4" w:space="0" w:color="06357A"/>
              <w:bottom w:val="single" w:sz="4" w:space="0" w:color="06357A"/>
            </w:tcBorders>
            <w:shd w:val="clear" w:color="auto" w:fill="06357A" w:themeFill="text2"/>
            <w:vAlign w:val="center"/>
          </w:tcPr>
          <w:p w14:paraId="735D4AF9" w14:textId="77777777" w:rsidR="00E13125" w:rsidRPr="0078056B" w:rsidRDefault="00E13125" w:rsidP="000A186C">
            <w:pPr>
              <w:keepNext/>
              <w:spacing w:before="0" w:after="0"/>
              <w:ind w:left="57" w:right="57"/>
              <w:jc w:val="center"/>
              <w:rPr>
                <w:rFonts w:asciiTheme="minorHAnsi" w:hAnsiTheme="minorHAnsi" w:cstheme="minorHAnsi"/>
                <w:color w:val="FFFFFF" w:themeColor="background1"/>
                <w:sz w:val="20"/>
                <w:szCs w:val="20"/>
              </w:rPr>
            </w:pPr>
            <w:r w:rsidRPr="0078056B">
              <w:rPr>
                <w:rFonts w:asciiTheme="minorHAnsi" w:hAnsiTheme="minorHAnsi" w:cstheme="minorHAnsi"/>
                <w:b/>
                <w:bCs/>
                <w:color w:val="FFFFFF"/>
                <w:sz w:val="20"/>
                <w:szCs w:val="20"/>
              </w:rPr>
              <w:t xml:space="preserve">£1,346m </w:t>
            </w:r>
          </w:p>
        </w:tc>
        <w:tc>
          <w:tcPr>
            <w:tcW w:w="1017" w:type="pct"/>
            <w:tcBorders>
              <w:top w:val="single" w:sz="4" w:space="0" w:color="06357A"/>
              <w:bottom w:val="single" w:sz="4" w:space="0" w:color="06357A"/>
              <w:right w:val="nil"/>
            </w:tcBorders>
            <w:shd w:val="clear" w:color="auto" w:fill="06357A" w:themeFill="text2"/>
            <w:vAlign w:val="center"/>
          </w:tcPr>
          <w:p w14:paraId="5D122DCA" w14:textId="77777777" w:rsidR="00E13125" w:rsidRPr="0078056B" w:rsidRDefault="00E13125" w:rsidP="000A186C">
            <w:pPr>
              <w:keepNext/>
              <w:spacing w:before="0" w:after="0"/>
              <w:ind w:left="57" w:right="57"/>
              <w:jc w:val="center"/>
              <w:rPr>
                <w:rFonts w:asciiTheme="minorHAnsi" w:hAnsiTheme="minorHAnsi" w:cstheme="minorHAnsi"/>
                <w:color w:val="FFFFFF" w:themeColor="background1"/>
                <w:sz w:val="20"/>
                <w:szCs w:val="20"/>
              </w:rPr>
            </w:pPr>
            <w:r w:rsidRPr="0078056B">
              <w:rPr>
                <w:rFonts w:asciiTheme="minorHAnsi" w:hAnsiTheme="minorHAnsi" w:cstheme="minorHAnsi"/>
                <w:b/>
                <w:bCs/>
                <w:color w:val="FFFFFF"/>
                <w:sz w:val="20"/>
                <w:szCs w:val="20"/>
              </w:rPr>
              <w:t>31%</w:t>
            </w:r>
          </w:p>
        </w:tc>
      </w:tr>
      <w:tr w:rsidR="00E13125" w:rsidRPr="0078056B" w14:paraId="485E706A" w14:textId="77777777" w:rsidTr="000A186C">
        <w:trPr>
          <w:trHeight w:val="283"/>
        </w:trPr>
        <w:tc>
          <w:tcPr>
            <w:tcW w:w="634" w:type="pct"/>
            <w:vMerge/>
            <w:shd w:val="clear" w:color="auto" w:fill="auto"/>
            <w:vAlign w:val="center"/>
          </w:tcPr>
          <w:p w14:paraId="71C0F569" w14:textId="77777777" w:rsidR="00E13125" w:rsidRPr="0078056B" w:rsidRDefault="00E13125" w:rsidP="000A186C">
            <w:pPr>
              <w:keepNext/>
              <w:spacing w:before="0" w:after="0"/>
              <w:ind w:left="57" w:right="57"/>
              <w:jc w:val="center"/>
              <w:rPr>
                <w:sz w:val="20"/>
                <w:szCs w:val="20"/>
              </w:rPr>
            </w:pPr>
          </w:p>
        </w:tc>
        <w:tc>
          <w:tcPr>
            <w:tcW w:w="2332" w:type="pct"/>
            <w:tcBorders>
              <w:top w:val="single" w:sz="4" w:space="0" w:color="BFBFBF" w:themeColor="background1" w:themeShade="BF"/>
            </w:tcBorders>
            <w:shd w:val="clear" w:color="auto" w:fill="auto"/>
            <w:vAlign w:val="bottom"/>
          </w:tcPr>
          <w:p w14:paraId="1293B781" w14:textId="77777777" w:rsidR="00E13125" w:rsidRPr="0078056B" w:rsidRDefault="00E13125" w:rsidP="000A186C">
            <w:pPr>
              <w:keepNext/>
              <w:spacing w:before="0" w:after="0"/>
              <w:ind w:left="57" w:right="57"/>
              <w:jc w:val="left"/>
              <w:rPr>
                <w:rFonts w:asciiTheme="minorHAnsi" w:hAnsiTheme="minorHAnsi" w:cstheme="minorHAnsi"/>
                <w:sz w:val="20"/>
                <w:szCs w:val="20"/>
              </w:rPr>
            </w:pPr>
            <w:r w:rsidRPr="0078056B">
              <w:rPr>
                <w:rFonts w:asciiTheme="minorHAnsi" w:hAnsiTheme="minorHAnsi" w:cstheme="minorHAnsi"/>
                <w:color w:val="000000"/>
                <w:sz w:val="20"/>
                <w:szCs w:val="20"/>
              </w:rPr>
              <w:t>Students</w:t>
            </w:r>
          </w:p>
        </w:tc>
        <w:tc>
          <w:tcPr>
            <w:tcW w:w="1017" w:type="pct"/>
            <w:tcBorders>
              <w:top w:val="single" w:sz="4" w:space="0" w:color="BFBFBF" w:themeColor="background1" w:themeShade="BF"/>
            </w:tcBorders>
            <w:shd w:val="clear" w:color="auto" w:fill="auto"/>
            <w:vAlign w:val="center"/>
          </w:tcPr>
          <w:p w14:paraId="47F39B2B"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asciiTheme="minorHAnsi" w:hAnsiTheme="minorHAnsi" w:cstheme="minorHAnsi"/>
                <w:sz w:val="20"/>
                <w:szCs w:val="20"/>
              </w:rPr>
              <w:t xml:space="preserve">£674m </w:t>
            </w:r>
          </w:p>
        </w:tc>
        <w:tc>
          <w:tcPr>
            <w:tcW w:w="1017" w:type="pct"/>
            <w:tcBorders>
              <w:top w:val="single" w:sz="4" w:space="0" w:color="BFBFBF" w:themeColor="background1" w:themeShade="BF"/>
              <w:right w:val="nil"/>
            </w:tcBorders>
            <w:shd w:val="clear" w:color="auto" w:fill="auto"/>
            <w:vAlign w:val="center"/>
          </w:tcPr>
          <w:p w14:paraId="67948926"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asciiTheme="minorHAnsi" w:hAnsiTheme="minorHAnsi" w:cstheme="minorHAnsi"/>
                <w:sz w:val="20"/>
                <w:szCs w:val="20"/>
              </w:rPr>
              <w:t>15%</w:t>
            </w:r>
          </w:p>
        </w:tc>
      </w:tr>
      <w:tr w:rsidR="00E13125" w:rsidRPr="0078056B" w14:paraId="3E6A9A17" w14:textId="77777777" w:rsidTr="000A186C">
        <w:trPr>
          <w:trHeight w:val="283"/>
        </w:trPr>
        <w:tc>
          <w:tcPr>
            <w:tcW w:w="634" w:type="pct"/>
            <w:vMerge/>
            <w:tcBorders>
              <w:bottom w:val="single" w:sz="4" w:space="0" w:color="06357A"/>
            </w:tcBorders>
            <w:shd w:val="clear" w:color="auto" w:fill="auto"/>
            <w:vAlign w:val="center"/>
          </w:tcPr>
          <w:p w14:paraId="6A0B64C7" w14:textId="77777777" w:rsidR="00E13125" w:rsidRPr="0078056B" w:rsidRDefault="00E13125" w:rsidP="000A186C">
            <w:pPr>
              <w:keepNext/>
              <w:spacing w:before="0" w:after="0"/>
              <w:ind w:left="57" w:right="57"/>
              <w:jc w:val="center"/>
              <w:rPr>
                <w:sz w:val="20"/>
                <w:szCs w:val="20"/>
              </w:rPr>
            </w:pPr>
          </w:p>
        </w:tc>
        <w:tc>
          <w:tcPr>
            <w:tcW w:w="2332" w:type="pct"/>
            <w:tcBorders>
              <w:bottom w:val="single" w:sz="4" w:space="0" w:color="06357A"/>
            </w:tcBorders>
            <w:shd w:val="clear" w:color="auto" w:fill="auto"/>
            <w:vAlign w:val="bottom"/>
          </w:tcPr>
          <w:p w14:paraId="52261111" w14:textId="77777777" w:rsidR="00E13125" w:rsidRPr="0078056B" w:rsidRDefault="00E13125" w:rsidP="000A186C">
            <w:pPr>
              <w:keepNext/>
              <w:spacing w:before="0" w:after="0"/>
              <w:ind w:left="57" w:right="57"/>
              <w:jc w:val="left"/>
              <w:rPr>
                <w:rFonts w:asciiTheme="minorHAnsi" w:hAnsiTheme="minorHAnsi" w:cstheme="minorHAnsi"/>
                <w:sz w:val="20"/>
                <w:szCs w:val="20"/>
              </w:rPr>
            </w:pPr>
            <w:r w:rsidRPr="0078056B">
              <w:rPr>
                <w:rFonts w:asciiTheme="minorHAnsi" w:hAnsiTheme="minorHAnsi" w:cstheme="minorHAnsi"/>
                <w:color w:val="000000"/>
                <w:sz w:val="20"/>
                <w:szCs w:val="20"/>
              </w:rPr>
              <w:t>Exchequer</w:t>
            </w:r>
          </w:p>
        </w:tc>
        <w:tc>
          <w:tcPr>
            <w:tcW w:w="1017" w:type="pct"/>
            <w:tcBorders>
              <w:bottom w:val="single" w:sz="4" w:space="0" w:color="06357A"/>
            </w:tcBorders>
            <w:shd w:val="clear" w:color="auto" w:fill="auto"/>
            <w:vAlign w:val="center"/>
          </w:tcPr>
          <w:p w14:paraId="19698CCC"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asciiTheme="minorHAnsi" w:hAnsiTheme="minorHAnsi" w:cstheme="minorHAnsi"/>
                <w:sz w:val="20"/>
                <w:szCs w:val="20"/>
              </w:rPr>
              <w:t xml:space="preserve">£671m </w:t>
            </w:r>
          </w:p>
        </w:tc>
        <w:tc>
          <w:tcPr>
            <w:tcW w:w="1017" w:type="pct"/>
            <w:tcBorders>
              <w:bottom w:val="single" w:sz="4" w:space="0" w:color="06357A"/>
              <w:right w:val="nil"/>
            </w:tcBorders>
            <w:shd w:val="clear" w:color="auto" w:fill="auto"/>
            <w:vAlign w:val="center"/>
          </w:tcPr>
          <w:p w14:paraId="014B3CDD"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asciiTheme="minorHAnsi" w:hAnsiTheme="minorHAnsi" w:cstheme="minorHAnsi"/>
                <w:sz w:val="20"/>
                <w:szCs w:val="20"/>
              </w:rPr>
              <w:t>15%</w:t>
            </w:r>
          </w:p>
        </w:tc>
      </w:tr>
      <w:tr w:rsidR="00E13125" w:rsidRPr="0078056B" w14:paraId="4C7E5724" w14:textId="77777777" w:rsidTr="000A186C">
        <w:trPr>
          <w:trHeight w:val="283"/>
        </w:trPr>
        <w:tc>
          <w:tcPr>
            <w:tcW w:w="634" w:type="pct"/>
            <w:vMerge w:val="restart"/>
            <w:tcBorders>
              <w:top w:val="single" w:sz="4" w:space="0" w:color="06357A"/>
            </w:tcBorders>
            <w:shd w:val="clear" w:color="auto" w:fill="auto"/>
            <w:vAlign w:val="center"/>
          </w:tcPr>
          <w:p w14:paraId="1AA639DA" w14:textId="77777777" w:rsidR="00E13125" w:rsidRPr="0078056B" w:rsidRDefault="00E13125" w:rsidP="000A186C">
            <w:pPr>
              <w:keepNext/>
              <w:spacing w:before="0" w:after="0"/>
              <w:ind w:left="57" w:right="57"/>
              <w:jc w:val="center"/>
              <w:rPr>
                <w:sz w:val="20"/>
                <w:szCs w:val="20"/>
              </w:rPr>
            </w:pPr>
            <w:r w:rsidRPr="0078056B">
              <w:rPr>
                <w:noProof/>
                <w:sz w:val="20"/>
                <w:szCs w:val="20"/>
                <w:lang w:eastAsia="en-GB"/>
              </w:rPr>
              <w:drawing>
                <wp:inline distT="0" distB="0" distL="0" distR="0" wp14:anchorId="2252C07A" wp14:editId="5BAEC2B0">
                  <wp:extent cx="344656" cy="42220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bwMode="auto">
                          <a:xfrm>
                            <a:off x="0" y="0"/>
                            <a:ext cx="344656" cy="422203"/>
                          </a:xfrm>
                          <a:prstGeom prst="rect">
                            <a:avLst/>
                          </a:prstGeom>
                        </pic:spPr>
                      </pic:pic>
                    </a:graphicData>
                  </a:graphic>
                </wp:inline>
              </w:drawing>
            </w:r>
          </w:p>
        </w:tc>
        <w:tc>
          <w:tcPr>
            <w:tcW w:w="2332" w:type="pct"/>
            <w:tcBorders>
              <w:top w:val="single" w:sz="4" w:space="0" w:color="06357A"/>
              <w:bottom w:val="single" w:sz="4" w:space="0" w:color="06357A"/>
            </w:tcBorders>
            <w:shd w:val="clear" w:color="auto" w:fill="06357A" w:themeFill="text2"/>
            <w:vAlign w:val="bottom"/>
          </w:tcPr>
          <w:p w14:paraId="760628CC" w14:textId="77777777" w:rsidR="00E13125" w:rsidRPr="0078056B" w:rsidRDefault="00E13125" w:rsidP="000A186C">
            <w:pPr>
              <w:keepNext/>
              <w:spacing w:before="0" w:after="0"/>
              <w:ind w:left="57" w:right="57"/>
              <w:jc w:val="left"/>
              <w:rPr>
                <w:rFonts w:asciiTheme="minorHAnsi" w:hAnsiTheme="minorHAnsi" w:cstheme="minorHAnsi"/>
                <w:b/>
                <w:color w:val="FFFFFF" w:themeColor="background1"/>
                <w:sz w:val="20"/>
                <w:szCs w:val="20"/>
              </w:rPr>
            </w:pPr>
            <w:r w:rsidRPr="0078056B">
              <w:rPr>
                <w:rFonts w:asciiTheme="minorHAnsi" w:hAnsiTheme="minorHAnsi" w:cstheme="minorHAnsi"/>
                <w:b/>
                <w:bCs/>
                <w:color w:val="FFFFFF"/>
                <w:sz w:val="20"/>
                <w:szCs w:val="20"/>
              </w:rPr>
              <w:t>Impact of international students</w:t>
            </w:r>
          </w:p>
        </w:tc>
        <w:tc>
          <w:tcPr>
            <w:tcW w:w="1017" w:type="pct"/>
            <w:tcBorders>
              <w:top w:val="single" w:sz="4" w:space="0" w:color="06357A"/>
              <w:bottom w:val="single" w:sz="4" w:space="0" w:color="06357A"/>
            </w:tcBorders>
            <w:shd w:val="clear" w:color="auto" w:fill="06357A" w:themeFill="text2"/>
            <w:vAlign w:val="center"/>
          </w:tcPr>
          <w:p w14:paraId="65581AAF" w14:textId="77777777" w:rsidR="00E13125" w:rsidRPr="0078056B" w:rsidRDefault="00E13125" w:rsidP="000A186C">
            <w:pPr>
              <w:keepNext/>
              <w:spacing w:before="0" w:after="0"/>
              <w:ind w:left="57" w:right="57"/>
              <w:jc w:val="center"/>
              <w:rPr>
                <w:rFonts w:asciiTheme="minorHAnsi" w:hAnsiTheme="minorHAnsi" w:cstheme="minorHAnsi"/>
                <w:color w:val="FFFFFF" w:themeColor="background1"/>
                <w:sz w:val="20"/>
                <w:szCs w:val="20"/>
              </w:rPr>
            </w:pPr>
            <w:r w:rsidRPr="0078056B">
              <w:rPr>
                <w:rFonts w:asciiTheme="minorHAnsi" w:hAnsiTheme="minorHAnsi" w:cstheme="minorHAnsi"/>
                <w:b/>
                <w:bCs/>
                <w:color w:val="FFFFFF"/>
                <w:sz w:val="20"/>
                <w:szCs w:val="20"/>
              </w:rPr>
              <w:t xml:space="preserve">£690m </w:t>
            </w:r>
          </w:p>
        </w:tc>
        <w:tc>
          <w:tcPr>
            <w:tcW w:w="1017" w:type="pct"/>
            <w:tcBorders>
              <w:top w:val="single" w:sz="4" w:space="0" w:color="06357A"/>
              <w:bottom w:val="single" w:sz="4" w:space="0" w:color="06357A"/>
              <w:right w:val="nil"/>
            </w:tcBorders>
            <w:shd w:val="clear" w:color="auto" w:fill="06357A" w:themeFill="text2"/>
            <w:vAlign w:val="center"/>
          </w:tcPr>
          <w:p w14:paraId="0004A018" w14:textId="77777777" w:rsidR="00E13125" w:rsidRPr="0078056B" w:rsidRDefault="00E13125" w:rsidP="000A186C">
            <w:pPr>
              <w:keepNext/>
              <w:spacing w:before="0" w:after="0"/>
              <w:ind w:left="57" w:right="57"/>
              <w:jc w:val="center"/>
              <w:rPr>
                <w:rFonts w:asciiTheme="minorHAnsi" w:hAnsiTheme="minorHAnsi" w:cstheme="minorHAnsi"/>
                <w:color w:val="FFFFFF" w:themeColor="background1"/>
                <w:sz w:val="20"/>
                <w:szCs w:val="20"/>
              </w:rPr>
            </w:pPr>
            <w:r w:rsidRPr="0078056B">
              <w:rPr>
                <w:rFonts w:asciiTheme="minorHAnsi" w:hAnsiTheme="minorHAnsi" w:cstheme="minorHAnsi"/>
                <w:b/>
                <w:bCs/>
                <w:color w:val="FFFFFF"/>
                <w:sz w:val="20"/>
                <w:szCs w:val="20"/>
              </w:rPr>
              <w:t>16%</w:t>
            </w:r>
          </w:p>
        </w:tc>
      </w:tr>
      <w:tr w:rsidR="00E13125" w:rsidRPr="0078056B" w14:paraId="2BBD5C19" w14:textId="77777777" w:rsidTr="000A186C">
        <w:trPr>
          <w:trHeight w:val="283"/>
        </w:trPr>
        <w:tc>
          <w:tcPr>
            <w:tcW w:w="634" w:type="pct"/>
            <w:vMerge/>
            <w:shd w:val="clear" w:color="auto" w:fill="auto"/>
            <w:vAlign w:val="center"/>
          </w:tcPr>
          <w:p w14:paraId="25E1D02E" w14:textId="77777777" w:rsidR="00E13125" w:rsidRPr="0078056B" w:rsidRDefault="00E13125" w:rsidP="000A186C">
            <w:pPr>
              <w:keepNext/>
              <w:spacing w:before="0" w:after="0"/>
              <w:ind w:left="57" w:right="57"/>
              <w:jc w:val="center"/>
              <w:rPr>
                <w:sz w:val="20"/>
                <w:szCs w:val="20"/>
              </w:rPr>
            </w:pPr>
          </w:p>
        </w:tc>
        <w:tc>
          <w:tcPr>
            <w:tcW w:w="2332" w:type="pct"/>
            <w:tcBorders>
              <w:top w:val="single" w:sz="4" w:space="0" w:color="06357A"/>
            </w:tcBorders>
            <w:shd w:val="clear" w:color="auto" w:fill="auto"/>
            <w:vAlign w:val="bottom"/>
          </w:tcPr>
          <w:p w14:paraId="62FC3CB7" w14:textId="77777777" w:rsidR="00E13125" w:rsidRPr="0078056B" w:rsidRDefault="00E13125" w:rsidP="000A186C">
            <w:pPr>
              <w:keepNext/>
              <w:spacing w:before="0" w:after="0"/>
              <w:ind w:left="57" w:right="57"/>
              <w:jc w:val="left"/>
              <w:rPr>
                <w:rFonts w:asciiTheme="minorHAnsi" w:hAnsiTheme="minorHAnsi" w:cstheme="minorHAnsi"/>
                <w:sz w:val="20"/>
                <w:szCs w:val="20"/>
              </w:rPr>
            </w:pPr>
            <w:r w:rsidRPr="0078056B">
              <w:rPr>
                <w:rFonts w:asciiTheme="minorHAnsi" w:hAnsiTheme="minorHAnsi" w:cstheme="minorHAnsi"/>
                <w:color w:val="000000"/>
                <w:sz w:val="20"/>
                <w:szCs w:val="20"/>
              </w:rPr>
              <w:t>Tuition fee income</w:t>
            </w:r>
          </w:p>
        </w:tc>
        <w:tc>
          <w:tcPr>
            <w:tcW w:w="1017" w:type="pct"/>
            <w:tcBorders>
              <w:top w:val="single" w:sz="4" w:space="0" w:color="06357A"/>
            </w:tcBorders>
            <w:shd w:val="clear" w:color="auto" w:fill="auto"/>
            <w:vAlign w:val="center"/>
          </w:tcPr>
          <w:p w14:paraId="01B227AE"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asciiTheme="minorHAnsi" w:hAnsiTheme="minorHAnsi" w:cstheme="minorHAnsi"/>
                <w:sz w:val="20"/>
                <w:szCs w:val="20"/>
              </w:rPr>
              <w:t xml:space="preserve">£363m </w:t>
            </w:r>
          </w:p>
        </w:tc>
        <w:tc>
          <w:tcPr>
            <w:tcW w:w="1017" w:type="pct"/>
            <w:tcBorders>
              <w:top w:val="single" w:sz="4" w:space="0" w:color="06357A"/>
              <w:right w:val="nil"/>
            </w:tcBorders>
            <w:shd w:val="clear" w:color="auto" w:fill="auto"/>
            <w:vAlign w:val="center"/>
          </w:tcPr>
          <w:p w14:paraId="2AA8E09B"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asciiTheme="minorHAnsi" w:hAnsiTheme="minorHAnsi" w:cstheme="minorHAnsi"/>
                <w:sz w:val="20"/>
                <w:szCs w:val="20"/>
              </w:rPr>
              <w:t>8%</w:t>
            </w:r>
          </w:p>
        </w:tc>
      </w:tr>
      <w:tr w:rsidR="00E13125" w:rsidRPr="0078056B" w14:paraId="3F88C580" w14:textId="77777777" w:rsidTr="000A186C">
        <w:trPr>
          <w:trHeight w:val="283"/>
        </w:trPr>
        <w:tc>
          <w:tcPr>
            <w:tcW w:w="634" w:type="pct"/>
            <w:vMerge/>
            <w:tcBorders>
              <w:bottom w:val="single" w:sz="4" w:space="0" w:color="06357A"/>
            </w:tcBorders>
            <w:shd w:val="clear" w:color="auto" w:fill="auto"/>
            <w:vAlign w:val="center"/>
          </w:tcPr>
          <w:p w14:paraId="1A8307FF" w14:textId="77777777" w:rsidR="00E13125" w:rsidRPr="0078056B" w:rsidRDefault="00E13125" w:rsidP="000A186C">
            <w:pPr>
              <w:keepNext/>
              <w:spacing w:before="0" w:after="0"/>
              <w:ind w:left="57" w:right="57"/>
              <w:jc w:val="center"/>
              <w:rPr>
                <w:sz w:val="20"/>
                <w:szCs w:val="20"/>
              </w:rPr>
            </w:pPr>
          </w:p>
        </w:tc>
        <w:tc>
          <w:tcPr>
            <w:tcW w:w="2332" w:type="pct"/>
            <w:tcBorders>
              <w:bottom w:val="single" w:sz="4" w:space="0" w:color="06357A"/>
            </w:tcBorders>
            <w:shd w:val="clear" w:color="auto" w:fill="auto"/>
            <w:vAlign w:val="bottom"/>
          </w:tcPr>
          <w:p w14:paraId="2FD67E1B" w14:textId="77777777" w:rsidR="00E13125" w:rsidRPr="0078056B" w:rsidRDefault="00E13125" w:rsidP="000A186C">
            <w:pPr>
              <w:keepNext/>
              <w:spacing w:before="0" w:after="0"/>
              <w:ind w:left="57" w:right="57"/>
              <w:jc w:val="left"/>
              <w:rPr>
                <w:rFonts w:asciiTheme="minorHAnsi" w:hAnsiTheme="minorHAnsi" w:cstheme="minorHAnsi"/>
                <w:sz w:val="20"/>
                <w:szCs w:val="20"/>
              </w:rPr>
            </w:pPr>
            <w:r w:rsidRPr="0078056B">
              <w:rPr>
                <w:rFonts w:asciiTheme="minorHAnsi" w:hAnsiTheme="minorHAnsi" w:cstheme="minorHAnsi"/>
                <w:color w:val="000000"/>
                <w:sz w:val="20"/>
                <w:szCs w:val="20"/>
              </w:rPr>
              <w:t>Non-tuition fee income</w:t>
            </w:r>
          </w:p>
        </w:tc>
        <w:tc>
          <w:tcPr>
            <w:tcW w:w="1017" w:type="pct"/>
            <w:tcBorders>
              <w:bottom w:val="single" w:sz="4" w:space="0" w:color="06357A"/>
            </w:tcBorders>
            <w:shd w:val="clear" w:color="auto" w:fill="auto"/>
            <w:vAlign w:val="center"/>
          </w:tcPr>
          <w:p w14:paraId="52B09BB0"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asciiTheme="minorHAnsi" w:hAnsiTheme="minorHAnsi" w:cstheme="minorHAnsi"/>
                <w:sz w:val="20"/>
                <w:szCs w:val="20"/>
              </w:rPr>
              <w:t xml:space="preserve">£327m </w:t>
            </w:r>
          </w:p>
        </w:tc>
        <w:tc>
          <w:tcPr>
            <w:tcW w:w="1017" w:type="pct"/>
            <w:tcBorders>
              <w:bottom w:val="single" w:sz="4" w:space="0" w:color="06357A"/>
              <w:right w:val="nil"/>
            </w:tcBorders>
            <w:shd w:val="clear" w:color="auto" w:fill="auto"/>
            <w:vAlign w:val="center"/>
          </w:tcPr>
          <w:p w14:paraId="5C518C86"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asciiTheme="minorHAnsi" w:hAnsiTheme="minorHAnsi" w:cstheme="minorHAnsi"/>
                <w:sz w:val="20"/>
                <w:szCs w:val="20"/>
              </w:rPr>
              <w:t>7%</w:t>
            </w:r>
          </w:p>
        </w:tc>
      </w:tr>
      <w:tr w:rsidR="00E13125" w:rsidRPr="0078056B" w14:paraId="78E86F2E" w14:textId="77777777" w:rsidTr="000A186C">
        <w:trPr>
          <w:trHeight w:val="283"/>
        </w:trPr>
        <w:tc>
          <w:tcPr>
            <w:tcW w:w="634" w:type="pct"/>
            <w:vMerge w:val="restart"/>
            <w:tcBorders>
              <w:top w:val="single" w:sz="4" w:space="0" w:color="06357A"/>
            </w:tcBorders>
            <w:shd w:val="clear" w:color="auto" w:fill="auto"/>
            <w:vAlign w:val="center"/>
          </w:tcPr>
          <w:p w14:paraId="7D0D8AA6" w14:textId="77777777" w:rsidR="00E13125" w:rsidRPr="0078056B" w:rsidRDefault="00E13125" w:rsidP="000A186C">
            <w:pPr>
              <w:keepNext/>
              <w:spacing w:before="0" w:after="0"/>
              <w:ind w:left="57" w:right="57"/>
              <w:jc w:val="center"/>
              <w:rPr>
                <w:sz w:val="20"/>
                <w:szCs w:val="20"/>
              </w:rPr>
            </w:pPr>
            <w:r w:rsidRPr="0078056B">
              <w:rPr>
                <w:noProof/>
                <w:sz w:val="20"/>
                <w:szCs w:val="20"/>
                <w:lang w:eastAsia="en-GB"/>
              </w:rPr>
              <w:drawing>
                <wp:inline distT="0" distB="0" distL="0" distR="0" wp14:anchorId="5A6FC6E2" wp14:editId="0D2DA9FD">
                  <wp:extent cx="406080" cy="432000"/>
                  <wp:effectExtent l="0" t="0" r="0" b="6350"/>
                  <wp:docPr id="413807989" name="Picture 41380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07989" name="Picture 413807989"/>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406080" cy="432000"/>
                          </a:xfrm>
                          <a:prstGeom prst="rect">
                            <a:avLst/>
                          </a:prstGeom>
                        </pic:spPr>
                      </pic:pic>
                    </a:graphicData>
                  </a:graphic>
                </wp:inline>
              </w:drawing>
            </w:r>
          </w:p>
        </w:tc>
        <w:tc>
          <w:tcPr>
            <w:tcW w:w="2332" w:type="pct"/>
            <w:tcBorders>
              <w:top w:val="single" w:sz="4" w:space="0" w:color="06357A"/>
              <w:bottom w:val="single" w:sz="4" w:space="0" w:color="06357A"/>
            </w:tcBorders>
            <w:shd w:val="clear" w:color="auto" w:fill="06357A" w:themeFill="text2"/>
            <w:vAlign w:val="bottom"/>
          </w:tcPr>
          <w:p w14:paraId="0B8D09A1" w14:textId="77777777" w:rsidR="00E13125" w:rsidRPr="0078056B" w:rsidRDefault="00E13125" w:rsidP="000A186C">
            <w:pPr>
              <w:keepNext/>
              <w:spacing w:before="0" w:after="0"/>
              <w:ind w:left="57" w:right="57"/>
              <w:jc w:val="left"/>
              <w:rPr>
                <w:rFonts w:asciiTheme="minorHAnsi" w:hAnsiTheme="minorHAnsi" w:cstheme="minorHAnsi"/>
                <w:b/>
                <w:color w:val="FFFFFF" w:themeColor="background1"/>
                <w:sz w:val="20"/>
                <w:szCs w:val="20"/>
              </w:rPr>
            </w:pPr>
            <w:r w:rsidRPr="0078056B">
              <w:rPr>
                <w:rFonts w:asciiTheme="minorHAnsi" w:hAnsiTheme="minorHAnsi" w:cstheme="minorHAnsi"/>
                <w:b/>
                <w:bCs/>
                <w:color w:val="FFFFFF"/>
                <w:sz w:val="20"/>
                <w:szCs w:val="20"/>
              </w:rPr>
              <w:t>Impact of the University's spending</w:t>
            </w:r>
          </w:p>
        </w:tc>
        <w:tc>
          <w:tcPr>
            <w:tcW w:w="1017" w:type="pct"/>
            <w:tcBorders>
              <w:top w:val="single" w:sz="4" w:space="0" w:color="06357A"/>
              <w:bottom w:val="single" w:sz="4" w:space="0" w:color="06357A"/>
            </w:tcBorders>
            <w:shd w:val="clear" w:color="auto" w:fill="06357A" w:themeFill="text2"/>
            <w:vAlign w:val="center"/>
          </w:tcPr>
          <w:p w14:paraId="3CB71AC3" w14:textId="77777777" w:rsidR="00E13125" w:rsidRPr="0078056B" w:rsidRDefault="00E13125" w:rsidP="000A186C">
            <w:pPr>
              <w:keepNext/>
              <w:spacing w:before="0" w:after="0"/>
              <w:ind w:left="57" w:right="57"/>
              <w:jc w:val="center"/>
              <w:rPr>
                <w:rFonts w:asciiTheme="minorHAnsi" w:hAnsiTheme="minorHAnsi" w:cstheme="minorHAnsi"/>
                <w:b/>
                <w:color w:val="FFFFFF" w:themeColor="background1"/>
                <w:sz w:val="20"/>
                <w:szCs w:val="20"/>
              </w:rPr>
            </w:pPr>
            <w:r w:rsidRPr="0078056B">
              <w:rPr>
                <w:rFonts w:asciiTheme="minorHAnsi" w:hAnsiTheme="minorHAnsi" w:cstheme="minorHAnsi"/>
                <w:b/>
                <w:bCs/>
                <w:color w:val="FFFFFF"/>
                <w:sz w:val="20"/>
                <w:szCs w:val="20"/>
              </w:rPr>
              <w:t xml:space="preserve">£908m </w:t>
            </w:r>
          </w:p>
        </w:tc>
        <w:tc>
          <w:tcPr>
            <w:tcW w:w="1017" w:type="pct"/>
            <w:tcBorders>
              <w:top w:val="single" w:sz="4" w:space="0" w:color="06357A"/>
              <w:bottom w:val="single" w:sz="4" w:space="0" w:color="06357A"/>
              <w:right w:val="nil"/>
            </w:tcBorders>
            <w:shd w:val="clear" w:color="auto" w:fill="06357A" w:themeFill="text2"/>
            <w:vAlign w:val="center"/>
          </w:tcPr>
          <w:p w14:paraId="578A8A4C" w14:textId="77777777" w:rsidR="00E13125" w:rsidRPr="0078056B" w:rsidRDefault="00E13125" w:rsidP="000A186C">
            <w:pPr>
              <w:keepNext/>
              <w:spacing w:before="0" w:after="0"/>
              <w:ind w:left="57" w:right="57"/>
              <w:jc w:val="center"/>
              <w:rPr>
                <w:rFonts w:asciiTheme="minorHAnsi" w:hAnsiTheme="minorHAnsi" w:cstheme="minorHAnsi"/>
                <w:color w:val="FFFFFF" w:themeColor="background1"/>
                <w:sz w:val="20"/>
                <w:szCs w:val="20"/>
              </w:rPr>
            </w:pPr>
            <w:r w:rsidRPr="0078056B">
              <w:rPr>
                <w:rFonts w:asciiTheme="minorHAnsi" w:hAnsiTheme="minorHAnsi" w:cstheme="minorHAnsi"/>
                <w:b/>
                <w:bCs/>
                <w:color w:val="FFFFFF"/>
                <w:sz w:val="20"/>
                <w:szCs w:val="20"/>
              </w:rPr>
              <w:t>21%</w:t>
            </w:r>
          </w:p>
        </w:tc>
      </w:tr>
      <w:tr w:rsidR="00E13125" w:rsidRPr="0078056B" w14:paraId="69A1A8D2" w14:textId="77777777" w:rsidTr="000A186C">
        <w:trPr>
          <w:trHeight w:val="283"/>
        </w:trPr>
        <w:tc>
          <w:tcPr>
            <w:tcW w:w="634" w:type="pct"/>
            <w:vMerge/>
            <w:shd w:val="clear" w:color="auto" w:fill="auto"/>
            <w:vAlign w:val="center"/>
          </w:tcPr>
          <w:p w14:paraId="07FE354B" w14:textId="77777777" w:rsidR="00E13125" w:rsidRPr="0078056B" w:rsidRDefault="00E13125" w:rsidP="000A186C">
            <w:pPr>
              <w:keepNext/>
              <w:spacing w:before="0" w:after="0"/>
              <w:ind w:left="57" w:right="57"/>
              <w:jc w:val="center"/>
              <w:rPr>
                <w:sz w:val="20"/>
                <w:szCs w:val="20"/>
              </w:rPr>
            </w:pPr>
          </w:p>
        </w:tc>
        <w:tc>
          <w:tcPr>
            <w:tcW w:w="2332" w:type="pct"/>
            <w:tcBorders>
              <w:top w:val="single" w:sz="4" w:space="0" w:color="06357A"/>
              <w:bottom w:val="single" w:sz="4" w:space="0" w:color="BFBFBF" w:themeColor="background1" w:themeShade="BF"/>
            </w:tcBorders>
            <w:shd w:val="clear" w:color="auto" w:fill="auto"/>
            <w:vAlign w:val="bottom"/>
          </w:tcPr>
          <w:p w14:paraId="3E4F4235" w14:textId="77777777" w:rsidR="00E13125" w:rsidRPr="0078056B" w:rsidRDefault="00E13125" w:rsidP="000A186C">
            <w:pPr>
              <w:keepNext/>
              <w:spacing w:before="0" w:after="0"/>
              <w:ind w:left="57" w:right="57"/>
              <w:jc w:val="left"/>
              <w:rPr>
                <w:rFonts w:asciiTheme="minorHAnsi" w:hAnsiTheme="minorHAnsi" w:cstheme="minorHAnsi"/>
                <w:sz w:val="20"/>
                <w:szCs w:val="20"/>
              </w:rPr>
            </w:pPr>
            <w:r w:rsidRPr="0078056B">
              <w:rPr>
                <w:rFonts w:asciiTheme="minorHAnsi" w:hAnsiTheme="minorHAnsi" w:cstheme="minorHAnsi"/>
                <w:color w:val="000000"/>
                <w:sz w:val="20"/>
                <w:szCs w:val="20"/>
              </w:rPr>
              <w:t>Direct impact</w:t>
            </w:r>
          </w:p>
        </w:tc>
        <w:tc>
          <w:tcPr>
            <w:tcW w:w="1017" w:type="pct"/>
            <w:tcBorders>
              <w:top w:val="single" w:sz="4" w:space="0" w:color="06357A"/>
              <w:bottom w:val="single" w:sz="4" w:space="0" w:color="BFBFBF" w:themeColor="background1" w:themeShade="BF"/>
            </w:tcBorders>
            <w:shd w:val="clear" w:color="auto" w:fill="auto"/>
            <w:vAlign w:val="center"/>
          </w:tcPr>
          <w:p w14:paraId="01ABBB6E"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asciiTheme="minorHAnsi" w:hAnsiTheme="minorHAnsi" w:cstheme="minorHAnsi"/>
                <w:sz w:val="20"/>
                <w:szCs w:val="20"/>
              </w:rPr>
              <w:t xml:space="preserve">£398m </w:t>
            </w:r>
          </w:p>
        </w:tc>
        <w:tc>
          <w:tcPr>
            <w:tcW w:w="1017" w:type="pct"/>
            <w:tcBorders>
              <w:top w:val="single" w:sz="4" w:space="0" w:color="06357A"/>
              <w:bottom w:val="single" w:sz="4" w:space="0" w:color="BFBFBF" w:themeColor="background1" w:themeShade="BF"/>
              <w:right w:val="nil"/>
            </w:tcBorders>
            <w:shd w:val="clear" w:color="auto" w:fill="auto"/>
            <w:vAlign w:val="center"/>
          </w:tcPr>
          <w:p w14:paraId="34422C13"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asciiTheme="minorHAnsi" w:hAnsiTheme="minorHAnsi" w:cstheme="minorHAnsi"/>
                <w:sz w:val="20"/>
                <w:szCs w:val="20"/>
              </w:rPr>
              <w:t>9%</w:t>
            </w:r>
          </w:p>
        </w:tc>
      </w:tr>
      <w:tr w:rsidR="00E13125" w:rsidRPr="0078056B" w14:paraId="711C4D77" w14:textId="77777777" w:rsidTr="00C0122A">
        <w:trPr>
          <w:trHeight w:val="283"/>
        </w:trPr>
        <w:tc>
          <w:tcPr>
            <w:tcW w:w="634" w:type="pct"/>
            <w:vMerge/>
            <w:tcBorders>
              <w:bottom w:val="single" w:sz="4" w:space="0" w:color="06357A"/>
            </w:tcBorders>
            <w:shd w:val="clear" w:color="auto" w:fill="auto"/>
            <w:vAlign w:val="center"/>
          </w:tcPr>
          <w:p w14:paraId="79D681E9" w14:textId="77777777" w:rsidR="00E13125" w:rsidRPr="0078056B" w:rsidRDefault="00E13125" w:rsidP="000A186C">
            <w:pPr>
              <w:keepNext/>
              <w:spacing w:before="0" w:after="0"/>
              <w:ind w:left="57" w:right="57"/>
              <w:jc w:val="center"/>
              <w:rPr>
                <w:sz w:val="20"/>
                <w:szCs w:val="20"/>
              </w:rPr>
            </w:pPr>
          </w:p>
        </w:tc>
        <w:tc>
          <w:tcPr>
            <w:tcW w:w="2332" w:type="pct"/>
            <w:tcBorders>
              <w:bottom w:val="single" w:sz="4" w:space="0" w:color="06357A"/>
            </w:tcBorders>
            <w:shd w:val="clear" w:color="auto" w:fill="auto"/>
            <w:vAlign w:val="bottom"/>
          </w:tcPr>
          <w:p w14:paraId="3542D0FD" w14:textId="77777777" w:rsidR="00E13125" w:rsidRPr="0078056B" w:rsidRDefault="00E13125" w:rsidP="000A186C">
            <w:pPr>
              <w:keepNext/>
              <w:spacing w:before="0" w:after="0"/>
              <w:ind w:left="57" w:right="57"/>
              <w:jc w:val="left"/>
              <w:rPr>
                <w:rFonts w:asciiTheme="minorHAnsi" w:hAnsiTheme="minorHAnsi" w:cstheme="minorHAnsi"/>
                <w:sz w:val="20"/>
                <w:szCs w:val="20"/>
              </w:rPr>
            </w:pPr>
            <w:r w:rsidRPr="0078056B">
              <w:rPr>
                <w:rFonts w:asciiTheme="minorHAnsi" w:hAnsiTheme="minorHAnsi" w:cstheme="minorHAnsi"/>
                <w:color w:val="000000"/>
                <w:sz w:val="20"/>
                <w:szCs w:val="20"/>
              </w:rPr>
              <w:t>Indirect and induced impact</w:t>
            </w:r>
          </w:p>
        </w:tc>
        <w:tc>
          <w:tcPr>
            <w:tcW w:w="1017" w:type="pct"/>
            <w:tcBorders>
              <w:bottom w:val="single" w:sz="4" w:space="0" w:color="06357A"/>
            </w:tcBorders>
            <w:shd w:val="clear" w:color="auto" w:fill="auto"/>
            <w:vAlign w:val="center"/>
          </w:tcPr>
          <w:p w14:paraId="5F5851CD"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asciiTheme="minorHAnsi" w:hAnsiTheme="minorHAnsi" w:cstheme="minorHAnsi"/>
                <w:sz w:val="20"/>
                <w:szCs w:val="20"/>
              </w:rPr>
              <w:t xml:space="preserve">£510m </w:t>
            </w:r>
          </w:p>
        </w:tc>
        <w:tc>
          <w:tcPr>
            <w:tcW w:w="1017" w:type="pct"/>
            <w:tcBorders>
              <w:bottom w:val="single" w:sz="4" w:space="0" w:color="06357A"/>
              <w:right w:val="nil"/>
            </w:tcBorders>
            <w:shd w:val="clear" w:color="auto" w:fill="auto"/>
            <w:vAlign w:val="center"/>
          </w:tcPr>
          <w:p w14:paraId="5A4701C8"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asciiTheme="minorHAnsi" w:hAnsiTheme="minorHAnsi" w:cstheme="minorHAnsi"/>
                <w:sz w:val="20"/>
                <w:szCs w:val="20"/>
              </w:rPr>
              <w:t>12%</w:t>
            </w:r>
          </w:p>
        </w:tc>
      </w:tr>
      <w:tr w:rsidR="00E13125" w:rsidRPr="0078056B" w14:paraId="75085C8F" w14:textId="77777777" w:rsidTr="00C0122A">
        <w:trPr>
          <w:trHeight w:val="283"/>
        </w:trPr>
        <w:tc>
          <w:tcPr>
            <w:tcW w:w="634" w:type="pct"/>
            <w:vMerge w:val="restart"/>
            <w:shd w:val="clear" w:color="auto" w:fill="auto"/>
            <w:vAlign w:val="center"/>
          </w:tcPr>
          <w:p w14:paraId="65D4B914" w14:textId="77777777" w:rsidR="00E13125" w:rsidRPr="0078056B" w:rsidRDefault="00E13125" w:rsidP="000A186C">
            <w:pPr>
              <w:keepNext/>
              <w:spacing w:before="0" w:after="0"/>
              <w:ind w:left="57" w:right="57"/>
              <w:jc w:val="center"/>
              <w:rPr>
                <w:sz w:val="20"/>
                <w:szCs w:val="20"/>
              </w:rPr>
            </w:pPr>
            <w:r w:rsidRPr="0078056B">
              <w:rPr>
                <w:noProof/>
                <w:sz w:val="20"/>
                <w:szCs w:val="20"/>
              </w:rPr>
              <w:drawing>
                <wp:inline distT="0" distB="0" distL="0" distR="0" wp14:anchorId="2BDF193E" wp14:editId="28D81A32">
                  <wp:extent cx="540000" cy="540000"/>
                  <wp:effectExtent l="0" t="0" r="0" b="0"/>
                  <wp:docPr id="3" name="Graphic 2" descr="Marker">
                    <a:extLst xmlns:a="http://schemas.openxmlformats.org/drawingml/2006/main">
                      <a:ext uri="{FF2B5EF4-FFF2-40B4-BE49-F238E27FC236}">
                        <a16:creationId xmlns:a16="http://schemas.microsoft.com/office/drawing/2014/main" id="{8F7911A5-1FED-40F7-98D2-147DE9CF2E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descr="Marker">
                            <a:extLst>
                              <a:ext uri="{FF2B5EF4-FFF2-40B4-BE49-F238E27FC236}">
                                <a16:creationId xmlns:a16="http://schemas.microsoft.com/office/drawing/2014/main" id="{8F7911A5-1FED-40F7-98D2-147DE9CF2EB8}"/>
                              </a:ext>
                            </a:extLst>
                          </pic:cNvPr>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40000" cy="540000"/>
                          </a:xfrm>
                          <a:prstGeom prst="rect">
                            <a:avLst/>
                          </a:prstGeom>
                        </pic:spPr>
                      </pic:pic>
                    </a:graphicData>
                  </a:graphic>
                </wp:inline>
              </w:drawing>
            </w:r>
          </w:p>
        </w:tc>
        <w:tc>
          <w:tcPr>
            <w:tcW w:w="2332" w:type="pct"/>
            <w:tcBorders>
              <w:top w:val="single" w:sz="4" w:space="0" w:color="06357A"/>
              <w:bottom w:val="single" w:sz="4" w:space="0" w:color="06357A"/>
            </w:tcBorders>
            <w:shd w:val="clear" w:color="auto" w:fill="06357A" w:themeFill="text2"/>
            <w:vAlign w:val="bottom"/>
          </w:tcPr>
          <w:p w14:paraId="2CCD0F01" w14:textId="77777777" w:rsidR="00E13125" w:rsidRPr="0078056B" w:rsidRDefault="00E13125" w:rsidP="000A186C">
            <w:pPr>
              <w:keepNext/>
              <w:spacing w:before="0" w:after="0"/>
              <w:ind w:left="57" w:right="57"/>
              <w:jc w:val="left"/>
              <w:rPr>
                <w:rFonts w:asciiTheme="minorHAnsi" w:hAnsiTheme="minorHAnsi" w:cstheme="minorHAnsi"/>
                <w:sz w:val="20"/>
                <w:szCs w:val="20"/>
              </w:rPr>
            </w:pPr>
            <w:r w:rsidRPr="0078056B">
              <w:rPr>
                <w:rFonts w:asciiTheme="minorHAnsi" w:hAnsiTheme="minorHAnsi" w:cstheme="minorHAnsi"/>
                <w:b/>
                <w:bCs/>
                <w:color w:val="FFFFFF"/>
                <w:sz w:val="20"/>
                <w:szCs w:val="20"/>
              </w:rPr>
              <w:t>Impact of tourism</w:t>
            </w:r>
          </w:p>
        </w:tc>
        <w:tc>
          <w:tcPr>
            <w:tcW w:w="1017" w:type="pct"/>
            <w:tcBorders>
              <w:top w:val="single" w:sz="4" w:space="0" w:color="06357A"/>
              <w:bottom w:val="single" w:sz="4" w:space="0" w:color="06357A"/>
            </w:tcBorders>
            <w:shd w:val="clear" w:color="auto" w:fill="06357A" w:themeFill="text2"/>
            <w:vAlign w:val="center"/>
          </w:tcPr>
          <w:p w14:paraId="51C571EE" w14:textId="77777777" w:rsidR="00E13125" w:rsidRPr="0078056B" w:rsidRDefault="00E13125" w:rsidP="000A186C">
            <w:pPr>
              <w:keepNext/>
              <w:spacing w:before="0" w:after="0"/>
              <w:ind w:left="57" w:right="57"/>
              <w:jc w:val="center"/>
              <w:rPr>
                <w:rFonts w:asciiTheme="minorHAnsi" w:hAnsiTheme="minorHAnsi" w:cstheme="minorHAnsi"/>
                <w:color w:val="000000"/>
                <w:sz w:val="20"/>
                <w:szCs w:val="20"/>
              </w:rPr>
            </w:pPr>
            <w:r w:rsidRPr="0078056B">
              <w:rPr>
                <w:rFonts w:asciiTheme="minorHAnsi" w:hAnsiTheme="minorHAnsi" w:cstheme="minorHAnsi"/>
                <w:b/>
                <w:bCs/>
                <w:color w:val="FFFFFF"/>
                <w:sz w:val="20"/>
                <w:szCs w:val="20"/>
              </w:rPr>
              <w:t xml:space="preserve">£46m </w:t>
            </w:r>
          </w:p>
        </w:tc>
        <w:tc>
          <w:tcPr>
            <w:tcW w:w="1017" w:type="pct"/>
            <w:tcBorders>
              <w:top w:val="single" w:sz="4" w:space="0" w:color="06357A"/>
              <w:bottom w:val="single" w:sz="4" w:space="0" w:color="06357A"/>
              <w:right w:val="nil"/>
            </w:tcBorders>
            <w:shd w:val="clear" w:color="auto" w:fill="06357A" w:themeFill="text2"/>
            <w:vAlign w:val="center"/>
          </w:tcPr>
          <w:p w14:paraId="1EB085C3" w14:textId="77777777" w:rsidR="00E13125" w:rsidRPr="0078056B" w:rsidRDefault="00E13125" w:rsidP="000A186C">
            <w:pPr>
              <w:keepNext/>
              <w:spacing w:before="0" w:after="0"/>
              <w:ind w:left="57" w:right="57"/>
              <w:jc w:val="center"/>
              <w:rPr>
                <w:rFonts w:asciiTheme="minorHAnsi" w:hAnsiTheme="minorHAnsi" w:cstheme="minorHAnsi"/>
                <w:color w:val="000000"/>
                <w:sz w:val="20"/>
                <w:szCs w:val="20"/>
              </w:rPr>
            </w:pPr>
            <w:r w:rsidRPr="0078056B">
              <w:rPr>
                <w:rFonts w:asciiTheme="minorHAnsi" w:hAnsiTheme="minorHAnsi" w:cstheme="minorHAnsi"/>
                <w:b/>
                <w:bCs/>
                <w:color w:val="FFFFFF"/>
                <w:sz w:val="20"/>
                <w:szCs w:val="20"/>
              </w:rPr>
              <w:t>1%</w:t>
            </w:r>
          </w:p>
        </w:tc>
      </w:tr>
      <w:tr w:rsidR="00E13125" w:rsidRPr="0078056B" w14:paraId="72F1812E" w14:textId="77777777" w:rsidTr="00C0122A">
        <w:trPr>
          <w:trHeight w:val="283"/>
        </w:trPr>
        <w:tc>
          <w:tcPr>
            <w:tcW w:w="634" w:type="pct"/>
            <w:vMerge/>
            <w:shd w:val="clear" w:color="auto" w:fill="auto"/>
            <w:vAlign w:val="center"/>
          </w:tcPr>
          <w:p w14:paraId="5CD3C82B" w14:textId="77777777" w:rsidR="00E13125" w:rsidRPr="0078056B" w:rsidRDefault="00E13125" w:rsidP="000A186C">
            <w:pPr>
              <w:keepNext/>
              <w:spacing w:before="0" w:after="0"/>
              <w:ind w:left="57" w:right="57"/>
              <w:jc w:val="center"/>
              <w:rPr>
                <w:sz w:val="20"/>
                <w:szCs w:val="20"/>
              </w:rPr>
            </w:pPr>
          </w:p>
        </w:tc>
        <w:tc>
          <w:tcPr>
            <w:tcW w:w="2332" w:type="pct"/>
            <w:tcBorders>
              <w:top w:val="single" w:sz="4" w:space="0" w:color="06357A"/>
              <w:bottom w:val="single" w:sz="4" w:space="0" w:color="BFBFBF"/>
            </w:tcBorders>
            <w:shd w:val="clear" w:color="auto" w:fill="auto"/>
            <w:vAlign w:val="bottom"/>
          </w:tcPr>
          <w:p w14:paraId="43B2FAF4" w14:textId="77777777" w:rsidR="00E13125" w:rsidRPr="0078056B" w:rsidRDefault="00E13125" w:rsidP="000A186C">
            <w:pPr>
              <w:keepNext/>
              <w:spacing w:before="0" w:after="0"/>
              <w:ind w:left="57" w:right="57"/>
              <w:jc w:val="left"/>
              <w:rPr>
                <w:rFonts w:asciiTheme="minorHAnsi" w:hAnsiTheme="minorHAnsi" w:cstheme="minorHAnsi"/>
                <w:sz w:val="20"/>
                <w:szCs w:val="20"/>
              </w:rPr>
            </w:pPr>
            <w:r w:rsidRPr="0078056B">
              <w:rPr>
                <w:rFonts w:asciiTheme="minorHAnsi" w:hAnsiTheme="minorHAnsi" w:cstheme="minorHAnsi"/>
                <w:color w:val="000000"/>
                <w:sz w:val="20"/>
                <w:szCs w:val="20"/>
              </w:rPr>
              <w:t>Direct impact</w:t>
            </w:r>
          </w:p>
        </w:tc>
        <w:tc>
          <w:tcPr>
            <w:tcW w:w="1017" w:type="pct"/>
            <w:tcBorders>
              <w:top w:val="single" w:sz="4" w:space="0" w:color="06357A"/>
              <w:bottom w:val="single" w:sz="4" w:space="0" w:color="BFBFBF"/>
            </w:tcBorders>
            <w:shd w:val="clear" w:color="auto" w:fill="auto"/>
            <w:vAlign w:val="center"/>
          </w:tcPr>
          <w:p w14:paraId="44523A9B" w14:textId="77777777" w:rsidR="00E13125" w:rsidRPr="0078056B" w:rsidRDefault="00E13125" w:rsidP="000A186C">
            <w:pPr>
              <w:keepNext/>
              <w:spacing w:before="0" w:after="0"/>
              <w:ind w:left="57" w:right="57"/>
              <w:jc w:val="center"/>
              <w:rPr>
                <w:rFonts w:asciiTheme="minorHAnsi" w:hAnsiTheme="minorHAnsi" w:cstheme="minorHAnsi"/>
                <w:color w:val="000000"/>
                <w:sz w:val="20"/>
                <w:szCs w:val="20"/>
              </w:rPr>
            </w:pPr>
            <w:r w:rsidRPr="0078056B">
              <w:rPr>
                <w:rFonts w:asciiTheme="minorHAnsi" w:hAnsiTheme="minorHAnsi" w:cstheme="minorHAnsi"/>
                <w:color w:val="000000"/>
                <w:sz w:val="20"/>
                <w:szCs w:val="20"/>
              </w:rPr>
              <w:t xml:space="preserve">£19m </w:t>
            </w:r>
          </w:p>
        </w:tc>
        <w:tc>
          <w:tcPr>
            <w:tcW w:w="1017" w:type="pct"/>
            <w:tcBorders>
              <w:top w:val="single" w:sz="4" w:space="0" w:color="06357A"/>
              <w:bottom w:val="single" w:sz="4" w:space="0" w:color="BFBFBF"/>
              <w:right w:val="nil"/>
            </w:tcBorders>
            <w:shd w:val="clear" w:color="auto" w:fill="auto"/>
            <w:vAlign w:val="center"/>
          </w:tcPr>
          <w:p w14:paraId="219F2F97" w14:textId="77777777" w:rsidR="00E13125" w:rsidRPr="0078056B" w:rsidRDefault="00E13125" w:rsidP="000A186C">
            <w:pPr>
              <w:keepNext/>
              <w:spacing w:before="0" w:after="0"/>
              <w:ind w:left="57" w:right="57"/>
              <w:jc w:val="center"/>
              <w:rPr>
                <w:rFonts w:asciiTheme="minorHAnsi" w:hAnsiTheme="minorHAnsi" w:cstheme="minorHAnsi"/>
                <w:color w:val="000000"/>
                <w:sz w:val="20"/>
                <w:szCs w:val="20"/>
              </w:rPr>
            </w:pPr>
            <w:r w:rsidRPr="0078056B">
              <w:rPr>
                <w:rFonts w:asciiTheme="minorHAnsi" w:hAnsiTheme="minorHAnsi" w:cstheme="minorHAnsi"/>
                <w:sz w:val="20"/>
                <w:szCs w:val="20"/>
              </w:rPr>
              <w:t>0%</w:t>
            </w:r>
          </w:p>
        </w:tc>
      </w:tr>
      <w:tr w:rsidR="00E13125" w:rsidRPr="0078056B" w14:paraId="749D859E" w14:textId="77777777" w:rsidTr="00C0122A">
        <w:trPr>
          <w:trHeight w:val="283"/>
        </w:trPr>
        <w:tc>
          <w:tcPr>
            <w:tcW w:w="634" w:type="pct"/>
            <w:vMerge/>
            <w:tcBorders>
              <w:bottom w:val="single" w:sz="4" w:space="0" w:color="06357A"/>
            </w:tcBorders>
            <w:shd w:val="clear" w:color="auto" w:fill="auto"/>
            <w:vAlign w:val="center"/>
          </w:tcPr>
          <w:p w14:paraId="35F5ACEF" w14:textId="77777777" w:rsidR="00E13125" w:rsidRPr="0078056B" w:rsidRDefault="00E13125" w:rsidP="000A186C">
            <w:pPr>
              <w:keepNext/>
              <w:spacing w:before="0" w:after="0"/>
              <w:ind w:left="57" w:right="57"/>
              <w:jc w:val="center"/>
              <w:rPr>
                <w:sz w:val="20"/>
                <w:szCs w:val="20"/>
              </w:rPr>
            </w:pPr>
          </w:p>
        </w:tc>
        <w:tc>
          <w:tcPr>
            <w:tcW w:w="2332" w:type="pct"/>
            <w:tcBorders>
              <w:top w:val="single" w:sz="4" w:space="0" w:color="BFBFBF"/>
              <w:bottom w:val="single" w:sz="4" w:space="0" w:color="BFBFBF"/>
            </w:tcBorders>
            <w:shd w:val="clear" w:color="auto" w:fill="auto"/>
            <w:vAlign w:val="bottom"/>
          </w:tcPr>
          <w:p w14:paraId="2CF823F8" w14:textId="77777777" w:rsidR="00E13125" w:rsidRPr="0078056B" w:rsidRDefault="00E13125" w:rsidP="000A186C">
            <w:pPr>
              <w:keepNext/>
              <w:spacing w:before="0" w:after="0"/>
              <w:ind w:left="57" w:right="57"/>
              <w:jc w:val="left"/>
              <w:rPr>
                <w:rFonts w:asciiTheme="minorHAnsi" w:hAnsiTheme="minorHAnsi" w:cstheme="minorHAnsi"/>
                <w:sz w:val="20"/>
                <w:szCs w:val="20"/>
              </w:rPr>
            </w:pPr>
            <w:r w:rsidRPr="0078056B">
              <w:rPr>
                <w:rFonts w:asciiTheme="minorHAnsi" w:hAnsiTheme="minorHAnsi" w:cstheme="minorHAnsi"/>
                <w:color w:val="000000"/>
                <w:sz w:val="20"/>
                <w:szCs w:val="20"/>
              </w:rPr>
              <w:t>Indirect and induced impact</w:t>
            </w:r>
          </w:p>
        </w:tc>
        <w:tc>
          <w:tcPr>
            <w:tcW w:w="1017" w:type="pct"/>
            <w:tcBorders>
              <w:top w:val="single" w:sz="4" w:space="0" w:color="BFBFBF"/>
              <w:bottom w:val="single" w:sz="4" w:space="0" w:color="BFBFBF"/>
            </w:tcBorders>
            <w:shd w:val="clear" w:color="auto" w:fill="auto"/>
            <w:vAlign w:val="center"/>
          </w:tcPr>
          <w:p w14:paraId="46889E16" w14:textId="77777777" w:rsidR="00E13125" w:rsidRPr="0078056B" w:rsidRDefault="00E13125" w:rsidP="000A186C">
            <w:pPr>
              <w:keepNext/>
              <w:spacing w:before="0" w:after="0"/>
              <w:ind w:left="57" w:right="57"/>
              <w:jc w:val="center"/>
              <w:rPr>
                <w:rFonts w:asciiTheme="minorHAnsi" w:hAnsiTheme="minorHAnsi" w:cstheme="minorHAnsi"/>
                <w:color w:val="000000"/>
                <w:sz w:val="20"/>
                <w:szCs w:val="20"/>
              </w:rPr>
            </w:pPr>
            <w:r w:rsidRPr="0078056B">
              <w:rPr>
                <w:rFonts w:asciiTheme="minorHAnsi" w:hAnsiTheme="minorHAnsi" w:cstheme="minorHAnsi"/>
                <w:color w:val="000000"/>
                <w:sz w:val="20"/>
                <w:szCs w:val="20"/>
              </w:rPr>
              <w:t xml:space="preserve">£26m </w:t>
            </w:r>
          </w:p>
        </w:tc>
        <w:tc>
          <w:tcPr>
            <w:tcW w:w="1017" w:type="pct"/>
            <w:tcBorders>
              <w:top w:val="single" w:sz="4" w:space="0" w:color="BFBFBF"/>
              <w:bottom w:val="single" w:sz="4" w:space="0" w:color="BFBFBF"/>
              <w:right w:val="nil"/>
            </w:tcBorders>
            <w:shd w:val="clear" w:color="auto" w:fill="auto"/>
            <w:vAlign w:val="center"/>
          </w:tcPr>
          <w:p w14:paraId="0225864A" w14:textId="77777777" w:rsidR="00E13125" w:rsidRPr="0078056B" w:rsidRDefault="00E13125" w:rsidP="000A186C">
            <w:pPr>
              <w:keepNext/>
              <w:spacing w:before="0" w:after="0"/>
              <w:ind w:left="57" w:right="57"/>
              <w:jc w:val="center"/>
              <w:rPr>
                <w:rFonts w:asciiTheme="minorHAnsi" w:hAnsiTheme="minorHAnsi" w:cstheme="minorHAnsi"/>
                <w:color w:val="000000"/>
                <w:sz w:val="20"/>
                <w:szCs w:val="20"/>
              </w:rPr>
            </w:pPr>
            <w:r w:rsidRPr="0078056B">
              <w:rPr>
                <w:rFonts w:asciiTheme="minorHAnsi" w:hAnsiTheme="minorHAnsi" w:cstheme="minorHAnsi"/>
                <w:sz w:val="20"/>
                <w:szCs w:val="20"/>
              </w:rPr>
              <w:t>1%</w:t>
            </w:r>
          </w:p>
        </w:tc>
      </w:tr>
      <w:tr w:rsidR="00E13125" w:rsidRPr="0078056B" w14:paraId="254862F1" w14:textId="77777777" w:rsidTr="00C0122A">
        <w:trPr>
          <w:trHeight w:val="283"/>
        </w:trPr>
        <w:tc>
          <w:tcPr>
            <w:tcW w:w="634" w:type="pct"/>
            <w:tcBorders>
              <w:top w:val="nil"/>
              <w:bottom w:val="nil"/>
              <w:right w:val="nil"/>
            </w:tcBorders>
            <w:shd w:val="clear" w:color="auto" w:fill="000000" w:themeFill="text1"/>
            <w:vAlign w:val="center"/>
          </w:tcPr>
          <w:p w14:paraId="5A1BFC34" w14:textId="77777777" w:rsidR="00E13125" w:rsidRPr="0078056B" w:rsidRDefault="00E13125" w:rsidP="000A186C">
            <w:pPr>
              <w:keepNext/>
              <w:spacing w:before="0" w:after="0"/>
              <w:ind w:left="57" w:right="57"/>
              <w:jc w:val="center"/>
              <w:rPr>
                <w:b/>
                <w:color w:val="FFFFFF" w:themeColor="background1"/>
                <w:sz w:val="20"/>
                <w:szCs w:val="20"/>
              </w:rPr>
            </w:pPr>
          </w:p>
        </w:tc>
        <w:tc>
          <w:tcPr>
            <w:tcW w:w="2332" w:type="pct"/>
            <w:tcBorders>
              <w:top w:val="single" w:sz="4" w:space="0" w:color="BFBFBF"/>
              <w:left w:val="nil"/>
              <w:bottom w:val="nil"/>
              <w:right w:val="nil"/>
            </w:tcBorders>
            <w:shd w:val="clear" w:color="auto" w:fill="000000" w:themeFill="text1"/>
            <w:vAlign w:val="center"/>
          </w:tcPr>
          <w:p w14:paraId="7EA746C1" w14:textId="77777777" w:rsidR="00E13125" w:rsidRPr="0078056B" w:rsidRDefault="00E13125" w:rsidP="000A186C">
            <w:pPr>
              <w:keepNext/>
              <w:spacing w:before="0" w:after="0"/>
              <w:ind w:left="57" w:right="57"/>
              <w:jc w:val="left"/>
              <w:rPr>
                <w:rFonts w:asciiTheme="minorHAnsi" w:hAnsiTheme="minorHAnsi" w:cstheme="minorHAnsi"/>
                <w:b/>
                <w:color w:val="FFFFFF" w:themeColor="background1"/>
                <w:sz w:val="20"/>
                <w:szCs w:val="20"/>
              </w:rPr>
            </w:pPr>
            <w:r w:rsidRPr="0078056B">
              <w:rPr>
                <w:rFonts w:asciiTheme="minorHAnsi" w:hAnsiTheme="minorHAnsi" w:cstheme="minorHAnsi"/>
                <w:b/>
                <w:bCs/>
                <w:color w:val="FFFFFF"/>
                <w:sz w:val="20"/>
                <w:szCs w:val="20"/>
              </w:rPr>
              <w:t>Total economic impact</w:t>
            </w:r>
          </w:p>
        </w:tc>
        <w:tc>
          <w:tcPr>
            <w:tcW w:w="1017" w:type="pct"/>
            <w:tcBorders>
              <w:top w:val="single" w:sz="4" w:space="0" w:color="BFBFBF"/>
              <w:left w:val="nil"/>
              <w:bottom w:val="nil"/>
              <w:right w:val="nil"/>
            </w:tcBorders>
            <w:shd w:val="clear" w:color="auto" w:fill="000000" w:themeFill="text1"/>
            <w:vAlign w:val="center"/>
          </w:tcPr>
          <w:p w14:paraId="72526195"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asciiTheme="minorHAnsi" w:hAnsiTheme="minorHAnsi" w:cstheme="minorHAnsi"/>
                <w:b/>
                <w:bCs/>
                <w:color w:val="FFFFFF"/>
                <w:sz w:val="20"/>
                <w:szCs w:val="20"/>
              </w:rPr>
              <w:t xml:space="preserve">£4,388m </w:t>
            </w:r>
          </w:p>
        </w:tc>
        <w:tc>
          <w:tcPr>
            <w:tcW w:w="1017" w:type="pct"/>
            <w:tcBorders>
              <w:top w:val="single" w:sz="4" w:space="0" w:color="BFBFBF"/>
              <w:left w:val="nil"/>
              <w:bottom w:val="nil"/>
              <w:right w:val="nil"/>
            </w:tcBorders>
            <w:shd w:val="clear" w:color="auto" w:fill="000000" w:themeFill="text1"/>
            <w:vAlign w:val="center"/>
          </w:tcPr>
          <w:p w14:paraId="5D767A8D"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asciiTheme="minorHAnsi" w:hAnsiTheme="minorHAnsi" w:cstheme="minorHAnsi"/>
                <w:b/>
                <w:bCs/>
                <w:color w:val="FFFFFF"/>
                <w:sz w:val="20"/>
                <w:szCs w:val="20"/>
              </w:rPr>
              <w:t>100%</w:t>
            </w:r>
          </w:p>
        </w:tc>
      </w:tr>
    </w:tbl>
    <w:p w14:paraId="65088AB8" w14:textId="77777777" w:rsidR="00E13125" w:rsidRPr="0078056B" w:rsidRDefault="00E13125" w:rsidP="00E13125">
      <w:pPr>
        <w:pStyle w:val="TableNote"/>
        <w:rPr>
          <w:b/>
          <w:i/>
        </w:rPr>
      </w:pPr>
      <w:r w:rsidRPr="0078056B">
        <w:t xml:space="preserve">Note: All estimates are presented in 2021-22 prices, rounded to the nearest £1m, and may not add up precisely to the totals indicated. The percentage figures in the brackets represent the proportion of total impact in that region associated with the strand/sub-strand of analysis. </w:t>
      </w:r>
      <w:r w:rsidRPr="0078056B">
        <w:rPr>
          <w:b/>
          <w:i/>
        </w:rPr>
        <w:t>Source: London Economics' analysis</w:t>
      </w:r>
    </w:p>
    <w:p w14:paraId="13BEA683" w14:textId="54AFACD0" w:rsidR="00E13125" w:rsidRPr="0078056B" w:rsidRDefault="00E13125" w:rsidP="00E13125">
      <w:pPr>
        <w:spacing w:before="100" w:beforeAutospacing="1" w:after="100" w:afterAutospacing="1"/>
        <w:rPr>
          <w:rFonts w:asciiTheme="minorHAnsi" w:eastAsia="Times New Roman" w:hAnsiTheme="minorHAnsi" w:cstheme="minorHAnsi"/>
          <w:lang w:eastAsia="en-GB"/>
        </w:rPr>
      </w:pPr>
      <w:r w:rsidRPr="0078056B">
        <w:rPr>
          <w:rFonts w:asciiTheme="minorHAnsi" w:eastAsia="Times New Roman" w:hAnsiTheme="minorHAnsi" w:cstheme="minorHAnsi"/>
          <w:lang w:eastAsia="en-GB"/>
        </w:rPr>
        <w:lastRenderedPageBreak/>
        <w:t xml:space="preserve">In terms of the number of full-time equivalent (FTE) jobs supported, the </w:t>
      </w:r>
      <w:r w:rsidR="002F63E9" w:rsidRPr="0078056B">
        <w:rPr>
          <w:rFonts w:asciiTheme="minorHAnsi" w:eastAsia="Times New Roman" w:hAnsiTheme="minorHAnsi" w:cstheme="minorHAnsi"/>
          <w:lang w:eastAsia="en-GB"/>
        </w:rPr>
        <w:t xml:space="preserve">analysis </w:t>
      </w:r>
      <w:r w:rsidRPr="0078056B">
        <w:rPr>
          <w:rFonts w:asciiTheme="minorHAnsi" w:eastAsia="Times New Roman" w:hAnsiTheme="minorHAnsi" w:cstheme="minorHAnsi"/>
          <w:lang w:eastAsia="en-GB"/>
        </w:rPr>
        <w:t>indicate</w:t>
      </w:r>
      <w:r w:rsidR="002F63E9" w:rsidRPr="0078056B">
        <w:rPr>
          <w:rFonts w:asciiTheme="minorHAnsi" w:eastAsia="Times New Roman" w:hAnsiTheme="minorHAnsi" w:cstheme="minorHAnsi"/>
          <w:lang w:eastAsia="en-GB"/>
        </w:rPr>
        <w:t>s</w:t>
      </w:r>
      <w:r w:rsidRPr="0078056B">
        <w:rPr>
          <w:rFonts w:asciiTheme="minorHAnsi" w:eastAsia="Times New Roman" w:hAnsiTheme="minorHAnsi" w:cstheme="minorHAnsi"/>
          <w:lang w:eastAsia="en-GB"/>
        </w:rPr>
        <w:t xml:space="preserve"> that the total impact generated by the University’s activities supported a total of </w:t>
      </w:r>
      <w:r w:rsidRPr="0078056B">
        <w:rPr>
          <w:rFonts w:asciiTheme="minorHAnsi" w:eastAsia="Times New Roman" w:hAnsiTheme="minorHAnsi" w:cstheme="minorHAnsi"/>
          <w:b/>
          <w:bCs/>
          <w:color w:val="06357A"/>
          <w:lang w:eastAsia="en-GB"/>
        </w:rPr>
        <w:t>19,885</w:t>
      </w:r>
      <w:r w:rsidRPr="0078056B">
        <w:rPr>
          <w:rFonts w:asciiTheme="minorHAnsi" w:eastAsia="Times New Roman" w:hAnsiTheme="minorHAnsi" w:cstheme="minorHAnsi"/>
          <w:lang w:eastAsia="en-GB"/>
        </w:rPr>
        <w:t xml:space="preserve"> FTE jobs across the UK economy in 2021-22, of which </w:t>
      </w:r>
      <w:r w:rsidRPr="0078056B">
        <w:rPr>
          <w:rFonts w:asciiTheme="minorHAnsi" w:eastAsia="Times New Roman" w:hAnsiTheme="minorHAnsi" w:cstheme="minorHAnsi"/>
          <w:b/>
          <w:bCs/>
          <w:color w:val="06357A"/>
          <w:lang w:eastAsia="en-GB"/>
        </w:rPr>
        <w:t>13,295</w:t>
      </w:r>
      <w:r w:rsidRPr="0078056B">
        <w:rPr>
          <w:rFonts w:asciiTheme="minorHAnsi" w:eastAsia="Times New Roman" w:hAnsiTheme="minorHAnsi" w:cstheme="minorHAnsi"/>
          <w:b/>
          <w:bCs/>
          <w:lang w:eastAsia="en-GB"/>
        </w:rPr>
        <w:t> </w:t>
      </w:r>
      <w:proofErr w:type="gramStart"/>
      <w:r w:rsidRPr="0078056B">
        <w:rPr>
          <w:rFonts w:asciiTheme="minorHAnsi" w:eastAsia="Times New Roman" w:hAnsiTheme="minorHAnsi" w:cstheme="minorHAnsi"/>
          <w:lang w:eastAsia="en-GB"/>
        </w:rPr>
        <w:t>were located in</w:t>
      </w:r>
      <w:proofErr w:type="gramEnd"/>
      <w:r w:rsidRPr="0078056B">
        <w:rPr>
          <w:rFonts w:asciiTheme="minorHAnsi" w:eastAsia="Times New Roman" w:hAnsiTheme="minorHAnsi" w:cstheme="minorHAnsi"/>
          <w:lang w:eastAsia="en-GB"/>
        </w:rPr>
        <w:t xml:space="preserve"> the </w:t>
      </w:r>
      <w:r w:rsidRPr="0078056B">
        <w:rPr>
          <w:rFonts w:asciiTheme="minorHAnsi" w:eastAsia="Times New Roman" w:hAnsiTheme="minorHAnsi" w:cstheme="minorHAnsi"/>
          <w:b/>
          <w:bCs/>
          <w:color w:val="06357A"/>
          <w:lang w:eastAsia="en-GB"/>
        </w:rPr>
        <w:t>West Midlands</w:t>
      </w:r>
      <w:r w:rsidRPr="0078056B">
        <w:rPr>
          <w:rFonts w:asciiTheme="minorHAnsi" w:eastAsia="Times New Roman" w:hAnsiTheme="minorHAnsi" w:cstheme="minorHAnsi"/>
          <w:lang w:eastAsia="en-GB"/>
        </w:rPr>
        <w:t>. </w:t>
      </w:r>
    </w:p>
    <w:p w14:paraId="1406B820" w14:textId="77777777" w:rsidR="00E13125" w:rsidRPr="0078056B" w:rsidRDefault="00E13125" w:rsidP="00E13125">
      <w:pPr>
        <w:rPr>
          <w:rFonts w:asciiTheme="minorHAnsi" w:hAnsiTheme="minorHAnsi"/>
        </w:rPr>
      </w:pPr>
      <w:r w:rsidRPr="0078056B">
        <w:t xml:space="preserve">Compared to the University’s relevant operational costs of approximately </w:t>
      </w:r>
      <w:r w:rsidRPr="0078056B">
        <w:rPr>
          <w:rFonts w:asciiTheme="minorHAnsi" w:hAnsiTheme="minorHAnsi"/>
          <w:b/>
          <w:bCs/>
          <w:color w:val="06357A" w:themeColor="accent1"/>
        </w:rPr>
        <w:t>£769 million</w:t>
      </w:r>
      <w:r w:rsidRPr="0078056B">
        <w:t xml:space="preserve"> in 2021-22</w:t>
      </w:r>
      <w:r w:rsidRPr="0078056B">
        <w:rPr>
          <w:rStyle w:val="FootnoteReference"/>
        </w:rPr>
        <w:footnoteReference w:id="2"/>
      </w:r>
      <w:r w:rsidRPr="0078056B">
        <w:t xml:space="preserve">, the total impact of the University of Birmingham’s activities on the UK economy was estimated at </w:t>
      </w:r>
      <w:r w:rsidRPr="0078056B">
        <w:rPr>
          <w:b/>
          <w:bCs/>
          <w:color w:val="06357A" w:themeColor="accent1"/>
        </w:rPr>
        <w:t>£4.4 billion</w:t>
      </w:r>
      <w:r w:rsidRPr="0078056B">
        <w:t xml:space="preserve">, which corresponds to a </w:t>
      </w:r>
      <w:r w:rsidRPr="0078056B">
        <w:rPr>
          <w:b/>
          <w:bCs/>
          <w:color w:val="06357A" w:themeColor="accent1"/>
        </w:rPr>
        <w:t>benefit to cost ratio of</w:t>
      </w:r>
      <w:r w:rsidRPr="0078056B">
        <w:rPr>
          <w:color w:val="06357A" w:themeColor="accent1"/>
        </w:rPr>
        <w:t xml:space="preserve"> </w:t>
      </w:r>
      <w:r w:rsidRPr="0078056B">
        <w:rPr>
          <w:rFonts w:asciiTheme="minorHAnsi" w:hAnsiTheme="minorHAnsi"/>
          <w:b/>
          <w:bCs/>
          <w:color w:val="06357A" w:themeColor="accent1"/>
        </w:rPr>
        <w:t>5.7:1</w:t>
      </w:r>
      <w:r w:rsidRPr="0078056B">
        <w:rPr>
          <w:rFonts w:asciiTheme="minorHAnsi" w:hAnsiTheme="minorHAnsi"/>
          <w:color w:val="000000" w:themeColor="text1"/>
        </w:rPr>
        <w:t>.</w:t>
      </w:r>
    </w:p>
    <w:p w14:paraId="60D25081" w14:textId="77777777" w:rsidR="00E13125" w:rsidRPr="0078056B" w:rsidRDefault="00E13125" w:rsidP="00E13125">
      <w:r w:rsidRPr="0078056B">
        <w:t xml:space="preserve">In addition to assessing the total impact of </w:t>
      </w:r>
      <w:r w:rsidRPr="0078056B">
        <w:rPr>
          <w:b/>
          <w:bCs/>
          <w:color w:val="06357A" w:themeColor="accent1"/>
        </w:rPr>
        <w:t xml:space="preserve">£4.4 billion </w:t>
      </w:r>
      <w:r w:rsidRPr="0078056B">
        <w:t xml:space="preserve">on the UK </w:t>
      </w:r>
      <w:proofErr w:type="gramStart"/>
      <w:r w:rsidRPr="0078056B">
        <w:t>economy as a whole, it</w:t>
      </w:r>
      <w:proofErr w:type="gramEnd"/>
      <w:r w:rsidRPr="0078056B">
        <w:t xml:space="preserve"> is also possible to estimate the economic impact of a number of strands of the University’s activities on the West Midlands. Specifically, we estimated the economic impact associated with direct, indirect and induced impacts of the University’s research and knowledge exchange activities, the impact of international students, the impact of the University’s expenditure, and the impact of tourism activities associated with the University on the West Midlands.</w:t>
      </w:r>
      <w:r w:rsidRPr="0078056B">
        <w:rPr>
          <w:rStyle w:val="FootnoteReference"/>
        </w:rPr>
        <w:footnoteReference w:id="3"/>
      </w:r>
    </w:p>
    <w:p w14:paraId="3AA76D31" w14:textId="24CB7D8A" w:rsidR="001F0F67" w:rsidRPr="0078056B" w:rsidRDefault="00E13125" w:rsidP="001F0F67">
      <w:r w:rsidRPr="0078056B">
        <w:t xml:space="preserve">Following this approach the analysis identified that approximately </w:t>
      </w:r>
      <w:r w:rsidRPr="0078056B">
        <w:rPr>
          <w:b/>
          <w:bCs/>
          <w:color w:val="06357A" w:themeColor="accent1"/>
        </w:rPr>
        <w:t>£2.2 billion</w:t>
      </w:r>
      <w:r w:rsidRPr="0078056B">
        <w:t xml:space="preserve"> (</w:t>
      </w:r>
      <w:r w:rsidRPr="0078056B">
        <w:rPr>
          <w:b/>
          <w:bCs/>
          <w:color w:val="06357A" w:themeColor="accent1"/>
        </w:rPr>
        <w:t>50%</w:t>
      </w:r>
      <w:r w:rsidRPr="0078056B">
        <w:t xml:space="preserve">) of the University of Birmingham’s total impact of </w:t>
      </w:r>
      <w:r w:rsidRPr="0078056B">
        <w:rPr>
          <w:b/>
          <w:bCs/>
          <w:color w:val="06357A" w:themeColor="accent1"/>
        </w:rPr>
        <w:t xml:space="preserve">£4.4 billion </w:t>
      </w:r>
      <w:r w:rsidRPr="0078056B">
        <w:t xml:space="preserve">can be disaggregated geographically (see Section </w:t>
      </w:r>
      <w:r w:rsidR="00307258" w:rsidRPr="0078056B">
        <w:fldChar w:fldCharType="begin"/>
      </w:r>
      <w:r w:rsidR="00307258" w:rsidRPr="0078056B">
        <w:instrText xml:space="preserve"> REF _Ref146792031 \r \h </w:instrText>
      </w:r>
      <w:r w:rsidR="0078056B">
        <w:instrText xml:space="preserve"> \* MERGEFORMAT </w:instrText>
      </w:r>
      <w:r w:rsidR="00307258" w:rsidRPr="0078056B">
        <w:fldChar w:fldCharType="separate"/>
      </w:r>
      <w:r w:rsidR="00E33157">
        <w:t>8.1</w:t>
      </w:r>
      <w:r w:rsidR="00307258" w:rsidRPr="0078056B">
        <w:fldChar w:fldCharType="end"/>
      </w:r>
      <w:r w:rsidRPr="0078056B">
        <w:t xml:space="preserve"> for more information), of which approximately </w:t>
      </w:r>
      <w:r w:rsidRPr="0078056B">
        <w:rPr>
          <w:b/>
          <w:bCs/>
          <w:color w:val="06357A" w:themeColor="accent1"/>
        </w:rPr>
        <w:t>£1.4 billion</w:t>
      </w:r>
      <w:r w:rsidRPr="0078056B">
        <w:t xml:space="preserve"> (</w:t>
      </w:r>
      <w:r w:rsidRPr="0078056B">
        <w:rPr>
          <w:b/>
          <w:bCs/>
          <w:color w:val="06357A" w:themeColor="accent1"/>
        </w:rPr>
        <w:t>63%</w:t>
      </w:r>
      <w:r w:rsidRPr="0078056B">
        <w:t>) occurred in the West Midlands.</w:t>
      </w:r>
    </w:p>
    <w:p w14:paraId="16098771" w14:textId="5C6D6F2A" w:rsidR="001F0F67" w:rsidRPr="0078056B" w:rsidRDefault="001F0F67" w:rsidP="001F0F67">
      <w:pPr>
        <w:pStyle w:val="Heading2NoNumb"/>
        <w:pBdr>
          <w:top w:val="single" w:sz="8" w:space="1" w:color="4F5961"/>
        </w:pBdr>
        <w:spacing w:before="140" w:after="140"/>
      </w:pPr>
      <w:bookmarkStart w:id="14" w:name="_Toc119925170"/>
      <w:bookmarkStart w:id="15" w:name="_Toc168652112"/>
      <w:bookmarkStart w:id="16" w:name="_Toc70611098"/>
      <w:r w:rsidRPr="0078056B">
        <w:rPr>
          <w:noProof/>
        </w:rPr>
        <w:drawing>
          <wp:anchor distT="0" distB="0" distL="114300" distR="114300" simplePos="0" relativeHeight="251674624" behindDoc="0" locked="1" layoutInCell="1" allowOverlap="1" wp14:anchorId="069DBEC4" wp14:editId="78CF0CD1">
            <wp:simplePos x="0" y="0"/>
            <wp:positionH relativeFrom="column">
              <wp:posOffset>-1905</wp:posOffset>
            </wp:positionH>
            <wp:positionV relativeFrom="line">
              <wp:posOffset>-635</wp:posOffset>
            </wp:positionV>
            <wp:extent cx="495300" cy="50355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95300" cy="503555"/>
                    </a:xfrm>
                    <a:prstGeom prst="rect">
                      <a:avLst/>
                    </a:prstGeom>
                  </pic:spPr>
                </pic:pic>
              </a:graphicData>
            </a:graphic>
            <wp14:sizeRelH relativeFrom="margin">
              <wp14:pctWidth>0</wp14:pctWidth>
            </wp14:sizeRelH>
            <wp14:sizeRelV relativeFrom="margin">
              <wp14:pctHeight>0</wp14:pctHeight>
            </wp14:sizeRelV>
          </wp:anchor>
        </w:drawing>
      </w:r>
      <w:r w:rsidRPr="0078056B">
        <w:rPr>
          <w:rStyle w:val="HeaderRepeat"/>
        </w:rPr>
        <w:t>The impact of the University of Birmingham’s research and knowledge exchange activities</w:t>
      </w:r>
      <w:bookmarkEnd w:id="14"/>
      <w:bookmarkEnd w:id="15"/>
      <w:r w:rsidRPr="0078056B">
        <w:rPr>
          <w:rStyle w:val="HeaderRepeat"/>
        </w:rPr>
        <w:t xml:space="preserve"> </w:t>
      </w:r>
      <w:bookmarkEnd w:id="16"/>
    </w:p>
    <w:p w14:paraId="577505BC" w14:textId="6D4E8847" w:rsidR="00B37749" w:rsidRPr="0078056B" w:rsidRDefault="007F22C8" w:rsidP="00B37749">
      <w:pPr>
        <w:rPr>
          <w:rFonts w:eastAsia="Times New Roman" w:cs="Times New Roman"/>
        </w:rPr>
      </w:pPr>
      <w:r w:rsidRPr="0078056B">
        <w:rPr>
          <w:noProof/>
        </w:rPr>
        <mc:AlternateContent>
          <mc:Choice Requires="wps">
            <w:drawing>
              <wp:anchor distT="0" distB="0" distL="114300" distR="114300" simplePos="0" relativeHeight="251716608" behindDoc="0" locked="0" layoutInCell="1" allowOverlap="1" wp14:anchorId="6EFB588A" wp14:editId="558ACDA7">
                <wp:simplePos x="0" y="0"/>
                <wp:positionH relativeFrom="margin">
                  <wp:posOffset>3286760</wp:posOffset>
                </wp:positionH>
                <wp:positionV relativeFrom="paragraph">
                  <wp:posOffset>99060</wp:posOffset>
                </wp:positionV>
                <wp:extent cx="2268220" cy="1170305"/>
                <wp:effectExtent l="38100" t="38100" r="93980" b="86995"/>
                <wp:wrapSquare wrapText="bothSides"/>
                <wp:docPr id="1937718383" name="Rectangle 1937718383"/>
                <wp:cNvGraphicFramePr/>
                <a:graphic xmlns:a="http://schemas.openxmlformats.org/drawingml/2006/main">
                  <a:graphicData uri="http://schemas.microsoft.com/office/word/2010/wordprocessingShape">
                    <wps:wsp>
                      <wps:cNvSpPr/>
                      <wps:spPr>
                        <a:xfrm>
                          <a:off x="0" y="0"/>
                          <a:ext cx="2268220" cy="1170305"/>
                        </a:xfrm>
                        <a:prstGeom prst="rect">
                          <a:avLst/>
                        </a:prstGeom>
                        <a:solidFill>
                          <a:schemeClr val="tx2"/>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662148FA" w14:textId="2F0E6E4B" w:rsidR="007F22C8" w:rsidRPr="007F22C8" w:rsidRDefault="007F22C8" w:rsidP="007F22C8">
                            <w:pPr>
                              <w:spacing w:before="0" w:after="0"/>
                              <w:jc w:val="center"/>
                              <w:rPr>
                                <w:b/>
                                <w:color w:val="FFFFFF" w:themeColor="background1"/>
                                <w:sz w:val="28"/>
                                <w:szCs w:val="28"/>
                              </w:rPr>
                            </w:pPr>
                            <w:r w:rsidRPr="0078056B">
                              <w:rPr>
                                <w:b/>
                                <w:bCs/>
                                <w:sz w:val="28"/>
                                <w:szCs w:val="28"/>
                              </w:rPr>
                              <w:t>The estimated impact of University of Birmingham’s research</w:t>
                            </w:r>
                            <w:r>
                              <w:rPr>
                                <w:b/>
                                <w:bCs/>
                                <w:sz w:val="28"/>
                                <w:szCs w:val="28"/>
                              </w:rPr>
                              <w:t xml:space="preserve"> and knowledge exchange</w:t>
                            </w:r>
                            <w:r w:rsidRPr="0078056B">
                              <w:rPr>
                                <w:b/>
                                <w:bCs/>
                                <w:sz w:val="28"/>
                                <w:szCs w:val="28"/>
                              </w:rPr>
                              <w:t xml:space="preserve"> activities in 2021-22 </w:t>
                            </w:r>
                            <w:r w:rsidRPr="0078056B">
                              <w:rPr>
                                <w:b/>
                                <w:color w:val="FFFFFF"/>
                                <w:sz w:val="28"/>
                                <w:szCs w:val="28"/>
                              </w:rPr>
                              <w:t>st</w:t>
                            </w:r>
                            <w:r>
                              <w:rPr>
                                <w:b/>
                                <w:color w:val="FFFFFF"/>
                                <w:sz w:val="28"/>
                                <w:szCs w:val="28"/>
                              </w:rPr>
                              <w:t>ood</w:t>
                            </w:r>
                            <w:r w:rsidRPr="0078056B">
                              <w:rPr>
                                <w:b/>
                                <w:color w:val="FFFFFF"/>
                                <w:sz w:val="28"/>
                                <w:szCs w:val="28"/>
                              </w:rPr>
                              <w:t xml:space="preserve"> at £1.</w:t>
                            </w:r>
                            <w:r>
                              <w:rPr>
                                <w:b/>
                                <w:color w:val="FFFFFF"/>
                                <w:sz w:val="28"/>
                                <w:szCs w:val="28"/>
                              </w:rPr>
                              <w:t>40</w:t>
                            </w:r>
                            <w:r w:rsidRPr="0078056B">
                              <w:rPr>
                                <w:b/>
                                <w:color w:val="FFFFFF"/>
                                <w:sz w:val="28"/>
                                <w:szCs w:val="28"/>
                              </w:rPr>
                              <w:t xml:space="preserve"> billion.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EFB588A" id="Rectangle 1937718383" o:spid="_x0000_s1030" style="position:absolute;left:0;text-align:left;margin-left:258.8pt;margin-top:7.8pt;width:178.6pt;height:92.1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8pw2wIAACYGAAAOAAAAZHJzL2Uyb0RvYy54bWysVEtv2zAMvg/YfxB0X/1o0mZBnSJo0WFA&#10;0RZNh54VWY6NyZImKbGzXz9Scpy062lYDo4kkh/Jj4+r676VZCesa7QqaHaWUiIU12WjNgX98XL3&#10;ZUaJ80yVTGolCroXjl4vPn+66sxc5LrWshSWAIhy884UtPbezJPE8Vq0zJ1pIxQIK21b5uFqN0lp&#10;WQforUzyNL1IOm1LYzUXzsHrbRTSRcCvKsH9Y1U54YksKMTmw9eG7xq/yeKKzTeWmbrhQxjsH6Jo&#10;WaPA6Qh1yzwjW9v8BdU23GqnK3/GdZvoqmq4CDlANln6LptVzYwIuQA5zow0uf8Hyx92K/NkgYbO&#10;uLmDI2bRV7bFf4iP9IGs/UiW6D3h8JjnF7M8B045yLLsMj1Pp0hncjQ31vlvQrcEDwW1UI1AEtvd&#10;Ox9VDyrozWnZlHeNlOGCHSBupCU7BrXzfT6Av9GSCnWVRqsIGF9EKD14CVlsvbCruuzIWm7tMysL&#10;Ok1nKYReNhjX+SyLF+iL/DLFHyVMbqChvaTEav/a+DoUA1lASAx7jG0tGf8ZE5OmZjHgSYA5Jgna&#10;gRt9CCbcTuJMjgUIJ7+XAl1J9Swq0pRIeXASZuPIDONcKJ9FUc1KEf1nU0wj+h8tgs8AiMgVkDZi&#10;DwBvWT9gR5hBH01j3KNxJGV0EyN4azxaBM9a+dG4bZS2H2UmIavBc9SH8E+owaPv1z1wU9AJauLL&#10;Wpf7J4tFC33rDL9roFj3zPknZmG2obawr/wjfCqpu4Lq4URJre3vj95RH0YOpJR0sCsK6n5tmRWU&#10;yO8KhvFrNpkArA+XyfQSp8KeStanErVtbzS0dAab0fBwRH0vD8fK6vYV1toSvYKIKQ6+C8q9PVxu&#10;fNxhsBi5WC6DGiwUw/y9WhmO4MgztulL/8qsGUbQw/Q+6MNeYfN3kxh10VLp5dbrqgljeuR1qAAs&#10;o9BKw+LEbXd6D1rH9b74AwAA//8DAFBLAwQUAAYACAAAACEA7i7Pf90AAAAKAQAADwAAAGRycy9k&#10;b3ducmV2LnhtbEyPQU/DMAyF70j8h8hI3FhaoN3aNZ0QguukjR04Zo3XVjRO1aRr+PeYE5ws+z09&#10;f6/aRTuIK06+d6QgXSUgkBpnemoVnD7eHzYgfNBk9OAIFXyjh119e1Pp0riFDng9hlZwCPlSK+hC&#10;GEspfdOh1X7lRiTWLm6yOvA6tdJMeuFwO8jHJMml1T3xh06P+Nph83WcrQL/FJc3WuZ9GrMET5/5&#10;fMj3s1L3d/FlCyJgDH9m+MVndKiZ6exmMl4MCrJ0nbOVhYwnGzbrZ+5y5kNRFCDrSv6vUP8AAAD/&#10;/wMAUEsBAi0AFAAGAAgAAAAhALaDOJL+AAAA4QEAABMAAAAAAAAAAAAAAAAAAAAAAFtDb250ZW50&#10;X1R5cGVzXS54bWxQSwECLQAUAAYACAAAACEAOP0h/9YAAACUAQAACwAAAAAAAAAAAAAAAAAvAQAA&#10;X3JlbHMvLnJlbHNQSwECLQAUAAYACAAAACEAhhvKcNsCAAAmBgAADgAAAAAAAAAAAAAAAAAuAgAA&#10;ZHJzL2Uyb0RvYy54bWxQSwECLQAUAAYACAAAACEA7i7Pf90AAAAKAQAADwAAAAAAAAAAAAAAAAA1&#10;BQAAZHJzL2Rvd25yZXYueG1sUEsFBgAAAAAEAAQA8wAAAD8GAAAAAA==&#10;" fillcolor="#06357a [3215]" stroked="f" strokeweight="2pt">
                <v:shadow on="t" color="black" opacity="26214f" origin="-.5,-.5" offset=".74836mm,.74836mm"/>
                <v:textbox>
                  <w:txbxContent>
                    <w:p w14:paraId="662148FA" w14:textId="2F0E6E4B" w:rsidR="007F22C8" w:rsidRPr="007F22C8" w:rsidRDefault="007F22C8" w:rsidP="007F22C8">
                      <w:pPr>
                        <w:spacing w:before="0" w:after="0"/>
                        <w:jc w:val="center"/>
                        <w:rPr>
                          <w:b/>
                          <w:color w:val="FFFFFF" w:themeColor="background1"/>
                          <w:sz w:val="28"/>
                          <w:szCs w:val="28"/>
                        </w:rPr>
                      </w:pPr>
                      <w:r w:rsidRPr="0078056B">
                        <w:rPr>
                          <w:b/>
                          <w:bCs/>
                          <w:sz w:val="28"/>
                          <w:szCs w:val="28"/>
                        </w:rPr>
                        <w:t>The estimated impact of University of Birmingham’s research</w:t>
                      </w:r>
                      <w:r>
                        <w:rPr>
                          <w:b/>
                          <w:bCs/>
                          <w:sz w:val="28"/>
                          <w:szCs w:val="28"/>
                        </w:rPr>
                        <w:t xml:space="preserve"> and knowledge exchange</w:t>
                      </w:r>
                      <w:r w:rsidRPr="0078056B">
                        <w:rPr>
                          <w:b/>
                          <w:bCs/>
                          <w:sz w:val="28"/>
                          <w:szCs w:val="28"/>
                        </w:rPr>
                        <w:t xml:space="preserve"> activities in 2021-22 </w:t>
                      </w:r>
                      <w:r w:rsidRPr="0078056B">
                        <w:rPr>
                          <w:b/>
                          <w:color w:val="FFFFFF"/>
                          <w:sz w:val="28"/>
                          <w:szCs w:val="28"/>
                        </w:rPr>
                        <w:t>st</w:t>
                      </w:r>
                      <w:r>
                        <w:rPr>
                          <w:b/>
                          <w:color w:val="FFFFFF"/>
                          <w:sz w:val="28"/>
                          <w:szCs w:val="28"/>
                        </w:rPr>
                        <w:t>ood</w:t>
                      </w:r>
                      <w:r w:rsidRPr="0078056B">
                        <w:rPr>
                          <w:b/>
                          <w:color w:val="FFFFFF"/>
                          <w:sz w:val="28"/>
                          <w:szCs w:val="28"/>
                        </w:rPr>
                        <w:t xml:space="preserve"> at £1.</w:t>
                      </w:r>
                      <w:r>
                        <w:rPr>
                          <w:b/>
                          <w:color w:val="FFFFFF"/>
                          <w:sz w:val="28"/>
                          <w:szCs w:val="28"/>
                        </w:rPr>
                        <w:t>40</w:t>
                      </w:r>
                      <w:r w:rsidRPr="0078056B">
                        <w:rPr>
                          <w:b/>
                          <w:color w:val="FFFFFF"/>
                          <w:sz w:val="28"/>
                          <w:szCs w:val="28"/>
                        </w:rPr>
                        <w:t xml:space="preserve"> billion.</w:t>
                      </w:r>
                    </w:p>
                  </w:txbxContent>
                </v:textbox>
                <w10:wrap type="square" anchorx="margin"/>
              </v:rect>
            </w:pict>
          </mc:Fallback>
        </mc:AlternateContent>
      </w:r>
      <w:r w:rsidR="00B37749" w:rsidRPr="0078056B">
        <w:rPr>
          <w:rFonts w:eastAsia="Times New Roman" w:cs="Times New Roman"/>
        </w:rPr>
        <w:t xml:space="preserve">To estimate the economic impact associated with </w:t>
      </w:r>
      <w:r w:rsidR="00B37749" w:rsidRPr="0078056B">
        <w:t>the University of Birmingham</w:t>
      </w:r>
      <w:r w:rsidR="00B37749" w:rsidRPr="0078056B">
        <w:rPr>
          <w:rFonts w:eastAsia="Times New Roman" w:cs="Times New Roman"/>
        </w:rPr>
        <w:t xml:space="preserve">’s </w:t>
      </w:r>
      <w:r w:rsidR="00B37749" w:rsidRPr="0078056B">
        <w:rPr>
          <w:b/>
          <w:bCs/>
          <w:color w:val="06357A"/>
        </w:rPr>
        <w:t>research activity</w:t>
      </w:r>
      <w:r w:rsidR="00B37749" w:rsidRPr="0078056B">
        <w:rPr>
          <w:rFonts w:eastAsia="Times New Roman" w:cs="Times New Roman"/>
        </w:rPr>
        <w:t xml:space="preserve">, we used information on the total research-related income </w:t>
      </w:r>
      <w:r w:rsidR="00B37749" w:rsidRPr="0078056B">
        <w:t xml:space="preserve">received from Research England and other sources of research grants and contract income (e.g. UK Research Councils, </w:t>
      </w:r>
      <w:r w:rsidR="009E3DA5" w:rsidRPr="0078056B">
        <w:t xml:space="preserve">central and local </w:t>
      </w:r>
      <w:r w:rsidR="00B37749" w:rsidRPr="0078056B">
        <w:t xml:space="preserve">government, charities etc.) </w:t>
      </w:r>
      <w:r w:rsidR="00B37749" w:rsidRPr="0078056B">
        <w:rPr>
          <w:rFonts w:eastAsia="Times New Roman" w:cs="Times New Roman"/>
        </w:rPr>
        <w:t xml:space="preserve">in 2021-22, which stood at </w:t>
      </w:r>
      <w:r w:rsidR="00B37749" w:rsidRPr="0078056B">
        <w:rPr>
          <w:rFonts w:eastAsia="Times New Roman" w:cs="Times New Roman"/>
          <w:b/>
          <w:bCs/>
          <w:color w:val="06357A"/>
        </w:rPr>
        <w:t>£271 million</w:t>
      </w:r>
      <w:r w:rsidR="00B37749" w:rsidRPr="0078056B">
        <w:rPr>
          <w:rFonts w:eastAsia="Times New Roman" w:cs="Times New Roman"/>
        </w:rPr>
        <w:t>.</w:t>
      </w:r>
    </w:p>
    <w:p w14:paraId="3F69D497" w14:textId="2E575F2E" w:rsidR="00B37749" w:rsidRPr="0078056B" w:rsidRDefault="00B37749" w:rsidP="00B37749">
      <w:pPr>
        <w:rPr>
          <w:rFonts w:eastAsia="Times New Roman" w:cs="Times New Roman"/>
        </w:rPr>
      </w:pPr>
      <w:r w:rsidRPr="0078056B">
        <w:rPr>
          <w:rFonts w:eastAsia="Times New Roman" w:cs="Times New Roman"/>
        </w:rPr>
        <w:t xml:space="preserve">We assessed the direct, indirect, and induced economic impacts associated with </w:t>
      </w:r>
      <w:r w:rsidR="001279B4" w:rsidRPr="0078056B">
        <w:rPr>
          <w:rFonts w:eastAsia="Times New Roman" w:cs="Times New Roman"/>
        </w:rPr>
        <w:t>the University’s</w:t>
      </w:r>
      <w:r w:rsidRPr="0078056B">
        <w:rPr>
          <w:rFonts w:eastAsia="Times New Roman" w:cs="Times New Roman"/>
        </w:rPr>
        <w:t xml:space="preserve"> research activity using economic multipliers </w:t>
      </w:r>
      <w:r w:rsidRPr="0078056B">
        <w:t>derived from a (multi-regional) Input-Output model</w:t>
      </w:r>
      <w:r w:rsidRPr="0078056B">
        <w:rPr>
          <w:rFonts w:eastAsia="Times New Roman" w:cs="Times New Roman"/>
        </w:rPr>
        <w:t xml:space="preserve">. After </w:t>
      </w:r>
      <w:proofErr w:type="gramStart"/>
      <w:r w:rsidRPr="0078056B">
        <w:rPr>
          <w:rFonts w:eastAsia="Times New Roman" w:cs="Times New Roman"/>
        </w:rPr>
        <w:t>taking into account</w:t>
      </w:r>
      <w:proofErr w:type="gramEnd"/>
      <w:r w:rsidRPr="0078056B">
        <w:rPr>
          <w:rFonts w:eastAsia="Times New Roman" w:cs="Times New Roman"/>
        </w:rPr>
        <w:t xml:space="preserve"> a total of </w:t>
      </w:r>
      <w:r w:rsidRPr="0078056B">
        <w:rPr>
          <w:b/>
          <w:bCs/>
          <w:color w:val="06357A"/>
        </w:rPr>
        <w:t>£177 million</w:t>
      </w:r>
      <w:r w:rsidRPr="0078056B">
        <w:rPr>
          <w:rFonts w:eastAsia="Times New Roman" w:cs="Times New Roman"/>
        </w:rPr>
        <w:t xml:space="preserve"> of </w:t>
      </w:r>
      <w:r w:rsidRPr="0078056B">
        <w:rPr>
          <w:b/>
          <w:bCs/>
          <w:color w:val="06357A"/>
        </w:rPr>
        <w:t>Exchequer costs</w:t>
      </w:r>
      <w:r w:rsidRPr="0078056B">
        <w:rPr>
          <w:rFonts w:eastAsia="Times New Roman" w:cs="Times New Roman"/>
        </w:rPr>
        <w:t xml:space="preserve">, the net direct, indirect, and induced research impact is estimated at </w:t>
      </w:r>
      <w:r w:rsidRPr="0078056B">
        <w:rPr>
          <w:b/>
          <w:bCs/>
          <w:color w:val="06357A"/>
        </w:rPr>
        <w:t>£192 million</w:t>
      </w:r>
      <w:r w:rsidRPr="0078056B">
        <w:rPr>
          <w:rFonts w:eastAsia="Times New Roman" w:cs="Times New Roman"/>
        </w:rPr>
        <w:t>.</w:t>
      </w:r>
    </w:p>
    <w:p w14:paraId="5A0D6FC8" w14:textId="17298C06" w:rsidR="00B37749" w:rsidRPr="0078056B" w:rsidRDefault="00B37749" w:rsidP="00B37749">
      <w:r w:rsidRPr="0078056B">
        <w:rPr>
          <w:rFonts w:eastAsia="Times New Roman" w:cs="Times New Roman"/>
        </w:rPr>
        <w:t>Existing academic literature</w:t>
      </w:r>
      <w:r w:rsidRPr="0078056B">
        <w:rPr>
          <w:rFonts w:eastAsia="Times New Roman" w:cs="Times New Roman"/>
          <w:vertAlign w:val="superscript"/>
        </w:rPr>
        <w:footnoteReference w:id="4"/>
      </w:r>
      <w:r w:rsidRPr="0078056B">
        <w:rPr>
          <w:rFonts w:eastAsia="Times New Roman" w:cs="Times New Roman"/>
        </w:rPr>
        <w:t xml:space="preserve"> suggests strong evidence of </w:t>
      </w:r>
      <w:r w:rsidRPr="0078056B">
        <w:rPr>
          <w:rFonts w:eastAsia="Times New Roman" w:cs="Times New Roman"/>
          <w:b/>
          <w:bCs/>
          <w:color w:val="06357A"/>
        </w:rPr>
        <w:t>productivity</w:t>
      </w:r>
      <w:r w:rsidRPr="0078056B">
        <w:rPr>
          <w:rFonts w:eastAsia="Times New Roman" w:cs="Times New Roman"/>
          <w:color w:val="06357A"/>
        </w:rPr>
        <w:t xml:space="preserve"> </w:t>
      </w:r>
      <w:r w:rsidRPr="0078056B">
        <w:rPr>
          <w:rFonts w:eastAsia="Times New Roman" w:cs="Times New Roman"/>
          <w:b/>
          <w:bCs/>
          <w:color w:val="06357A"/>
        </w:rPr>
        <w:t>spillovers</w:t>
      </w:r>
      <w:r w:rsidRPr="0078056B">
        <w:rPr>
          <w:rFonts w:eastAsia="Times New Roman" w:cs="Times New Roman"/>
          <w:color w:val="06357A" w:themeColor="accent1"/>
        </w:rPr>
        <w:t xml:space="preserve"> </w:t>
      </w:r>
      <w:r w:rsidRPr="0078056B">
        <w:rPr>
          <w:rFonts w:eastAsia="Times New Roman" w:cs="Times New Roman"/>
        </w:rPr>
        <w:t xml:space="preserve">from public investment in university research. Applying estimates from the </w:t>
      </w:r>
      <w:r w:rsidR="002612B2" w:rsidRPr="0078056B">
        <w:rPr>
          <w:rFonts w:eastAsia="Times New Roman" w:cs="Times New Roman"/>
        </w:rPr>
        <w:t xml:space="preserve">academic </w:t>
      </w:r>
      <w:r w:rsidRPr="0078056B">
        <w:rPr>
          <w:rFonts w:eastAsia="Times New Roman" w:cs="Times New Roman"/>
        </w:rPr>
        <w:t xml:space="preserve">literature, our analysis implies a spillover multiplier such that </w:t>
      </w:r>
      <w:r w:rsidRPr="0078056B">
        <w:rPr>
          <w:b/>
          <w:color w:val="06357A" w:themeColor="accent1"/>
        </w:rPr>
        <w:t xml:space="preserve">every £1 invested in </w:t>
      </w:r>
      <w:r w:rsidR="001279B4" w:rsidRPr="0078056B">
        <w:rPr>
          <w:b/>
          <w:color w:val="06357A" w:themeColor="accent1"/>
        </w:rPr>
        <w:t>the University’s</w:t>
      </w:r>
      <w:r w:rsidRPr="0078056B">
        <w:rPr>
          <w:b/>
          <w:color w:val="06357A" w:themeColor="accent1"/>
        </w:rPr>
        <w:t xml:space="preserve"> research activities generates additional annual economic output of £5.30 across the UK economy in terms of positive productivity spillovers </w:t>
      </w:r>
      <w:r w:rsidRPr="0078056B">
        <w:t>to the UK private sector</w:t>
      </w:r>
      <w:r w:rsidRPr="0078056B">
        <w:rPr>
          <w:rFonts w:eastAsia="Times New Roman" w:cs="Times New Roman"/>
        </w:rPr>
        <w:t>, totalling</w:t>
      </w:r>
      <w:r w:rsidRPr="0078056B">
        <w:t xml:space="preserve"> </w:t>
      </w:r>
      <w:r w:rsidRPr="0078056B">
        <w:rPr>
          <w:b/>
          <w:bCs/>
          <w:color w:val="06357A"/>
        </w:rPr>
        <w:t>£858 million</w:t>
      </w:r>
      <w:r w:rsidRPr="0078056B">
        <w:t>.</w:t>
      </w:r>
    </w:p>
    <w:p w14:paraId="50863E12" w14:textId="57B2812B" w:rsidR="00B37749" w:rsidRPr="0078056B" w:rsidRDefault="00B37749" w:rsidP="00B37749">
      <w:r w:rsidRPr="0078056B">
        <w:t xml:space="preserve">In addition to the University of Birmingham’s research, the analysis estimated the impact associated with </w:t>
      </w:r>
      <w:r w:rsidRPr="0078056B">
        <w:rPr>
          <w:rFonts w:eastAsia="Times New Roman" w:cs="Times New Roman"/>
          <w:b/>
          <w:bCs/>
          <w:color w:val="06357A"/>
        </w:rPr>
        <w:t>knowledge exchange activities</w:t>
      </w:r>
      <w:r w:rsidRPr="0078056B">
        <w:t xml:space="preserve"> at the university, including the activities of associated </w:t>
      </w:r>
      <w:r w:rsidRPr="0078056B">
        <w:rPr>
          <w:rFonts w:eastAsia="Times New Roman" w:cs="Times New Roman"/>
          <w:b/>
          <w:bCs/>
          <w:color w:val="06357A"/>
        </w:rPr>
        <w:t>spinout</w:t>
      </w:r>
      <w:r w:rsidRPr="0078056B">
        <w:t xml:space="preserve"> and </w:t>
      </w:r>
      <w:r w:rsidRPr="0078056B">
        <w:rPr>
          <w:rFonts w:eastAsia="Times New Roman" w:cs="Times New Roman"/>
          <w:b/>
          <w:bCs/>
          <w:color w:val="06357A"/>
        </w:rPr>
        <w:t>start-up companies</w:t>
      </w:r>
      <w:r w:rsidRPr="0078056B">
        <w:t xml:space="preserve">; </w:t>
      </w:r>
      <w:r w:rsidRPr="0078056B">
        <w:rPr>
          <w:rFonts w:eastAsia="Times New Roman" w:cs="Times New Roman"/>
          <w:b/>
          <w:bCs/>
          <w:color w:val="06357A"/>
        </w:rPr>
        <w:t>contract research</w:t>
      </w:r>
      <w:r w:rsidRPr="0078056B">
        <w:t xml:space="preserve"> </w:t>
      </w:r>
      <w:r w:rsidR="000936A7" w:rsidRPr="0078056B">
        <w:t>and</w:t>
      </w:r>
      <w:r w:rsidRPr="0078056B">
        <w:t xml:space="preserve"> </w:t>
      </w:r>
      <w:r w:rsidRPr="0078056B">
        <w:rPr>
          <w:rFonts w:eastAsia="Times New Roman" w:cs="Times New Roman"/>
          <w:b/>
          <w:bCs/>
          <w:color w:val="06357A"/>
        </w:rPr>
        <w:t>consultancy services</w:t>
      </w:r>
      <w:r w:rsidRPr="0078056B">
        <w:t xml:space="preserve"> provided by the university; </w:t>
      </w:r>
      <w:r w:rsidRPr="0078056B">
        <w:rPr>
          <w:rFonts w:eastAsia="Times New Roman" w:cs="Times New Roman"/>
          <w:b/>
          <w:bCs/>
          <w:color w:val="06357A"/>
        </w:rPr>
        <w:t>business and community courses</w:t>
      </w:r>
      <w:r w:rsidRPr="0078056B">
        <w:t xml:space="preserve">; </w:t>
      </w:r>
      <w:r w:rsidRPr="0078056B">
        <w:rPr>
          <w:rFonts w:eastAsia="Times New Roman" w:cs="Times New Roman"/>
          <w:b/>
          <w:bCs/>
          <w:color w:val="06357A"/>
        </w:rPr>
        <w:t>facilities and equipment hire</w:t>
      </w:r>
      <w:r w:rsidRPr="0078056B">
        <w:t xml:space="preserve">; and </w:t>
      </w:r>
      <w:r w:rsidRPr="0078056B">
        <w:rPr>
          <w:rFonts w:eastAsia="Times New Roman" w:cs="Times New Roman"/>
          <w:b/>
          <w:bCs/>
          <w:color w:val="06357A"/>
        </w:rPr>
        <w:t>licensing of university IP</w:t>
      </w:r>
      <w:r w:rsidRPr="0078056B">
        <w:t xml:space="preserve"> to </w:t>
      </w:r>
      <w:r w:rsidRPr="0078056B">
        <w:lastRenderedPageBreak/>
        <w:t xml:space="preserve">other organisations. The analysis estimates that the University of Birmingham’s knowledge exchange activities generated a total of </w:t>
      </w:r>
      <w:r w:rsidRPr="0078056B">
        <w:rPr>
          <w:rFonts w:eastAsia="Times New Roman" w:cs="Times New Roman"/>
          <w:b/>
          <w:bCs/>
          <w:color w:val="06357A"/>
        </w:rPr>
        <w:t xml:space="preserve">£348 million </w:t>
      </w:r>
      <w:r w:rsidRPr="0078056B">
        <w:t>of impact across the UK economy in 2021-22.</w:t>
      </w:r>
    </w:p>
    <w:p w14:paraId="49082064" w14:textId="4D3FAE44" w:rsidR="00B37749" w:rsidRPr="0078056B" w:rsidRDefault="00B37749" w:rsidP="00B37749">
      <w:r w:rsidRPr="0078056B">
        <w:t xml:space="preserve">The combined economic impact associated with the University of Birmingham’s research and knowledge exchange activities in 2021-22 was therefore estimated at </w:t>
      </w:r>
      <w:r w:rsidRPr="0078056B">
        <w:rPr>
          <w:rFonts w:eastAsia="Times New Roman" w:cs="Times New Roman"/>
          <w:b/>
          <w:bCs/>
          <w:color w:val="06357A"/>
        </w:rPr>
        <w:t>£1,399 million</w:t>
      </w:r>
      <w:r w:rsidRPr="0078056B">
        <w:t xml:space="preserve"> (see </w:t>
      </w:r>
      <w:r w:rsidRPr="0078056B">
        <w:fldChar w:fldCharType="begin"/>
      </w:r>
      <w:r w:rsidRPr="0078056B">
        <w:instrText xml:space="preserve"> REF _Ref160113974 \r \h  \* MERGEFORMAT </w:instrText>
      </w:r>
      <w:r w:rsidRPr="0078056B">
        <w:fldChar w:fldCharType="separate"/>
      </w:r>
      <w:r w:rsidR="00E33157">
        <w:t>Figure 1</w:t>
      </w:r>
      <w:r w:rsidRPr="0078056B">
        <w:fldChar w:fldCharType="end"/>
      </w:r>
      <w:r w:rsidRPr="0078056B">
        <w:t>).</w:t>
      </w:r>
    </w:p>
    <w:p w14:paraId="57CF6CBA" w14:textId="20D717B4" w:rsidR="00B37749" w:rsidRPr="0078056B" w:rsidRDefault="00B37749" w:rsidP="00B37749">
      <w:pPr>
        <w:rPr>
          <w:b/>
          <w:bCs/>
        </w:rPr>
      </w:pPr>
      <w:r w:rsidRPr="0078056B">
        <w:t xml:space="preserve">In terms of </w:t>
      </w:r>
      <w:r w:rsidRPr="0078056B">
        <w:rPr>
          <w:rFonts w:eastAsia="Times New Roman" w:cs="Times New Roman"/>
          <w:b/>
          <w:bCs/>
          <w:color w:val="06357A"/>
        </w:rPr>
        <w:t>gross value added</w:t>
      </w:r>
      <w:r w:rsidRPr="0078056B">
        <w:rPr>
          <w:rFonts w:eastAsia="Calibri" w:cs="Arial"/>
        </w:rPr>
        <w:t xml:space="preserve"> (GVA) </w:t>
      </w:r>
      <w:r w:rsidRPr="0078056B">
        <w:t xml:space="preserve">and </w:t>
      </w:r>
      <w:r w:rsidRPr="0078056B">
        <w:rPr>
          <w:rFonts w:eastAsia="Times New Roman" w:cs="Times New Roman"/>
          <w:b/>
          <w:bCs/>
          <w:color w:val="06357A"/>
        </w:rPr>
        <w:t>full-time equivalent</w:t>
      </w:r>
      <w:r w:rsidRPr="0078056B">
        <w:rPr>
          <w:rFonts w:eastAsia="Calibri" w:cs="Arial"/>
        </w:rPr>
        <w:t xml:space="preserve"> (FTE) </w:t>
      </w:r>
      <w:r w:rsidRPr="0078056B">
        <w:t xml:space="preserve">employment measures, the analysis estimates that the University of Birmingham’s R&amp;D activities generated </w:t>
      </w:r>
      <w:r w:rsidRPr="0078056B">
        <w:rPr>
          <w:b/>
          <w:bCs/>
          <w:color w:val="06357A"/>
        </w:rPr>
        <w:t>£324 million</w:t>
      </w:r>
      <w:r w:rsidRPr="0078056B">
        <w:t xml:space="preserve"> in </w:t>
      </w:r>
      <w:r w:rsidRPr="0078056B">
        <w:rPr>
          <w:rFonts w:eastAsia="Calibri" w:cs="Arial"/>
        </w:rPr>
        <w:t xml:space="preserve">GVA </w:t>
      </w:r>
      <w:r w:rsidRPr="0078056B">
        <w:t xml:space="preserve">and supported approximately </w:t>
      </w:r>
      <w:r w:rsidRPr="0078056B">
        <w:rPr>
          <w:b/>
          <w:bCs/>
          <w:color w:val="06357A"/>
        </w:rPr>
        <w:t xml:space="preserve">6,880 </w:t>
      </w:r>
      <w:r w:rsidRPr="0078056B">
        <w:rPr>
          <w:rFonts w:eastAsia="Calibri" w:cs="Arial"/>
        </w:rPr>
        <w:t>FTE</w:t>
      </w:r>
      <w:r w:rsidRPr="0078056B">
        <w:t xml:space="preserve"> jobs, of which </w:t>
      </w:r>
      <w:r w:rsidRPr="0078056B">
        <w:rPr>
          <w:b/>
          <w:bCs/>
          <w:color w:val="06357A"/>
        </w:rPr>
        <w:t>3,875</w:t>
      </w:r>
      <w:r w:rsidRPr="0078056B">
        <w:t xml:space="preserve"> </w:t>
      </w:r>
      <w:proofErr w:type="gramStart"/>
      <w:r w:rsidRPr="0078056B">
        <w:t>are located in</w:t>
      </w:r>
      <w:proofErr w:type="gramEnd"/>
      <w:r w:rsidRPr="0078056B">
        <w:t xml:space="preserve"> the</w:t>
      </w:r>
      <w:r w:rsidRPr="0078056B">
        <w:rPr>
          <w:b/>
          <w:bCs/>
          <w:color w:val="06357A"/>
        </w:rPr>
        <w:t xml:space="preserve"> West Midlands</w:t>
      </w:r>
      <w:r w:rsidRPr="0078056B">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B37749" w:rsidRPr="0078056B" w14:paraId="2C62F56A" w14:textId="77777777" w:rsidTr="000A186C">
        <w:trPr>
          <w:cantSplit/>
        </w:trPr>
        <w:tc>
          <w:tcPr>
            <w:tcW w:w="0" w:type="auto"/>
          </w:tcPr>
          <w:p w14:paraId="4B8AF196" w14:textId="77777777" w:rsidR="00B37749" w:rsidRPr="0078056B" w:rsidRDefault="00B37749" w:rsidP="000A186C">
            <w:pPr>
              <w:pStyle w:val="FigureTitle"/>
            </w:pPr>
            <w:bookmarkStart w:id="17" w:name="_Ref160113974"/>
            <w:bookmarkStart w:id="18" w:name="_Toc160803966"/>
            <w:bookmarkStart w:id="19" w:name="_Toc168652182"/>
            <w:r w:rsidRPr="0078056B">
              <w:t>Total economic impact of the University of Birmingham’s research and knowledge exchange activities in 2021-22, £m</w:t>
            </w:r>
            <w:bookmarkEnd w:id="17"/>
            <w:bookmarkEnd w:id="18"/>
            <w:bookmarkEnd w:id="19"/>
          </w:p>
        </w:tc>
      </w:tr>
      <w:tr w:rsidR="00B37749" w:rsidRPr="0078056B" w14:paraId="68F5144F" w14:textId="77777777" w:rsidTr="000A186C">
        <w:trPr>
          <w:cantSplit/>
        </w:trPr>
        <w:tc>
          <w:tcPr>
            <w:tcW w:w="0" w:type="auto"/>
          </w:tcPr>
          <w:p w14:paraId="6B6DA8E4" w14:textId="77777777" w:rsidR="00B37749" w:rsidRPr="0078056B" w:rsidRDefault="00B37749" w:rsidP="000A186C">
            <w:pPr>
              <w:pStyle w:val="PlaceholderText"/>
            </w:pPr>
            <w:r w:rsidRPr="0078056B">
              <w:rPr>
                <w:noProof/>
              </w:rPr>
              <w:drawing>
                <wp:inline distT="0" distB="0" distL="0" distR="0" wp14:anchorId="02BE9326" wp14:editId="641FC323">
                  <wp:extent cx="5615940" cy="1513862"/>
                  <wp:effectExtent l="0" t="0" r="3810" b="0"/>
                  <wp:docPr id="1086749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49351" name="Picture 1"/>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5615940" cy="1513862"/>
                          </a:xfrm>
                          <a:prstGeom prst="rect">
                            <a:avLst/>
                          </a:prstGeom>
                        </pic:spPr>
                      </pic:pic>
                    </a:graphicData>
                  </a:graphic>
                </wp:inline>
              </w:drawing>
            </w:r>
          </w:p>
        </w:tc>
      </w:tr>
      <w:tr w:rsidR="00B37749" w:rsidRPr="0078056B" w14:paraId="087B7184" w14:textId="77777777" w:rsidTr="000A186C">
        <w:trPr>
          <w:cantSplit/>
        </w:trPr>
        <w:tc>
          <w:tcPr>
            <w:tcW w:w="0" w:type="auto"/>
          </w:tcPr>
          <w:p w14:paraId="1D1900AE" w14:textId="77777777" w:rsidR="00B37749" w:rsidRPr="0078056B" w:rsidRDefault="00B37749" w:rsidP="000A186C">
            <w:pPr>
              <w:pStyle w:val="TableNote"/>
            </w:pPr>
            <w:r w:rsidRPr="0078056B">
              <w:t>Note: All values are presented in 2021-22 prices, rounded to the nearest £1 million, and may not add up precisely to the totals indicated.</w:t>
            </w:r>
          </w:p>
          <w:p w14:paraId="633BCEDA" w14:textId="77777777" w:rsidR="00B37749" w:rsidRPr="0078056B" w:rsidRDefault="00B37749" w:rsidP="000A186C">
            <w:pPr>
              <w:pStyle w:val="TableSource"/>
            </w:pPr>
            <w:r w:rsidRPr="0078056B">
              <w:t>Source: London Economics’ analysis</w:t>
            </w:r>
          </w:p>
        </w:tc>
      </w:tr>
    </w:tbl>
    <w:p w14:paraId="5843BB45" w14:textId="7F4103A6" w:rsidR="001F0F67" w:rsidRPr="0078056B" w:rsidRDefault="001F0F67" w:rsidP="001F0F67">
      <w:pPr>
        <w:pStyle w:val="Heading2NoNumb"/>
        <w:pBdr>
          <w:top w:val="single" w:sz="8" w:space="1" w:color="4F5961"/>
        </w:pBdr>
        <w:spacing w:before="160" w:after="160"/>
      </w:pPr>
      <w:bookmarkStart w:id="20" w:name="_Toc70611099"/>
      <w:bookmarkStart w:id="21" w:name="_Toc119925171"/>
      <w:bookmarkStart w:id="22" w:name="_Toc168652113"/>
      <w:r w:rsidRPr="0078056B">
        <w:rPr>
          <w:noProof/>
        </w:rPr>
        <w:drawing>
          <wp:anchor distT="0" distB="0" distL="114300" distR="114300" simplePos="0" relativeHeight="251676672" behindDoc="0" locked="1" layoutInCell="1" allowOverlap="1" wp14:anchorId="39743B1B" wp14:editId="4A9803CB">
            <wp:simplePos x="0" y="0"/>
            <wp:positionH relativeFrom="margin">
              <wp:posOffset>-3175</wp:posOffset>
            </wp:positionH>
            <wp:positionV relativeFrom="paragraph">
              <wp:posOffset>103505</wp:posOffset>
            </wp:positionV>
            <wp:extent cx="503555" cy="4953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03555" cy="495300"/>
                    </a:xfrm>
                    <a:prstGeom prst="rect">
                      <a:avLst/>
                    </a:prstGeom>
                  </pic:spPr>
                </pic:pic>
              </a:graphicData>
            </a:graphic>
            <wp14:sizeRelH relativeFrom="margin">
              <wp14:pctWidth>0</wp14:pctWidth>
            </wp14:sizeRelH>
            <wp14:sizeRelV relativeFrom="margin">
              <wp14:pctHeight>0</wp14:pctHeight>
            </wp14:sizeRelV>
          </wp:anchor>
        </w:drawing>
      </w:r>
      <w:r w:rsidRPr="0078056B">
        <w:rPr>
          <w:rStyle w:val="HeaderRepeat"/>
        </w:rPr>
        <w:t>The impact of the University of Birmingham’s teaching and learning activities</w:t>
      </w:r>
      <w:bookmarkEnd w:id="20"/>
      <w:bookmarkEnd w:id="21"/>
      <w:bookmarkEnd w:id="22"/>
    </w:p>
    <w:p w14:paraId="35F6DD45" w14:textId="77777777" w:rsidR="003A6119" w:rsidRPr="0078056B" w:rsidRDefault="003A6119" w:rsidP="003A6119">
      <w:pPr>
        <w:spacing w:before="120" w:after="120"/>
      </w:pPr>
      <w:r w:rsidRPr="0078056B">
        <w:t xml:space="preserve">The analysis of the impact of the University of Birmingham’s teaching and learning activities estimates the </w:t>
      </w:r>
      <w:r w:rsidRPr="0078056B">
        <w:rPr>
          <w:b/>
          <w:color w:val="06357A"/>
        </w:rPr>
        <w:t>enhanced employment and earnings benefits to graduates</w:t>
      </w:r>
      <w:r w:rsidRPr="0078056B">
        <w:t xml:space="preserve">, and, separately, the </w:t>
      </w:r>
      <w:r w:rsidRPr="0078056B">
        <w:rPr>
          <w:b/>
          <w:color w:val="06357A"/>
        </w:rPr>
        <w:t>additional taxation receipts to the public purse</w:t>
      </w:r>
      <w:r w:rsidRPr="0078056B">
        <w:rPr>
          <w:color w:val="06357A"/>
        </w:rPr>
        <w:t xml:space="preserve"> </w:t>
      </w:r>
      <w:r w:rsidRPr="0078056B">
        <w:t>associated with higher education qualification attainment at the University</w:t>
      </w:r>
      <w:r w:rsidRPr="0078056B">
        <w:rPr>
          <w:vertAlign w:val="superscript"/>
        </w:rPr>
        <w:footnoteReference w:id="5"/>
      </w:r>
      <w:r w:rsidRPr="0078056B">
        <w:t xml:space="preserve">. The analysis is adjusted for the characteristics of the </w:t>
      </w:r>
      <w:r w:rsidRPr="0078056B">
        <w:rPr>
          <w:b/>
          <w:color w:val="06357A"/>
        </w:rPr>
        <w:t>10,830</w:t>
      </w:r>
      <w:r w:rsidRPr="0078056B">
        <w:rPr>
          <w:color w:val="0B5ED7" w:themeColor="accent2"/>
        </w:rPr>
        <w:t xml:space="preserve"> </w:t>
      </w:r>
      <w:r w:rsidRPr="0078056B">
        <w:t>UK domiciled students who started a qualification</w:t>
      </w:r>
      <w:r w:rsidRPr="0078056B">
        <w:rPr>
          <w:b/>
          <w:color w:val="000000" w:themeColor="text1"/>
        </w:rPr>
        <w:t xml:space="preserve"> </w:t>
      </w:r>
      <w:r w:rsidRPr="0078056B">
        <w:t xml:space="preserve">at the University of Birmingham in the 2021-22 academic year. </w:t>
      </w:r>
    </w:p>
    <w:p w14:paraId="5A935DE2" w14:textId="7B130402" w:rsidR="003A6119" w:rsidRPr="0078056B" w:rsidRDefault="003A6119" w:rsidP="003A6119">
      <w:pPr>
        <w:spacing w:before="120" w:after="120"/>
        <w:rPr>
          <w:rFonts w:eastAsia="Times New Roman" w:cs="Times New Roman"/>
        </w:rPr>
      </w:pPr>
      <w:r w:rsidRPr="0078056B">
        <w:rPr>
          <w:rFonts w:eastAsia="Times New Roman" w:cs="Times New Roman"/>
        </w:rPr>
        <w:t xml:space="preserve">Incorporating both the expected costs associated with qualification attainment and the labour market benefits expected to be accrued by students/graduates over their working lives, the analysis suggests that the </w:t>
      </w:r>
      <w:r w:rsidRPr="0078056B">
        <w:rPr>
          <w:rFonts w:eastAsia="Times New Roman" w:cs="Times New Roman"/>
          <w:b/>
          <w:color w:val="06357A" w:themeColor="accent1"/>
        </w:rPr>
        <w:t>net graduate premium</w:t>
      </w:r>
      <w:r w:rsidRPr="0078056B">
        <w:rPr>
          <w:rFonts w:eastAsia="Times New Roman" w:cs="Times New Roman"/>
          <w:color w:val="06357A" w:themeColor="accent1"/>
        </w:rPr>
        <w:t xml:space="preserve"> </w:t>
      </w:r>
      <w:r w:rsidRPr="0078056B">
        <w:rPr>
          <w:rFonts w:eastAsia="Times New Roman" w:cs="Times New Roman"/>
        </w:rPr>
        <w:t xml:space="preserve">achieved by representative UK domiciled students in the 2021-22 cohort completing a </w:t>
      </w:r>
      <w:r w:rsidRPr="0078056B">
        <w:rPr>
          <w:rFonts w:eastAsia="Times New Roman" w:cs="Times New Roman"/>
          <w:b/>
          <w:bCs/>
          <w:color w:val="06357A" w:themeColor="accent1"/>
        </w:rPr>
        <w:t>full-time</w:t>
      </w:r>
      <w:r w:rsidRPr="0078056B">
        <w:rPr>
          <w:rFonts w:eastAsia="Times New Roman" w:cs="Times New Roman"/>
          <w:color w:val="06357A" w:themeColor="accent1"/>
        </w:rPr>
        <w:t xml:space="preserve"> </w:t>
      </w:r>
      <w:r w:rsidRPr="0078056B">
        <w:rPr>
          <w:rFonts w:eastAsia="Times New Roman" w:cs="Times New Roman"/>
          <w:b/>
          <w:bCs/>
          <w:color w:val="06357A" w:themeColor="accent1"/>
        </w:rPr>
        <w:t>first degree</w:t>
      </w:r>
      <w:r w:rsidRPr="0078056B">
        <w:rPr>
          <w:rFonts w:eastAsia="Times New Roman" w:cs="Times New Roman"/>
          <w:color w:val="06357A" w:themeColor="accent1"/>
        </w:rPr>
        <w:t xml:space="preserve"> </w:t>
      </w:r>
      <w:r w:rsidRPr="0078056B">
        <w:rPr>
          <w:rFonts w:asciiTheme="minorHAnsi" w:eastAsia="Times New Roman" w:hAnsiTheme="minorHAnsi" w:cs="Times New Roman"/>
          <w:szCs w:val="16"/>
        </w:rPr>
        <w:t>(</w:t>
      </w:r>
      <w:r w:rsidRPr="0078056B">
        <w:t>with a Level 3</w:t>
      </w:r>
      <w:r w:rsidRPr="0078056B">
        <w:rPr>
          <w:rStyle w:val="FootnoteReference"/>
        </w:rPr>
        <w:footnoteReference w:id="6"/>
      </w:r>
      <w:r w:rsidRPr="0078056B">
        <w:t xml:space="preserve"> qualification as their highest level of prior attainment</w:t>
      </w:r>
      <w:r w:rsidRPr="0078056B">
        <w:rPr>
          <w:rFonts w:eastAsia="Times New Roman" w:cs="Times New Roman"/>
        </w:rPr>
        <w:t xml:space="preserve">) stands at approximately </w:t>
      </w:r>
      <w:r w:rsidRPr="0078056B">
        <w:rPr>
          <w:rFonts w:eastAsia="Times New Roman" w:cs="Times New Roman"/>
          <w:b/>
          <w:color w:val="06357A" w:themeColor="accent1"/>
        </w:rPr>
        <w:t>£79,000</w:t>
      </w:r>
      <w:r w:rsidRPr="0078056B">
        <w:rPr>
          <w:rFonts w:eastAsia="Times New Roman" w:cs="Times New Roman"/>
        </w:rPr>
        <w:t xml:space="preserve"> (in 2021-22 money terms). Separately, taking account of the benefits and costs to the public purse, the analysis indicates that the corresponding </w:t>
      </w:r>
      <w:r w:rsidRPr="0078056B">
        <w:rPr>
          <w:rFonts w:eastAsia="Times New Roman" w:cs="Times New Roman"/>
          <w:b/>
          <w:color w:val="06357A" w:themeColor="accent1"/>
        </w:rPr>
        <w:t>net Exchequer benefit</w:t>
      </w:r>
      <w:r w:rsidRPr="0078056B">
        <w:rPr>
          <w:rFonts w:eastAsia="Times New Roman" w:cs="Times New Roman"/>
          <w:color w:val="06357A" w:themeColor="accent1"/>
        </w:rPr>
        <w:t xml:space="preserve"> </w:t>
      </w:r>
      <w:r w:rsidRPr="0078056B">
        <w:rPr>
          <w:rFonts w:eastAsia="Times New Roman" w:cs="Times New Roman"/>
        </w:rPr>
        <w:t xml:space="preserve">associated with these students stands at </w:t>
      </w:r>
      <w:r w:rsidRPr="0078056B">
        <w:rPr>
          <w:rFonts w:eastAsia="Times New Roman" w:cs="Times New Roman"/>
          <w:b/>
          <w:color w:val="06357A" w:themeColor="accent1"/>
        </w:rPr>
        <w:t>£78,000</w:t>
      </w:r>
      <w:r w:rsidRPr="0078056B">
        <w:rPr>
          <w:rFonts w:eastAsia="Times New Roman" w:cs="Times New Roman"/>
        </w:rPr>
        <w:t>.</w:t>
      </w:r>
      <w:r w:rsidRPr="0078056B">
        <w:rPr>
          <w:rStyle w:val="FootnoteReference"/>
        </w:rPr>
        <w:footnoteReference w:id="7"/>
      </w:r>
      <w:r w:rsidRPr="0078056B">
        <w:rPr>
          <w:rFonts w:eastAsia="Times New Roman" w:cs="Times New Roman"/>
        </w:rPr>
        <w:t xml:space="preserve"> </w:t>
      </w:r>
    </w:p>
    <w:p w14:paraId="62857B52" w14:textId="5A18CA2D" w:rsidR="003A6119" w:rsidRPr="0078056B" w:rsidRDefault="007F22C8" w:rsidP="003A6119">
      <w:pPr>
        <w:spacing w:before="120" w:after="120"/>
        <w:rPr>
          <w:rFonts w:eastAsia="Times New Roman" w:cs="Times New Roman"/>
        </w:rPr>
      </w:pPr>
      <w:r w:rsidRPr="0078056B">
        <w:rPr>
          <w:noProof/>
        </w:rPr>
        <w:lastRenderedPageBreak/>
        <mc:AlternateContent>
          <mc:Choice Requires="wps">
            <w:drawing>
              <wp:anchor distT="0" distB="0" distL="114300" distR="114300" simplePos="0" relativeHeight="251714560" behindDoc="0" locked="0" layoutInCell="1" allowOverlap="1" wp14:anchorId="26BC25AD" wp14:editId="00A77411">
                <wp:simplePos x="0" y="0"/>
                <wp:positionH relativeFrom="margin">
                  <wp:posOffset>-12590</wp:posOffset>
                </wp:positionH>
                <wp:positionV relativeFrom="paragraph">
                  <wp:posOffset>41275</wp:posOffset>
                </wp:positionV>
                <wp:extent cx="1915795" cy="1750695"/>
                <wp:effectExtent l="38100" t="38100" r="103505" b="97155"/>
                <wp:wrapSquare wrapText="bothSides"/>
                <wp:docPr id="2076826635" name="Rectangle 2076826635"/>
                <wp:cNvGraphicFramePr/>
                <a:graphic xmlns:a="http://schemas.openxmlformats.org/drawingml/2006/main">
                  <a:graphicData uri="http://schemas.microsoft.com/office/word/2010/wordprocessingShape">
                    <wps:wsp>
                      <wps:cNvSpPr/>
                      <wps:spPr>
                        <a:xfrm>
                          <a:off x="0" y="0"/>
                          <a:ext cx="1915795" cy="1750695"/>
                        </a:xfrm>
                        <a:prstGeom prst="rect">
                          <a:avLst/>
                        </a:prstGeom>
                        <a:solidFill>
                          <a:schemeClr val="tx2"/>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0E196C7" w14:textId="758CAD41" w:rsidR="007F22C8" w:rsidRPr="003541E0" w:rsidRDefault="007F22C8" w:rsidP="007F22C8">
                            <w:pPr>
                              <w:spacing w:before="60" w:after="60"/>
                              <w:jc w:val="center"/>
                              <w:rPr>
                                <w:b/>
                                <w:color w:val="FFFFFF" w:themeColor="background1"/>
                                <w:sz w:val="28"/>
                                <w:szCs w:val="28"/>
                              </w:rPr>
                            </w:pPr>
                            <w:r w:rsidRPr="0078056B">
                              <w:rPr>
                                <w:b/>
                                <w:color w:val="FFFFFF"/>
                                <w:sz w:val="28"/>
                                <w:szCs w:val="28"/>
                              </w:rPr>
                              <w:t>The total economic impact of teaching and learning generated by the 2021-22 cohort of University of Birmingham students st</w:t>
                            </w:r>
                            <w:r>
                              <w:rPr>
                                <w:b/>
                                <w:color w:val="FFFFFF"/>
                                <w:sz w:val="28"/>
                                <w:szCs w:val="28"/>
                              </w:rPr>
                              <w:t>ood</w:t>
                            </w:r>
                            <w:r w:rsidRPr="0078056B">
                              <w:rPr>
                                <w:b/>
                                <w:color w:val="FFFFFF"/>
                                <w:sz w:val="28"/>
                                <w:szCs w:val="28"/>
                              </w:rPr>
                              <w:t xml:space="preserve"> at £1.35 billion.</w:t>
                            </w:r>
                          </w:p>
                          <w:p w14:paraId="4F870FF3" w14:textId="2495C635" w:rsidR="007F22C8" w:rsidRPr="00E142B8" w:rsidRDefault="007F22C8" w:rsidP="007F22C8">
                            <w:pPr>
                              <w:spacing w:before="0" w:after="0"/>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6BC25AD" id="Rectangle 2076826635" o:spid="_x0000_s1031" style="position:absolute;left:0;text-align:left;margin-left:-1pt;margin-top:3.25pt;width:150.85pt;height:137.8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3co3AIAACYGAAAOAAAAZHJzL2Uyb0RvYy54bWysVE1v2zAMvQ/YfxB0Xx1nSdMGdYqgRYcB&#10;RVs0HXpWZDkWJkuapMTOfv1IyXHSrqdhOTiiRD6Sjx9X112jyE44L40uaH42okRobkqpNwX98XL3&#10;5YISH5gumTJaFHQvPL1efP501dq5GJvaqFI4AiDaz1tb0DoEO88yz2vRMH9mrNDwWBnXsACi22Sl&#10;Yy2gNyobj0bnWWtcaZ3hwnu4vU2PdBHxq0rw8FhVXgSiCgqxhfh18bvGb7a4YvONY7aWvA+D/UMU&#10;DZManA5QtywwsnXyL6hGcme8qcIZN01mqkpyEXOAbPLRu2xWNbMi5gLkeDvQ5P8fLH/YreyTAxpa&#10;6+cejphFV7kG/yE+0kWy9gNZoguEw2V+mU9nl1NKOLzls+noHATAyY7m1vnwTZiG4KGgDqoRSWK7&#10;ex+S6kEFvXmjZHknlYoCdoC4UY7sGNQudOMe/I2W0qirDVolwHQjYunBS8xiG4Rb1WVL1mrrnllZ&#10;0OnoYgTtUEqM6+tFngToi/FshD9KmNpAQwdFiTPhVYY6FgNZQEgMe4htrRj/mRJTtmYp4EmEOSYJ&#10;2pEbcwgmSidxZscCxFPYK4GulH4WFZElUD6OTuJsHJlhnAsd8vRUs1Ik//kU00j+B4voMwIicgWk&#10;Ddg9wFvWD9gJptdH0xT3YJxIGdykCN4aDxbRs9FhMG6kNu6jzBRk1XtO+hD+CTV4DN26A26goKiJ&#10;N2tT7p8cFi32rbf8TkKx7pkPT8zBbENtYV+FR/hUyrQFNf2Jktq43x/doz6MHLxS0sKuKKj/tWVO&#10;UKK+axjGy3wyweUShcl0NgbBnb6sT1/0trkx0NI5bEbL4xH1gzocK2eaV1hrS/QKT0xz8F1QHtxB&#10;uAlph8Fi5GK5jGqwUCwL93plOYIjz9imL90rc7YfwQDT+2AOe4XN301i0kVLbZbbYCoZx/TIa18B&#10;WEaxlfrFidvuVI5ax/W++AMAAP//AwBQSwMEFAAGAAgAAAAhAG1ZiX3cAAAACAEAAA8AAABkcnMv&#10;ZG93bnJldi54bWxMj8FOwzAQRO9I/IO1SNxap0YNbRqnQgiulVp64OjGSxI1Xkex3YS/ZznBbVaz&#10;mnlT7mfXixuOofOkYbXMQCDV3nbUaDh/vC82IEI0ZE3vCTV8Y4B9dX9XmsL6iY54O8VGcAiFwmho&#10;YxwKKUPdojNh6Qck9r786Ezkc2ykHc3E4a6XKsty6UxH3NCaAV9brK+n5DSEp3l6oykdVvM6w/Nn&#10;no75IWn9+DC/7EBEnOPfM/ziMzpUzHTxiWwQvYaF4ilRQ74Gwbbabp9BXFhslAJZlfL/gOoHAAD/&#10;/wMAUEsBAi0AFAAGAAgAAAAhALaDOJL+AAAA4QEAABMAAAAAAAAAAAAAAAAAAAAAAFtDb250ZW50&#10;X1R5cGVzXS54bWxQSwECLQAUAAYACAAAACEAOP0h/9YAAACUAQAACwAAAAAAAAAAAAAAAAAvAQAA&#10;X3JlbHMvLnJlbHNQSwECLQAUAAYACAAAACEA+dN3KNwCAAAmBgAADgAAAAAAAAAAAAAAAAAuAgAA&#10;ZHJzL2Uyb0RvYy54bWxQSwECLQAUAAYACAAAACEAbVmJfdwAAAAIAQAADwAAAAAAAAAAAAAAAAA2&#10;BQAAZHJzL2Rvd25yZXYueG1sUEsFBgAAAAAEAAQA8wAAAD8GAAAAAA==&#10;" fillcolor="#06357a [3215]" stroked="f" strokeweight="2pt">
                <v:shadow on="t" color="black" opacity="26214f" origin="-.5,-.5" offset=".74836mm,.74836mm"/>
                <v:textbox>
                  <w:txbxContent>
                    <w:p w14:paraId="20E196C7" w14:textId="758CAD41" w:rsidR="007F22C8" w:rsidRPr="003541E0" w:rsidRDefault="007F22C8" w:rsidP="007F22C8">
                      <w:pPr>
                        <w:spacing w:before="60" w:after="60"/>
                        <w:jc w:val="center"/>
                        <w:rPr>
                          <w:b/>
                          <w:color w:val="FFFFFF" w:themeColor="background1"/>
                          <w:sz w:val="28"/>
                          <w:szCs w:val="28"/>
                        </w:rPr>
                      </w:pPr>
                      <w:r w:rsidRPr="0078056B">
                        <w:rPr>
                          <w:b/>
                          <w:color w:val="FFFFFF"/>
                          <w:sz w:val="28"/>
                          <w:szCs w:val="28"/>
                        </w:rPr>
                        <w:t>The total economic impact of teaching and learning generated by the 2021-22 cohort of University of Birmingham students st</w:t>
                      </w:r>
                      <w:r>
                        <w:rPr>
                          <w:b/>
                          <w:color w:val="FFFFFF"/>
                          <w:sz w:val="28"/>
                          <w:szCs w:val="28"/>
                        </w:rPr>
                        <w:t>ood</w:t>
                      </w:r>
                      <w:r w:rsidRPr="0078056B">
                        <w:rPr>
                          <w:b/>
                          <w:color w:val="FFFFFF"/>
                          <w:sz w:val="28"/>
                          <w:szCs w:val="28"/>
                        </w:rPr>
                        <w:t xml:space="preserve"> at £1.35 billion.</w:t>
                      </w:r>
                    </w:p>
                    <w:p w14:paraId="4F870FF3" w14:textId="2495C635" w:rsidR="007F22C8" w:rsidRPr="00E142B8" w:rsidRDefault="007F22C8" w:rsidP="007F22C8">
                      <w:pPr>
                        <w:spacing w:before="0" w:after="0"/>
                        <w:jc w:val="center"/>
                        <w:rPr>
                          <w:b/>
                          <w:bCs/>
                          <w:sz w:val="28"/>
                          <w:szCs w:val="28"/>
                        </w:rPr>
                      </w:pPr>
                    </w:p>
                  </w:txbxContent>
                </v:textbox>
                <w10:wrap type="square" anchorx="margin"/>
              </v:rect>
            </w:pict>
          </mc:Fallback>
        </mc:AlternateContent>
      </w:r>
      <w:r w:rsidR="003A6119" w:rsidRPr="0078056B">
        <w:rPr>
          <w:rFonts w:eastAsia="Times New Roman" w:cs="Times New Roman"/>
        </w:rPr>
        <w:t xml:space="preserve">The net graduate premiums and net Exchequer benefits were combined with information on the number of students starting </w:t>
      </w:r>
      <w:r w:rsidR="009771C5" w:rsidRPr="0078056B">
        <w:rPr>
          <w:rFonts w:eastAsia="Times New Roman" w:cs="Times New Roman"/>
        </w:rPr>
        <w:t xml:space="preserve">each </w:t>
      </w:r>
      <w:r w:rsidR="003A6119" w:rsidRPr="0078056B">
        <w:rPr>
          <w:rFonts w:eastAsia="Times New Roman" w:cs="Times New Roman"/>
        </w:rPr>
        <w:t xml:space="preserve">qualification at the University of Birmingham in the 2021-22 academic year and expected completion rates. The aggregate economic impact generated by the teaching and learning activities associated with the 2021-22 cohort stood at approximately </w:t>
      </w:r>
      <w:r w:rsidR="003A6119" w:rsidRPr="0078056B">
        <w:rPr>
          <w:rFonts w:eastAsia="Times New Roman" w:cs="Times New Roman"/>
          <w:b/>
          <w:bCs/>
          <w:color w:val="06357A" w:themeColor="accent1"/>
        </w:rPr>
        <w:t xml:space="preserve">£1,346 million </w:t>
      </w:r>
      <w:r w:rsidR="003A6119" w:rsidRPr="0078056B">
        <w:rPr>
          <w:rFonts w:eastAsia="Times New Roman" w:cs="Times New Roman"/>
        </w:rPr>
        <w:t xml:space="preserve">(see </w:t>
      </w:r>
      <w:r w:rsidR="0021730A" w:rsidRPr="0078056B">
        <w:rPr>
          <w:rFonts w:eastAsia="Times New Roman" w:cs="Times New Roman"/>
        </w:rPr>
        <w:fldChar w:fldCharType="begin"/>
      </w:r>
      <w:r w:rsidR="0021730A" w:rsidRPr="0078056B">
        <w:rPr>
          <w:rFonts w:eastAsia="Times New Roman" w:cs="Times New Roman"/>
        </w:rPr>
        <w:instrText xml:space="preserve"> REF _Ref161749927 \r \h </w:instrText>
      </w:r>
      <w:r w:rsidR="0078056B">
        <w:rPr>
          <w:rFonts w:eastAsia="Times New Roman" w:cs="Times New Roman"/>
        </w:rPr>
        <w:instrText xml:space="preserve"> \* MERGEFORMAT </w:instrText>
      </w:r>
      <w:r w:rsidR="0021730A" w:rsidRPr="0078056B">
        <w:rPr>
          <w:rFonts w:eastAsia="Times New Roman" w:cs="Times New Roman"/>
        </w:rPr>
      </w:r>
      <w:r w:rsidR="0021730A" w:rsidRPr="0078056B">
        <w:rPr>
          <w:rFonts w:eastAsia="Times New Roman" w:cs="Times New Roman"/>
        </w:rPr>
        <w:fldChar w:fldCharType="separate"/>
      </w:r>
      <w:r w:rsidR="00E33157">
        <w:rPr>
          <w:rFonts w:eastAsia="Times New Roman" w:cs="Times New Roman"/>
        </w:rPr>
        <w:t>Table 2</w:t>
      </w:r>
      <w:r w:rsidR="0021730A" w:rsidRPr="0078056B">
        <w:rPr>
          <w:rFonts w:eastAsia="Times New Roman" w:cs="Times New Roman"/>
        </w:rPr>
        <w:fldChar w:fldCharType="end"/>
      </w:r>
      <w:r w:rsidR="003A6119" w:rsidRPr="0078056B">
        <w:rPr>
          <w:rFonts w:eastAsia="Times New Roman" w:cs="Times New Roman"/>
        </w:rPr>
        <w:t xml:space="preserve">). This is split evenly between the Exchequer and students/graduates: </w:t>
      </w:r>
      <w:r w:rsidR="003A6119" w:rsidRPr="0078056B">
        <w:rPr>
          <w:rFonts w:eastAsia="Times New Roman" w:cs="Times New Roman"/>
          <w:b/>
          <w:bCs/>
          <w:color w:val="06357A" w:themeColor="accent1"/>
        </w:rPr>
        <w:t>£674 million</w:t>
      </w:r>
      <w:r w:rsidR="003A6119" w:rsidRPr="0078056B">
        <w:t xml:space="preserve"> (</w:t>
      </w:r>
      <w:r w:rsidR="003A6119" w:rsidRPr="0078056B">
        <w:rPr>
          <w:rFonts w:eastAsia="Times New Roman" w:cs="Times New Roman"/>
          <w:b/>
          <w:bCs/>
          <w:color w:val="06357A" w:themeColor="accent1"/>
        </w:rPr>
        <w:t>50%</w:t>
      </w:r>
      <w:r w:rsidR="003A6119" w:rsidRPr="0078056B">
        <w:t>)</w:t>
      </w:r>
      <w:r w:rsidR="003A6119" w:rsidRPr="0078056B">
        <w:rPr>
          <w:rFonts w:eastAsia="Times New Roman" w:cs="Times New Roman"/>
          <w:color w:val="000000" w:themeColor="text1"/>
        </w:rPr>
        <w:t xml:space="preserve"> </w:t>
      </w:r>
      <w:r w:rsidR="003A6119" w:rsidRPr="0078056B">
        <w:rPr>
          <w:rFonts w:eastAsia="Times New Roman" w:cs="Times New Roman"/>
        </w:rPr>
        <w:t xml:space="preserve">of the total economic benefit generated is accrued by students/graduates undertaking qualifications at the University of Birmingham, while the remaining </w:t>
      </w:r>
      <w:r w:rsidR="003A6119" w:rsidRPr="0078056B">
        <w:rPr>
          <w:rFonts w:eastAsia="Times New Roman" w:cs="Times New Roman"/>
          <w:b/>
          <w:bCs/>
          <w:color w:val="06357A" w:themeColor="accent1"/>
        </w:rPr>
        <w:t>£671 million</w:t>
      </w:r>
      <w:r w:rsidR="003A6119" w:rsidRPr="0078056B">
        <w:t xml:space="preserve"> (</w:t>
      </w:r>
      <w:r w:rsidR="003A6119" w:rsidRPr="0078056B">
        <w:rPr>
          <w:rFonts w:eastAsia="Times New Roman" w:cs="Times New Roman"/>
          <w:b/>
          <w:bCs/>
          <w:color w:val="06357A" w:themeColor="accent1"/>
        </w:rPr>
        <w:t>50%</w:t>
      </w:r>
      <w:r w:rsidR="003A6119" w:rsidRPr="0078056B">
        <w:t>)</w:t>
      </w:r>
      <w:r w:rsidR="003A6119" w:rsidRPr="0078056B">
        <w:rPr>
          <w:rFonts w:eastAsia="Times New Roman" w:cs="Times New Roman"/>
        </w:rPr>
        <w:t xml:space="preserve"> is accrued by the Exchequer.</w:t>
      </w:r>
    </w:p>
    <w:p w14:paraId="35D8D8EC" w14:textId="716CE2C3" w:rsidR="003A6119" w:rsidRPr="0078056B" w:rsidRDefault="0021730A" w:rsidP="0021730A">
      <w:pPr>
        <w:pStyle w:val="TableTitle"/>
      </w:pPr>
      <w:bookmarkStart w:id="23" w:name="_Ref161749927"/>
      <w:bookmarkStart w:id="24" w:name="_Toc168652157"/>
      <w:r w:rsidRPr="0078056B">
        <w:t>Aggregate impact of the University of Birmingham’s teaching and learning activities associated with the 2021-22 cohort (£m), by type of impact, domicile, and level of study</w:t>
      </w:r>
      <w:bookmarkEnd w:id="23"/>
      <w:bookmarkEnd w:id="24"/>
    </w:p>
    <w:tbl>
      <w:tblPr>
        <w:tblW w:w="5000" w:type="pct"/>
        <w:tblBorders>
          <w:top w:val="single" w:sz="4" w:space="0" w:color="BFBFBF"/>
          <w:bottom w:val="single" w:sz="4" w:space="0" w:color="BFBFBF"/>
          <w:insideH w:val="single" w:sz="4" w:space="0" w:color="BFBFBF"/>
          <w:insideV w:val="single" w:sz="4" w:space="0" w:color="BFBFBF"/>
        </w:tblBorders>
        <w:tblCellMar>
          <w:left w:w="0" w:type="dxa"/>
          <w:right w:w="0" w:type="dxa"/>
        </w:tblCellMar>
        <w:tblLook w:val="0000" w:firstRow="0" w:lastRow="0" w:firstColumn="0" w:lastColumn="0" w:noHBand="0" w:noVBand="0"/>
      </w:tblPr>
      <w:tblGrid>
        <w:gridCol w:w="1558"/>
        <w:gridCol w:w="1719"/>
        <w:gridCol w:w="1480"/>
        <w:gridCol w:w="1544"/>
        <w:gridCol w:w="1275"/>
        <w:gridCol w:w="1268"/>
      </w:tblGrid>
      <w:tr w:rsidR="003A6119" w:rsidRPr="0078056B" w14:paraId="03B471C8" w14:textId="77777777" w:rsidTr="000A186C">
        <w:trPr>
          <w:trHeight w:val="283"/>
        </w:trPr>
        <w:tc>
          <w:tcPr>
            <w:tcW w:w="880" w:type="pct"/>
            <w:vMerge w:val="restart"/>
            <w:tcBorders>
              <w:top w:val="single" w:sz="4" w:space="0" w:color="06357A"/>
            </w:tcBorders>
            <w:shd w:val="clear" w:color="auto" w:fill="auto"/>
            <w:vAlign w:val="center"/>
          </w:tcPr>
          <w:p w14:paraId="5B06B14C" w14:textId="77777777" w:rsidR="003A6119" w:rsidRPr="0078056B" w:rsidRDefault="003A6119" w:rsidP="000A186C">
            <w:pPr>
              <w:pStyle w:val="TableHeading"/>
              <w:keepNext/>
              <w:ind w:left="57" w:right="57"/>
              <w:rPr>
                <w:szCs w:val="20"/>
              </w:rPr>
            </w:pPr>
            <w:r w:rsidRPr="0078056B">
              <w:rPr>
                <w:szCs w:val="20"/>
              </w:rPr>
              <w:t>Beneficiary and study level</w:t>
            </w:r>
          </w:p>
        </w:tc>
        <w:tc>
          <w:tcPr>
            <w:tcW w:w="4120" w:type="pct"/>
            <w:gridSpan w:val="5"/>
            <w:tcBorders>
              <w:top w:val="single" w:sz="4" w:space="0" w:color="06357A"/>
              <w:bottom w:val="single" w:sz="4" w:space="0" w:color="06357A"/>
            </w:tcBorders>
            <w:shd w:val="clear" w:color="auto" w:fill="auto"/>
            <w:vAlign w:val="center"/>
          </w:tcPr>
          <w:p w14:paraId="2ACC891A" w14:textId="77777777" w:rsidR="003A6119" w:rsidRPr="0078056B" w:rsidRDefault="003A6119" w:rsidP="000A186C">
            <w:pPr>
              <w:pStyle w:val="TableHeading"/>
              <w:keepNext/>
              <w:ind w:left="57" w:right="57"/>
              <w:jc w:val="center"/>
              <w:rPr>
                <w:szCs w:val="20"/>
              </w:rPr>
            </w:pPr>
            <w:r w:rsidRPr="0078056B">
              <w:rPr>
                <w:szCs w:val="20"/>
              </w:rPr>
              <w:t>Domicile</w:t>
            </w:r>
          </w:p>
        </w:tc>
      </w:tr>
      <w:tr w:rsidR="003A6119" w:rsidRPr="0078056B" w14:paraId="45F1B68A" w14:textId="77777777" w:rsidTr="000A186C">
        <w:trPr>
          <w:trHeight w:val="283"/>
        </w:trPr>
        <w:tc>
          <w:tcPr>
            <w:tcW w:w="880" w:type="pct"/>
            <w:vMerge/>
            <w:tcBorders>
              <w:bottom w:val="nil"/>
            </w:tcBorders>
            <w:shd w:val="clear" w:color="auto" w:fill="auto"/>
            <w:vAlign w:val="center"/>
          </w:tcPr>
          <w:p w14:paraId="3C7DB623" w14:textId="77777777" w:rsidR="003A6119" w:rsidRPr="0078056B" w:rsidRDefault="003A6119" w:rsidP="000A186C">
            <w:pPr>
              <w:pStyle w:val="TableHeading"/>
              <w:keepNext/>
              <w:ind w:left="57" w:right="57"/>
              <w:jc w:val="center"/>
              <w:rPr>
                <w:szCs w:val="20"/>
              </w:rPr>
            </w:pPr>
          </w:p>
        </w:tc>
        <w:tc>
          <w:tcPr>
            <w:tcW w:w="972" w:type="pct"/>
            <w:tcBorders>
              <w:top w:val="single" w:sz="4" w:space="0" w:color="06357A"/>
              <w:bottom w:val="nil"/>
            </w:tcBorders>
            <w:shd w:val="clear" w:color="auto" w:fill="auto"/>
            <w:vAlign w:val="center"/>
          </w:tcPr>
          <w:p w14:paraId="3DC12432" w14:textId="77777777" w:rsidR="003A6119" w:rsidRPr="0078056B" w:rsidRDefault="003A6119" w:rsidP="000A186C">
            <w:pPr>
              <w:pStyle w:val="TableHeading"/>
              <w:keepNext/>
              <w:ind w:left="57" w:right="57"/>
              <w:jc w:val="center"/>
              <w:rPr>
                <w:szCs w:val="20"/>
              </w:rPr>
            </w:pPr>
            <w:r w:rsidRPr="0078056B">
              <w:rPr>
                <w:szCs w:val="20"/>
              </w:rPr>
              <w:t>England</w:t>
            </w:r>
          </w:p>
        </w:tc>
        <w:tc>
          <w:tcPr>
            <w:tcW w:w="837" w:type="pct"/>
            <w:tcBorders>
              <w:top w:val="single" w:sz="4" w:space="0" w:color="06357A"/>
              <w:bottom w:val="nil"/>
            </w:tcBorders>
            <w:shd w:val="clear" w:color="auto" w:fill="auto"/>
            <w:vAlign w:val="center"/>
          </w:tcPr>
          <w:p w14:paraId="359676F2" w14:textId="77777777" w:rsidR="003A6119" w:rsidRPr="0078056B" w:rsidRDefault="003A6119" w:rsidP="000A186C">
            <w:pPr>
              <w:pStyle w:val="TableHeading"/>
              <w:keepNext/>
              <w:ind w:left="57" w:right="57"/>
              <w:jc w:val="center"/>
              <w:rPr>
                <w:szCs w:val="20"/>
              </w:rPr>
            </w:pPr>
            <w:r w:rsidRPr="0078056B">
              <w:rPr>
                <w:szCs w:val="20"/>
              </w:rPr>
              <w:t>Wales</w:t>
            </w:r>
          </w:p>
        </w:tc>
        <w:tc>
          <w:tcPr>
            <w:tcW w:w="873" w:type="pct"/>
            <w:tcBorders>
              <w:top w:val="single" w:sz="4" w:space="0" w:color="06357A"/>
              <w:bottom w:val="nil"/>
            </w:tcBorders>
            <w:shd w:val="clear" w:color="auto" w:fill="auto"/>
            <w:vAlign w:val="center"/>
          </w:tcPr>
          <w:p w14:paraId="685DE127" w14:textId="77777777" w:rsidR="003A6119" w:rsidRPr="0078056B" w:rsidRDefault="003A6119" w:rsidP="000A186C">
            <w:pPr>
              <w:pStyle w:val="TableHeading"/>
              <w:keepNext/>
              <w:ind w:left="57" w:right="57"/>
              <w:jc w:val="center"/>
              <w:rPr>
                <w:szCs w:val="20"/>
              </w:rPr>
            </w:pPr>
            <w:r w:rsidRPr="0078056B">
              <w:rPr>
                <w:szCs w:val="20"/>
              </w:rPr>
              <w:t>Scotland</w:t>
            </w:r>
          </w:p>
        </w:tc>
        <w:tc>
          <w:tcPr>
            <w:tcW w:w="721" w:type="pct"/>
            <w:tcBorders>
              <w:top w:val="single" w:sz="4" w:space="0" w:color="06357A"/>
              <w:bottom w:val="nil"/>
            </w:tcBorders>
            <w:shd w:val="clear" w:color="auto" w:fill="auto"/>
            <w:vAlign w:val="center"/>
          </w:tcPr>
          <w:p w14:paraId="74937AB1" w14:textId="77777777" w:rsidR="003A6119" w:rsidRPr="0078056B" w:rsidRDefault="003A6119" w:rsidP="000A186C">
            <w:pPr>
              <w:pStyle w:val="TableHeading"/>
              <w:keepNext/>
              <w:ind w:left="57" w:right="57"/>
              <w:jc w:val="center"/>
              <w:rPr>
                <w:szCs w:val="20"/>
              </w:rPr>
            </w:pPr>
            <w:r w:rsidRPr="0078056B">
              <w:rPr>
                <w:szCs w:val="20"/>
              </w:rPr>
              <w:t>Northern Ireland</w:t>
            </w:r>
          </w:p>
        </w:tc>
        <w:tc>
          <w:tcPr>
            <w:tcW w:w="718" w:type="pct"/>
            <w:tcBorders>
              <w:top w:val="single" w:sz="4" w:space="0" w:color="06357A"/>
              <w:bottom w:val="nil"/>
            </w:tcBorders>
            <w:shd w:val="clear" w:color="auto" w:fill="auto"/>
            <w:vAlign w:val="center"/>
          </w:tcPr>
          <w:p w14:paraId="58D6DD39" w14:textId="77777777" w:rsidR="003A6119" w:rsidRPr="0078056B" w:rsidRDefault="003A6119" w:rsidP="000A186C">
            <w:pPr>
              <w:pStyle w:val="TableHeading"/>
              <w:keepNext/>
              <w:ind w:left="57" w:right="57"/>
              <w:jc w:val="center"/>
              <w:rPr>
                <w:szCs w:val="20"/>
              </w:rPr>
            </w:pPr>
            <w:r w:rsidRPr="0078056B">
              <w:rPr>
                <w:szCs w:val="20"/>
              </w:rPr>
              <w:t>Total</w:t>
            </w:r>
          </w:p>
        </w:tc>
      </w:tr>
      <w:tr w:rsidR="003A6119" w:rsidRPr="0078056B" w14:paraId="0CAAACAB" w14:textId="77777777" w:rsidTr="000A186C">
        <w:trPr>
          <w:trHeight w:val="283"/>
        </w:trPr>
        <w:tc>
          <w:tcPr>
            <w:tcW w:w="880" w:type="pct"/>
            <w:tcBorders>
              <w:top w:val="nil"/>
              <w:bottom w:val="nil"/>
            </w:tcBorders>
            <w:shd w:val="clear" w:color="auto" w:fill="0B5ED7"/>
            <w:vAlign w:val="center"/>
          </w:tcPr>
          <w:p w14:paraId="64F49603" w14:textId="77777777" w:rsidR="003A6119" w:rsidRPr="0078056B" w:rsidRDefault="003A6119" w:rsidP="000A186C">
            <w:pPr>
              <w:keepNext/>
              <w:keepLines/>
              <w:spacing w:before="0" w:after="0"/>
              <w:ind w:left="57" w:right="57"/>
              <w:jc w:val="left"/>
              <w:rPr>
                <w:b/>
                <w:bCs/>
                <w:color w:val="FFFFFF" w:themeColor="background1"/>
                <w:sz w:val="20"/>
                <w:szCs w:val="20"/>
              </w:rPr>
            </w:pPr>
            <w:r w:rsidRPr="0078056B">
              <w:rPr>
                <w:b/>
                <w:bCs/>
                <w:color w:val="FFFFFF" w:themeColor="background1"/>
                <w:sz w:val="20"/>
                <w:szCs w:val="20"/>
              </w:rPr>
              <w:t>Students</w:t>
            </w:r>
          </w:p>
        </w:tc>
        <w:tc>
          <w:tcPr>
            <w:tcW w:w="972" w:type="pct"/>
            <w:tcBorders>
              <w:top w:val="nil"/>
              <w:bottom w:val="nil"/>
            </w:tcBorders>
            <w:shd w:val="clear" w:color="auto" w:fill="0B5ED7"/>
          </w:tcPr>
          <w:p w14:paraId="162BCEAE" w14:textId="77777777" w:rsidR="003A6119" w:rsidRPr="0078056B" w:rsidRDefault="003A6119" w:rsidP="000A186C">
            <w:pPr>
              <w:keepNext/>
              <w:keepLines/>
              <w:spacing w:before="0" w:after="0"/>
              <w:ind w:left="57" w:right="57"/>
              <w:jc w:val="center"/>
              <w:rPr>
                <w:rFonts w:cs="Calibri"/>
                <w:b/>
                <w:bCs/>
                <w:color w:val="FFFFFF" w:themeColor="background1"/>
                <w:sz w:val="20"/>
                <w:szCs w:val="20"/>
              </w:rPr>
            </w:pPr>
            <w:r w:rsidRPr="0078056B">
              <w:rPr>
                <w:b/>
                <w:bCs/>
                <w:color w:val="FFFFFF" w:themeColor="background1"/>
                <w:sz w:val="20"/>
                <w:szCs w:val="20"/>
              </w:rPr>
              <w:t xml:space="preserve">£649m </w:t>
            </w:r>
          </w:p>
        </w:tc>
        <w:tc>
          <w:tcPr>
            <w:tcW w:w="837" w:type="pct"/>
            <w:tcBorders>
              <w:top w:val="nil"/>
              <w:bottom w:val="nil"/>
            </w:tcBorders>
            <w:shd w:val="clear" w:color="auto" w:fill="0B5ED7"/>
          </w:tcPr>
          <w:p w14:paraId="29A497AB" w14:textId="77777777" w:rsidR="003A6119" w:rsidRPr="0078056B" w:rsidRDefault="003A6119" w:rsidP="000A186C">
            <w:pPr>
              <w:keepNext/>
              <w:keepLines/>
              <w:spacing w:before="0" w:after="0"/>
              <w:ind w:left="57" w:right="57"/>
              <w:jc w:val="center"/>
              <w:rPr>
                <w:rFonts w:cs="Calibri"/>
                <w:b/>
                <w:bCs/>
                <w:color w:val="FFFFFF" w:themeColor="background1"/>
                <w:sz w:val="20"/>
                <w:szCs w:val="20"/>
              </w:rPr>
            </w:pPr>
            <w:r w:rsidRPr="0078056B">
              <w:rPr>
                <w:b/>
                <w:bCs/>
                <w:color w:val="FFFFFF" w:themeColor="background1"/>
                <w:sz w:val="20"/>
                <w:szCs w:val="20"/>
              </w:rPr>
              <w:t xml:space="preserve">£20m </w:t>
            </w:r>
          </w:p>
        </w:tc>
        <w:tc>
          <w:tcPr>
            <w:tcW w:w="873" w:type="pct"/>
            <w:tcBorders>
              <w:top w:val="nil"/>
              <w:bottom w:val="nil"/>
            </w:tcBorders>
            <w:shd w:val="clear" w:color="auto" w:fill="0B5ED7"/>
          </w:tcPr>
          <w:p w14:paraId="2A5B4647" w14:textId="77777777" w:rsidR="003A6119" w:rsidRPr="0078056B" w:rsidRDefault="003A6119" w:rsidP="000A186C">
            <w:pPr>
              <w:keepNext/>
              <w:keepLines/>
              <w:spacing w:before="0" w:after="0"/>
              <w:ind w:left="57" w:right="57"/>
              <w:jc w:val="center"/>
              <w:rPr>
                <w:rFonts w:cs="Calibri"/>
                <w:b/>
                <w:bCs/>
                <w:color w:val="FFFFFF" w:themeColor="background1"/>
                <w:sz w:val="20"/>
                <w:szCs w:val="20"/>
              </w:rPr>
            </w:pPr>
            <w:r w:rsidRPr="0078056B">
              <w:rPr>
                <w:b/>
                <w:bCs/>
                <w:color w:val="FFFFFF" w:themeColor="background1"/>
                <w:sz w:val="20"/>
                <w:szCs w:val="20"/>
              </w:rPr>
              <w:t xml:space="preserve">£2m </w:t>
            </w:r>
          </w:p>
        </w:tc>
        <w:tc>
          <w:tcPr>
            <w:tcW w:w="721" w:type="pct"/>
            <w:tcBorders>
              <w:top w:val="nil"/>
              <w:bottom w:val="nil"/>
            </w:tcBorders>
            <w:shd w:val="clear" w:color="auto" w:fill="0B5ED7"/>
          </w:tcPr>
          <w:p w14:paraId="0AA3CC64" w14:textId="77777777" w:rsidR="003A6119" w:rsidRPr="0078056B" w:rsidRDefault="003A6119" w:rsidP="000A186C">
            <w:pPr>
              <w:keepNext/>
              <w:keepLines/>
              <w:spacing w:before="0" w:after="0"/>
              <w:ind w:left="57" w:right="57"/>
              <w:jc w:val="center"/>
              <w:rPr>
                <w:rFonts w:cs="Calibri"/>
                <w:b/>
                <w:bCs/>
                <w:color w:val="FFFFFF" w:themeColor="background1"/>
                <w:sz w:val="20"/>
                <w:szCs w:val="20"/>
              </w:rPr>
            </w:pPr>
            <w:r w:rsidRPr="0078056B">
              <w:rPr>
                <w:b/>
                <w:bCs/>
                <w:color w:val="FFFFFF" w:themeColor="background1"/>
                <w:sz w:val="20"/>
                <w:szCs w:val="20"/>
              </w:rPr>
              <w:t xml:space="preserve">£3m </w:t>
            </w:r>
          </w:p>
        </w:tc>
        <w:tc>
          <w:tcPr>
            <w:tcW w:w="718" w:type="pct"/>
            <w:tcBorders>
              <w:top w:val="nil"/>
              <w:bottom w:val="nil"/>
            </w:tcBorders>
            <w:shd w:val="clear" w:color="auto" w:fill="0B5ED7"/>
          </w:tcPr>
          <w:p w14:paraId="48E4CD74" w14:textId="77777777" w:rsidR="003A6119" w:rsidRPr="0078056B" w:rsidRDefault="003A6119" w:rsidP="000A186C">
            <w:pPr>
              <w:keepNext/>
              <w:keepLines/>
              <w:spacing w:before="0" w:after="0"/>
              <w:ind w:left="57" w:right="57"/>
              <w:jc w:val="center"/>
              <w:rPr>
                <w:rFonts w:cs="Calibri"/>
                <w:b/>
                <w:bCs/>
                <w:color w:val="FFFFFF" w:themeColor="background1"/>
                <w:sz w:val="20"/>
                <w:szCs w:val="20"/>
              </w:rPr>
            </w:pPr>
            <w:r w:rsidRPr="0078056B">
              <w:rPr>
                <w:b/>
                <w:bCs/>
                <w:color w:val="FFFFFF" w:themeColor="background1"/>
                <w:sz w:val="20"/>
                <w:szCs w:val="20"/>
              </w:rPr>
              <w:t xml:space="preserve">£674m </w:t>
            </w:r>
          </w:p>
        </w:tc>
      </w:tr>
      <w:tr w:rsidR="003A6119" w:rsidRPr="0078056B" w14:paraId="28141A7F" w14:textId="77777777" w:rsidTr="000A186C">
        <w:trPr>
          <w:trHeight w:val="283"/>
        </w:trPr>
        <w:tc>
          <w:tcPr>
            <w:tcW w:w="880" w:type="pct"/>
            <w:tcBorders>
              <w:top w:val="nil"/>
            </w:tcBorders>
            <w:shd w:val="clear" w:color="auto" w:fill="auto"/>
            <w:vAlign w:val="center"/>
          </w:tcPr>
          <w:p w14:paraId="0AAEC137" w14:textId="77777777" w:rsidR="003A6119" w:rsidRPr="0078056B" w:rsidRDefault="003A6119" w:rsidP="000A186C">
            <w:pPr>
              <w:keepNext/>
              <w:keepLines/>
              <w:spacing w:before="0" w:after="0"/>
              <w:ind w:left="57" w:right="57"/>
              <w:jc w:val="left"/>
              <w:rPr>
                <w:sz w:val="20"/>
                <w:szCs w:val="20"/>
              </w:rPr>
            </w:pPr>
            <w:r w:rsidRPr="0078056B">
              <w:rPr>
                <w:color w:val="000000"/>
                <w:sz w:val="20"/>
                <w:szCs w:val="20"/>
              </w:rPr>
              <w:t>Undergraduate</w:t>
            </w:r>
          </w:p>
        </w:tc>
        <w:tc>
          <w:tcPr>
            <w:tcW w:w="972" w:type="pct"/>
            <w:tcBorders>
              <w:top w:val="nil"/>
            </w:tcBorders>
            <w:shd w:val="clear" w:color="auto" w:fill="auto"/>
          </w:tcPr>
          <w:p w14:paraId="6D370B15"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£500m </w:t>
            </w:r>
          </w:p>
        </w:tc>
        <w:tc>
          <w:tcPr>
            <w:tcW w:w="837" w:type="pct"/>
            <w:tcBorders>
              <w:top w:val="nil"/>
            </w:tcBorders>
            <w:shd w:val="clear" w:color="auto" w:fill="auto"/>
          </w:tcPr>
          <w:p w14:paraId="73B115FE"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£15m </w:t>
            </w:r>
          </w:p>
        </w:tc>
        <w:tc>
          <w:tcPr>
            <w:tcW w:w="873" w:type="pct"/>
            <w:tcBorders>
              <w:top w:val="nil"/>
            </w:tcBorders>
            <w:shd w:val="clear" w:color="auto" w:fill="auto"/>
          </w:tcPr>
          <w:p w14:paraId="6BA5AABB"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£1m </w:t>
            </w:r>
          </w:p>
        </w:tc>
        <w:tc>
          <w:tcPr>
            <w:tcW w:w="721" w:type="pct"/>
            <w:tcBorders>
              <w:top w:val="nil"/>
            </w:tcBorders>
            <w:shd w:val="clear" w:color="auto" w:fill="auto"/>
          </w:tcPr>
          <w:p w14:paraId="4D93B2B5"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£2m </w:t>
            </w:r>
          </w:p>
        </w:tc>
        <w:tc>
          <w:tcPr>
            <w:tcW w:w="718" w:type="pct"/>
            <w:tcBorders>
              <w:top w:val="nil"/>
            </w:tcBorders>
            <w:shd w:val="clear" w:color="auto" w:fill="auto"/>
          </w:tcPr>
          <w:p w14:paraId="363B9D73" w14:textId="77777777" w:rsidR="003A6119" w:rsidRPr="0078056B" w:rsidRDefault="003A6119" w:rsidP="000A186C">
            <w:pPr>
              <w:keepNext/>
              <w:keepLines/>
              <w:spacing w:before="0" w:after="0"/>
              <w:ind w:left="57" w:right="57"/>
              <w:jc w:val="center"/>
              <w:rPr>
                <w:b/>
                <w:bCs/>
                <w:i/>
                <w:color w:val="06357A"/>
                <w:sz w:val="20"/>
                <w:szCs w:val="20"/>
              </w:rPr>
            </w:pPr>
            <w:r w:rsidRPr="0078056B">
              <w:rPr>
                <w:b/>
                <w:bCs/>
                <w:color w:val="06357A"/>
                <w:sz w:val="20"/>
                <w:szCs w:val="20"/>
              </w:rPr>
              <w:t xml:space="preserve">£518m </w:t>
            </w:r>
          </w:p>
        </w:tc>
      </w:tr>
      <w:tr w:rsidR="003A6119" w:rsidRPr="0078056B" w14:paraId="55AE2B77" w14:textId="77777777" w:rsidTr="000A186C">
        <w:trPr>
          <w:trHeight w:val="283"/>
        </w:trPr>
        <w:tc>
          <w:tcPr>
            <w:tcW w:w="880" w:type="pct"/>
            <w:tcBorders>
              <w:bottom w:val="single" w:sz="4" w:space="0" w:color="06357A"/>
            </w:tcBorders>
            <w:shd w:val="clear" w:color="auto" w:fill="auto"/>
            <w:vAlign w:val="center"/>
          </w:tcPr>
          <w:p w14:paraId="26494C2F" w14:textId="77777777" w:rsidR="003A6119" w:rsidRPr="0078056B" w:rsidRDefault="003A6119" w:rsidP="000A186C">
            <w:pPr>
              <w:keepNext/>
              <w:keepLines/>
              <w:spacing w:before="0" w:after="0"/>
              <w:ind w:left="57" w:right="57"/>
              <w:jc w:val="left"/>
              <w:rPr>
                <w:sz w:val="20"/>
                <w:szCs w:val="20"/>
              </w:rPr>
            </w:pPr>
            <w:r w:rsidRPr="0078056B">
              <w:rPr>
                <w:color w:val="000000"/>
                <w:sz w:val="20"/>
                <w:szCs w:val="20"/>
              </w:rPr>
              <w:t>Postgraduate</w:t>
            </w:r>
          </w:p>
        </w:tc>
        <w:tc>
          <w:tcPr>
            <w:tcW w:w="972" w:type="pct"/>
            <w:tcBorders>
              <w:bottom w:val="single" w:sz="4" w:space="0" w:color="06357A"/>
            </w:tcBorders>
            <w:shd w:val="clear" w:color="auto" w:fill="auto"/>
          </w:tcPr>
          <w:p w14:paraId="64FC7CF1"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£149m </w:t>
            </w:r>
          </w:p>
        </w:tc>
        <w:tc>
          <w:tcPr>
            <w:tcW w:w="837" w:type="pct"/>
            <w:tcBorders>
              <w:bottom w:val="single" w:sz="4" w:space="0" w:color="06357A"/>
            </w:tcBorders>
            <w:shd w:val="clear" w:color="auto" w:fill="auto"/>
          </w:tcPr>
          <w:p w14:paraId="45520989"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£5m </w:t>
            </w:r>
          </w:p>
        </w:tc>
        <w:tc>
          <w:tcPr>
            <w:tcW w:w="873" w:type="pct"/>
            <w:tcBorders>
              <w:bottom w:val="single" w:sz="4" w:space="0" w:color="06357A"/>
            </w:tcBorders>
            <w:shd w:val="clear" w:color="auto" w:fill="auto"/>
          </w:tcPr>
          <w:p w14:paraId="77449A64"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£1m </w:t>
            </w:r>
          </w:p>
        </w:tc>
        <w:tc>
          <w:tcPr>
            <w:tcW w:w="721" w:type="pct"/>
            <w:tcBorders>
              <w:bottom w:val="single" w:sz="4" w:space="0" w:color="06357A"/>
            </w:tcBorders>
            <w:shd w:val="clear" w:color="auto" w:fill="auto"/>
          </w:tcPr>
          <w:p w14:paraId="1DE3F56D"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£1m </w:t>
            </w:r>
          </w:p>
        </w:tc>
        <w:tc>
          <w:tcPr>
            <w:tcW w:w="718" w:type="pct"/>
            <w:tcBorders>
              <w:bottom w:val="single" w:sz="4" w:space="0" w:color="06357A"/>
            </w:tcBorders>
            <w:shd w:val="clear" w:color="auto" w:fill="auto"/>
          </w:tcPr>
          <w:p w14:paraId="4D4B1D41" w14:textId="77777777" w:rsidR="003A6119" w:rsidRPr="0078056B" w:rsidRDefault="003A6119" w:rsidP="000A186C">
            <w:pPr>
              <w:keepNext/>
              <w:keepLines/>
              <w:spacing w:before="0" w:after="0"/>
              <w:ind w:left="57" w:right="57"/>
              <w:jc w:val="center"/>
              <w:rPr>
                <w:b/>
                <w:bCs/>
                <w:i/>
                <w:color w:val="06357A"/>
                <w:sz w:val="20"/>
                <w:szCs w:val="20"/>
              </w:rPr>
            </w:pPr>
            <w:r w:rsidRPr="0078056B">
              <w:rPr>
                <w:b/>
                <w:bCs/>
                <w:color w:val="06357A"/>
                <w:sz w:val="20"/>
                <w:szCs w:val="20"/>
              </w:rPr>
              <w:t xml:space="preserve">£156m </w:t>
            </w:r>
          </w:p>
        </w:tc>
      </w:tr>
      <w:tr w:rsidR="003A6119" w:rsidRPr="0078056B" w14:paraId="08893ED3" w14:textId="77777777" w:rsidTr="000A186C">
        <w:trPr>
          <w:trHeight w:val="283"/>
        </w:trPr>
        <w:tc>
          <w:tcPr>
            <w:tcW w:w="880" w:type="pct"/>
            <w:tcBorders>
              <w:top w:val="single" w:sz="4" w:space="0" w:color="06357A"/>
              <w:bottom w:val="nil"/>
            </w:tcBorders>
            <w:shd w:val="clear" w:color="auto" w:fill="0B5ED7"/>
            <w:vAlign w:val="center"/>
          </w:tcPr>
          <w:p w14:paraId="15C660CE" w14:textId="77777777" w:rsidR="003A6119" w:rsidRPr="0078056B" w:rsidRDefault="003A6119" w:rsidP="000A186C">
            <w:pPr>
              <w:keepNext/>
              <w:keepLines/>
              <w:spacing w:before="0" w:after="0"/>
              <w:ind w:left="57" w:right="57"/>
              <w:jc w:val="left"/>
              <w:rPr>
                <w:b/>
                <w:bCs/>
                <w:color w:val="FFFFFF" w:themeColor="background1"/>
                <w:sz w:val="20"/>
                <w:szCs w:val="20"/>
              </w:rPr>
            </w:pPr>
            <w:r w:rsidRPr="0078056B">
              <w:rPr>
                <w:b/>
                <w:bCs/>
                <w:color w:val="FFFFFF" w:themeColor="background1"/>
                <w:sz w:val="20"/>
                <w:szCs w:val="20"/>
              </w:rPr>
              <w:t>Exchequer</w:t>
            </w:r>
          </w:p>
        </w:tc>
        <w:tc>
          <w:tcPr>
            <w:tcW w:w="972" w:type="pct"/>
            <w:tcBorders>
              <w:top w:val="single" w:sz="4" w:space="0" w:color="06357A"/>
              <w:bottom w:val="nil"/>
            </w:tcBorders>
            <w:shd w:val="clear" w:color="auto" w:fill="0B5ED7"/>
          </w:tcPr>
          <w:p w14:paraId="767C79E0" w14:textId="77777777" w:rsidR="003A6119" w:rsidRPr="0078056B" w:rsidRDefault="003A6119" w:rsidP="000A186C">
            <w:pPr>
              <w:keepNext/>
              <w:keepLines/>
              <w:spacing w:before="0" w:after="0"/>
              <w:ind w:left="57" w:right="57"/>
              <w:jc w:val="center"/>
              <w:rPr>
                <w:rFonts w:cs="Calibri"/>
                <w:b/>
                <w:bCs/>
                <w:color w:val="FFFFFF" w:themeColor="background1"/>
                <w:sz w:val="20"/>
                <w:szCs w:val="20"/>
              </w:rPr>
            </w:pPr>
            <w:r w:rsidRPr="0078056B">
              <w:rPr>
                <w:b/>
                <w:bCs/>
                <w:color w:val="FFFFFF" w:themeColor="background1"/>
                <w:sz w:val="20"/>
                <w:szCs w:val="20"/>
              </w:rPr>
              <w:t xml:space="preserve">£646m </w:t>
            </w:r>
          </w:p>
        </w:tc>
        <w:tc>
          <w:tcPr>
            <w:tcW w:w="837" w:type="pct"/>
            <w:tcBorders>
              <w:top w:val="single" w:sz="4" w:space="0" w:color="06357A"/>
              <w:bottom w:val="nil"/>
            </w:tcBorders>
            <w:shd w:val="clear" w:color="auto" w:fill="0B5ED7"/>
          </w:tcPr>
          <w:p w14:paraId="205C8BAD" w14:textId="77777777" w:rsidR="003A6119" w:rsidRPr="0078056B" w:rsidRDefault="003A6119" w:rsidP="000A186C">
            <w:pPr>
              <w:keepNext/>
              <w:keepLines/>
              <w:spacing w:before="0" w:after="0"/>
              <w:ind w:left="57" w:right="57"/>
              <w:jc w:val="center"/>
              <w:rPr>
                <w:rFonts w:cs="Calibri"/>
                <w:b/>
                <w:bCs/>
                <w:color w:val="FFFFFF" w:themeColor="background1"/>
                <w:sz w:val="20"/>
                <w:szCs w:val="20"/>
              </w:rPr>
            </w:pPr>
            <w:r w:rsidRPr="0078056B">
              <w:rPr>
                <w:b/>
                <w:bCs/>
                <w:color w:val="FFFFFF" w:themeColor="background1"/>
                <w:sz w:val="20"/>
                <w:szCs w:val="20"/>
              </w:rPr>
              <w:t xml:space="preserve">£20m </w:t>
            </w:r>
          </w:p>
        </w:tc>
        <w:tc>
          <w:tcPr>
            <w:tcW w:w="873" w:type="pct"/>
            <w:tcBorders>
              <w:top w:val="single" w:sz="4" w:space="0" w:color="06357A"/>
              <w:bottom w:val="nil"/>
            </w:tcBorders>
            <w:shd w:val="clear" w:color="auto" w:fill="0B5ED7"/>
          </w:tcPr>
          <w:p w14:paraId="196724B9" w14:textId="77777777" w:rsidR="003A6119" w:rsidRPr="0078056B" w:rsidRDefault="003A6119" w:rsidP="000A186C">
            <w:pPr>
              <w:keepNext/>
              <w:keepLines/>
              <w:spacing w:before="0" w:after="0"/>
              <w:ind w:left="57" w:right="57"/>
              <w:jc w:val="center"/>
              <w:rPr>
                <w:rFonts w:cs="Calibri"/>
                <w:b/>
                <w:bCs/>
                <w:color w:val="FFFFFF" w:themeColor="background1"/>
                <w:sz w:val="20"/>
                <w:szCs w:val="20"/>
              </w:rPr>
            </w:pPr>
            <w:r w:rsidRPr="0078056B">
              <w:rPr>
                <w:b/>
                <w:bCs/>
                <w:color w:val="FFFFFF" w:themeColor="background1"/>
                <w:sz w:val="20"/>
                <w:szCs w:val="20"/>
              </w:rPr>
              <w:t xml:space="preserve">£3m </w:t>
            </w:r>
          </w:p>
        </w:tc>
        <w:tc>
          <w:tcPr>
            <w:tcW w:w="721" w:type="pct"/>
            <w:tcBorders>
              <w:top w:val="single" w:sz="4" w:space="0" w:color="06357A"/>
              <w:bottom w:val="nil"/>
            </w:tcBorders>
            <w:shd w:val="clear" w:color="auto" w:fill="0B5ED7"/>
          </w:tcPr>
          <w:p w14:paraId="24F87B84" w14:textId="77777777" w:rsidR="003A6119" w:rsidRPr="0078056B" w:rsidRDefault="003A6119" w:rsidP="000A186C">
            <w:pPr>
              <w:keepNext/>
              <w:keepLines/>
              <w:spacing w:before="0" w:after="0"/>
              <w:ind w:left="57" w:right="57"/>
              <w:jc w:val="center"/>
              <w:rPr>
                <w:rFonts w:cs="Calibri"/>
                <w:b/>
                <w:bCs/>
                <w:color w:val="FFFFFF" w:themeColor="background1"/>
                <w:sz w:val="20"/>
                <w:szCs w:val="20"/>
              </w:rPr>
            </w:pPr>
            <w:r w:rsidRPr="0078056B">
              <w:rPr>
                <w:b/>
                <w:bCs/>
                <w:color w:val="FFFFFF" w:themeColor="background1"/>
                <w:sz w:val="20"/>
                <w:szCs w:val="20"/>
              </w:rPr>
              <w:t xml:space="preserve">£3m </w:t>
            </w:r>
          </w:p>
        </w:tc>
        <w:tc>
          <w:tcPr>
            <w:tcW w:w="718" w:type="pct"/>
            <w:tcBorders>
              <w:top w:val="single" w:sz="4" w:space="0" w:color="06357A"/>
              <w:bottom w:val="nil"/>
            </w:tcBorders>
            <w:shd w:val="clear" w:color="auto" w:fill="0B5ED7"/>
          </w:tcPr>
          <w:p w14:paraId="6BA7342B" w14:textId="77777777" w:rsidR="003A6119" w:rsidRPr="0078056B" w:rsidRDefault="003A6119" w:rsidP="000A186C">
            <w:pPr>
              <w:keepNext/>
              <w:keepLines/>
              <w:spacing w:before="0" w:after="0"/>
              <w:ind w:left="57" w:right="57"/>
              <w:jc w:val="center"/>
              <w:rPr>
                <w:rFonts w:cs="Calibri"/>
                <w:b/>
                <w:bCs/>
                <w:color w:val="FFFFFF" w:themeColor="background1"/>
                <w:sz w:val="20"/>
                <w:szCs w:val="20"/>
              </w:rPr>
            </w:pPr>
            <w:r w:rsidRPr="0078056B">
              <w:rPr>
                <w:b/>
                <w:bCs/>
                <w:color w:val="FFFFFF" w:themeColor="background1"/>
                <w:sz w:val="20"/>
                <w:szCs w:val="20"/>
              </w:rPr>
              <w:t xml:space="preserve">£671m </w:t>
            </w:r>
          </w:p>
        </w:tc>
      </w:tr>
      <w:tr w:rsidR="003A6119" w:rsidRPr="0078056B" w14:paraId="1F63F553" w14:textId="77777777" w:rsidTr="000A186C">
        <w:trPr>
          <w:trHeight w:val="283"/>
        </w:trPr>
        <w:tc>
          <w:tcPr>
            <w:tcW w:w="880" w:type="pct"/>
            <w:tcBorders>
              <w:top w:val="nil"/>
            </w:tcBorders>
            <w:shd w:val="clear" w:color="auto" w:fill="auto"/>
            <w:vAlign w:val="center"/>
          </w:tcPr>
          <w:p w14:paraId="143BD908" w14:textId="77777777" w:rsidR="003A6119" w:rsidRPr="0078056B" w:rsidRDefault="003A6119" w:rsidP="000A186C">
            <w:pPr>
              <w:keepNext/>
              <w:keepLines/>
              <w:spacing w:before="0" w:after="0"/>
              <w:ind w:left="57" w:right="57"/>
              <w:jc w:val="left"/>
              <w:rPr>
                <w:sz w:val="20"/>
                <w:szCs w:val="20"/>
              </w:rPr>
            </w:pPr>
            <w:r w:rsidRPr="0078056B">
              <w:rPr>
                <w:color w:val="000000"/>
                <w:sz w:val="20"/>
                <w:szCs w:val="20"/>
              </w:rPr>
              <w:t>Undergraduate</w:t>
            </w:r>
          </w:p>
        </w:tc>
        <w:tc>
          <w:tcPr>
            <w:tcW w:w="972" w:type="pct"/>
            <w:tcBorders>
              <w:top w:val="nil"/>
            </w:tcBorders>
            <w:shd w:val="clear" w:color="auto" w:fill="auto"/>
          </w:tcPr>
          <w:p w14:paraId="5701BA1B"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£478m </w:t>
            </w:r>
          </w:p>
        </w:tc>
        <w:tc>
          <w:tcPr>
            <w:tcW w:w="837" w:type="pct"/>
            <w:tcBorders>
              <w:top w:val="nil"/>
            </w:tcBorders>
            <w:shd w:val="clear" w:color="auto" w:fill="auto"/>
          </w:tcPr>
          <w:p w14:paraId="784D9278"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£14m </w:t>
            </w:r>
          </w:p>
        </w:tc>
        <w:tc>
          <w:tcPr>
            <w:tcW w:w="873" w:type="pct"/>
            <w:tcBorders>
              <w:top w:val="nil"/>
            </w:tcBorders>
            <w:shd w:val="clear" w:color="auto" w:fill="auto"/>
          </w:tcPr>
          <w:p w14:paraId="52F8FEAD"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£1m </w:t>
            </w:r>
          </w:p>
        </w:tc>
        <w:tc>
          <w:tcPr>
            <w:tcW w:w="721" w:type="pct"/>
            <w:tcBorders>
              <w:top w:val="nil"/>
            </w:tcBorders>
            <w:shd w:val="clear" w:color="auto" w:fill="auto"/>
          </w:tcPr>
          <w:p w14:paraId="354F2111"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£2m </w:t>
            </w:r>
          </w:p>
        </w:tc>
        <w:tc>
          <w:tcPr>
            <w:tcW w:w="718" w:type="pct"/>
            <w:tcBorders>
              <w:top w:val="nil"/>
            </w:tcBorders>
            <w:shd w:val="clear" w:color="auto" w:fill="auto"/>
          </w:tcPr>
          <w:p w14:paraId="37B46A6F" w14:textId="77777777" w:rsidR="003A6119" w:rsidRPr="0078056B" w:rsidRDefault="003A6119" w:rsidP="000A186C">
            <w:pPr>
              <w:keepNext/>
              <w:keepLines/>
              <w:spacing w:before="0" w:after="0"/>
              <w:ind w:left="57" w:right="57"/>
              <w:jc w:val="center"/>
              <w:rPr>
                <w:b/>
                <w:bCs/>
                <w:color w:val="06357A"/>
                <w:sz w:val="20"/>
                <w:szCs w:val="20"/>
              </w:rPr>
            </w:pPr>
            <w:r w:rsidRPr="0078056B">
              <w:rPr>
                <w:b/>
                <w:bCs/>
                <w:color w:val="06357A"/>
                <w:sz w:val="20"/>
                <w:szCs w:val="20"/>
              </w:rPr>
              <w:t xml:space="preserve">£495m </w:t>
            </w:r>
          </w:p>
        </w:tc>
      </w:tr>
      <w:tr w:rsidR="003A6119" w:rsidRPr="0078056B" w14:paraId="06A9B48C" w14:textId="77777777" w:rsidTr="000A186C">
        <w:trPr>
          <w:trHeight w:val="283"/>
        </w:trPr>
        <w:tc>
          <w:tcPr>
            <w:tcW w:w="880" w:type="pct"/>
            <w:tcBorders>
              <w:bottom w:val="single" w:sz="4" w:space="0" w:color="06357A"/>
            </w:tcBorders>
            <w:shd w:val="clear" w:color="auto" w:fill="auto"/>
            <w:vAlign w:val="center"/>
          </w:tcPr>
          <w:p w14:paraId="58C73230" w14:textId="77777777" w:rsidR="003A6119" w:rsidRPr="0078056B" w:rsidRDefault="003A6119" w:rsidP="000A186C">
            <w:pPr>
              <w:keepNext/>
              <w:keepLines/>
              <w:spacing w:before="0" w:after="0"/>
              <w:ind w:left="57" w:right="57"/>
              <w:jc w:val="left"/>
              <w:rPr>
                <w:sz w:val="20"/>
                <w:szCs w:val="20"/>
              </w:rPr>
            </w:pPr>
            <w:r w:rsidRPr="0078056B">
              <w:rPr>
                <w:color w:val="000000"/>
                <w:sz w:val="20"/>
                <w:szCs w:val="20"/>
              </w:rPr>
              <w:t>Postgraduate</w:t>
            </w:r>
          </w:p>
        </w:tc>
        <w:tc>
          <w:tcPr>
            <w:tcW w:w="972" w:type="pct"/>
            <w:tcBorders>
              <w:bottom w:val="single" w:sz="4" w:space="0" w:color="06357A"/>
            </w:tcBorders>
            <w:shd w:val="clear" w:color="auto" w:fill="auto"/>
          </w:tcPr>
          <w:p w14:paraId="6CDD4EC0"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£168m </w:t>
            </w:r>
          </w:p>
        </w:tc>
        <w:tc>
          <w:tcPr>
            <w:tcW w:w="837" w:type="pct"/>
            <w:tcBorders>
              <w:bottom w:val="single" w:sz="4" w:space="0" w:color="06357A"/>
            </w:tcBorders>
            <w:shd w:val="clear" w:color="auto" w:fill="auto"/>
          </w:tcPr>
          <w:p w14:paraId="01230A80"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£6m </w:t>
            </w:r>
          </w:p>
        </w:tc>
        <w:tc>
          <w:tcPr>
            <w:tcW w:w="873" w:type="pct"/>
            <w:tcBorders>
              <w:bottom w:val="single" w:sz="4" w:space="0" w:color="06357A"/>
            </w:tcBorders>
            <w:shd w:val="clear" w:color="auto" w:fill="auto"/>
          </w:tcPr>
          <w:p w14:paraId="38566F99"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£2m </w:t>
            </w:r>
          </w:p>
        </w:tc>
        <w:tc>
          <w:tcPr>
            <w:tcW w:w="721" w:type="pct"/>
            <w:tcBorders>
              <w:bottom w:val="single" w:sz="4" w:space="0" w:color="06357A"/>
            </w:tcBorders>
            <w:shd w:val="clear" w:color="auto" w:fill="auto"/>
          </w:tcPr>
          <w:p w14:paraId="670402AB"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£1m </w:t>
            </w:r>
          </w:p>
        </w:tc>
        <w:tc>
          <w:tcPr>
            <w:tcW w:w="718" w:type="pct"/>
            <w:tcBorders>
              <w:bottom w:val="single" w:sz="4" w:space="0" w:color="06357A"/>
            </w:tcBorders>
            <w:shd w:val="clear" w:color="auto" w:fill="auto"/>
          </w:tcPr>
          <w:p w14:paraId="1FE7475E" w14:textId="77777777" w:rsidR="003A6119" w:rsidRPr="0078056B" w:rsidRDefault="003A6119" w:rsidP="000A186C">
            <w:pPr>
              <w:keepNext/>
              <w:keepLines/>
              <w:spacing w:before="0" w:after="0"/>
              <w:ind w:left="57" w:right="57"/>
              <w:jc w:val="center"/>
              <w:rPr>
                <w:b/>
                <w:bCs/>
                <w:color w:val="06357A"/>
                <w:sz w:val="20"/>
                <w:szCs w:val="20"/>
              </w:rPr>
            </w:pPr>
            <w:r w:rsidRPr="0078056B">
              <w:rPr>
                <w:b/>
                <w:bCs/>
                <w:color w:val="06357A"/>
                <w:sz w:val="20"/>
                <w:szCs w:val="20"/>
              </w:rPr>
              <w:t xml:space="preserve">£177m </w:t>
            </w:r>
          </w:p>
        </w:tc>
      </w:tr>
      <w:tr w:rsidR="003A6119" w:rsidRPr="0078056B" w14:paraId="0112E9AB" w14:textId="77777777" w:rsidTr="000A186C">
        <w:trPr>
          <w:trHeight w:val="283"/>
        </w:trPr>
        <w:tc>
          <w:tcPr>
            <w:tcW w:w="880" w:type="pct"/>
            <w:tcBorders>
              <w:top w:val="single" w:sz="4" w:space="0" w:color="06357A"/>
              <w:bottom w:val="nil"/>
            </w:tcBorders>
            <w:shd w:val="clear" w:color="auto" w:fill="06357A" w:themeFill="text2"/>
            <w:vAlign w:val="center"/>
          </w:tcPr>
          <w:p w14:paraId="378018B4" w14:textId="77777777" w:rsidR="003A6119" w:rsidRPr="0078056B" w:rsidRDefault="003A6119" w:rsidP="000A186C">
            <w:pPr>
              <w:keepNext/>
              <w:keepLines/>
              <w:spacing w:before="0" w:after="0"/>
              <w:ind w:left="57" w:right="57"/>
              <w:jc w:val="left"/>
              <w:rPr>
                <w:color w:val="FFFFFF" w:themeColor="background1"/>
                <w:sz w:val="20"/>
                <w:szCs w:val="20"/>
              </w:rPr>
            </w:pPr>
            <w:r w:rsidRPr="0078056B">
              <w:rPr>
                <w:b/>
                <w:bCs/>
                <w:color w:val="FFFFFF" w:themeColor="background1"/>
                <w:sz w:val="20"/>
                <w:szCs w:val="20"/>
              </w:rPr>
              <w:t>Total</w:t>
            </w:r>
          </w:p>
        </w:tc>
        <w:tc>
          <w:tcPr>
            <w:tcW w:w="972" w:type="pct"/>
            <w:tcBorders>
              <w:top w:val="single" w:sz="4" w:space="0" w:color="06357A"/>
              <w:bottom w:val="nil"/>
            </w:tcBorders>
            <w:shd w:val="clear" w:color="auto" w:fill="06357A" w:themeFill="text2"/>
          </w:tcPr>
          <w:p w14:paraId="484093EC" w14:textId="77777777" w:rsidR="003A6119" w:rsidRPr="0078056B" w:rsidRDefault="003A6119" w:rsidP="000A186C">
            <w:pPr>
              <w:keepNext/>
              <w:keepLines/>
              <w:spacing w:before="0" w:after="0"/>
              <w:ind w:left="57" w:right="57"/>
              <w:jc w:val="center"/>
              <w:rPr>
                <w:b/>
                <w:bCs/>
                <w:color w:val="FFFFFF" w:themeColor="background1"/>
                <w:sz w:val="20"/>
                <w:szCs w:val="20"/>
              </w:rPr>
            </w:pPr>
            <w:r w:rsidRPr="0078056B">
              <w:rPr>
                <w:b/>
                <w:bCs/>
                <w:sz w:val="20"/>
                <w:szCs w:val="20"/>
              </w:rPr>
              <w:t xml:space="preserve">£1,295m </w:t>
            </w:r>
          </w:p>
        </w:tc>
        <w:tc>
          <w:tcPr>
            <w:tcW w:w="837" w:type="pct"/>
            <w:tcBorders>
              <w:top w:val="single" w:sz="4" w:space="0" w:color="06357A"/>
              <w:bottom w:val="nil"/>
            </w:tcBorders>
            <w:shd w:val="clear" w:color="auto" w:fill="06357A" w:themeFill="text2"/>
          </w:tcPr>
          <w:p w14:paraId="7077991A" w14:textId="77777777" w:rsidR="003A6119" w:rsidRPr="0078056B" w:rsidRDefault="003A6119" w:rsidP="000A186C">
            <w:pPr>
              <w:keepNext/>
              <w:keepLines/>
              <w:spacing w:before="0" w:after="0"/>
              <w:ind w:left="57" w:right="57"/>
              <w:jc w:val="center"/>
              <w:rPr>
                <w:b/>
                <w:bCs/>
                <w:color w:val="FFFFFF" w:themeColor="background1"/>
                <w:sz w:val="20"/>
                <w:szCs w:val="20"/>
              </w:rPr>
            </w:pPr>
            <w:r w:rsidRPr="0078056B">
              <w:rPr>
                <w:b/>
                <w:bCs/>
                <w:sz w:val="20"/>
                <w:szCs w:val="20"/>
              </w:rPr>
              <w:t xml:space="preserve">£40m </w:t>
            </w:r>
          </w:p>
        </w:tc>
        <w:tc>
          <w:tcPr>
            <w:tcW w:w="873" w:type="pct"/>
            <w:tcBorders>
              <w:top w:val="single" w:sz="4" w:space="0" w:color="06357A"/>
              <w:bottom w:val="nil"/>
            </w:tcBorders>
            <w:shd w:val="clear" w:color="auto" w:fill="06357A" w:themeFill="text2"/>
          </w:tcPr>
          <w:p w14:paraId="37396884" w14:textId="77777777" w:rsidR="003A6119" w:rsidRPr="0078056B" w:rsidRDefault="003A6119" w:rsidP="000A186C">
            <w:pPr>
              <w:keepNext/>
              <w:keepLines/>
              <w:spacing w:before="0" w:after="0"/>
              <w:ind w:left="57" w:right="57"/>
              <w:jc w:val="center"/>
              <w:rPr>
                <w:b/>
                <w:bCs/>
                <w:color w:val="FFFFFF" w:themeColor="background1"/>
                <w:sz w:val="20"/>
                <w:szCs w:val="20"/>
              </w:rPr>
            </w:pPr>
            <w:r w:rsidRPr="0078056B">
              <w:rPr>
                <w:b/>
                <w:bCs/>
                <w:sz w:val="20"/>
                <w:szCs w:val="20"/>
              </w:rPr>
              <w:t xml:space="preserve">£5m </w:t>
            </w:r>
          </w:p>
        </w:tc>
        <w:tc>
          <w:tcPr>
            <w:tcW w:w="721" w:type="pct"/>
            <w:tcBorders>
              <w:top w:val="single" w:sz="4" w:space="0" w:color="06357A"/>
              <w:bottom w:val="nil"/>
            </w:tcBorders>
            <w:shd w:val="clear" w:color="auto" w:fill="06357A" w:themeFill="text2"/>
          </w:tcPr>
          <w:p w14:paraId="306B6359" w14:textId="77777777" w:rsidR="003A6119" w:rsidRPr="0078056B" w:rsidRDefault="003A6119" w:rsidP="000A186C">
            <w:pPr>
              <w:keepNext/>
              <w:keepLines/>
              <w:spacing w:before="0" w:after="0"/>
              <w:ind w:left="57" w:right="57"/>
              <w:jc w:val="center"/>
              <w:rPr>
                <w:b/>
                <w:bCs/>
                <w:color w:val="FFFFFF" w:themeColor="background1"/>
                <w:sz w:val="20"/>
                <w:szCs w:val="20"/>
              </w:rPr>
            </w:pPr>
            <w:r w:rsidRPr="0078056B">
              <w:rPr>
                <w:b/>
                <w:bCs/>
                <w:sz w:val="20"/>
                <w:szCs w:val="20"/>
              </w:rPr>
              <w:t xml:space="preserve">£5m </w:t>
            </w:r>
          </w:p>
        </w:tc>
        <w:tc>
          <w:tcPr>
            <w:tcW w:w="718" w:type="pct"/>
            <w:tcBorders>
              <w:top w:val="single" w:sz="4" w:space="0" w:color="06357A"/>
              <w:bottom w:val="nil"/>
            </w:tcBorders>
            <w:shd w:val="clear" w:color="auto" w:fill="06357A" w:themeFill="text2"/>
          </w:tcPr>
          <w:p w14:paraId="22CF2D8B" w14:textId="77777777" w:rsidR="003A6119" w:rsidRPr="0078056B" w:rsidRDefault="003A6119" w:rsidP="000A186C">
            <w:pPr>
              <w:keepNext/>
              <w:keepLines/>
              <w:spacing w:before="0" w:after="0"/>
              <w:ind w:left="57" w:right="57"/>
              <w:jc w:val="center"/>
              <w:rPr>
                <w:b/>
                <w:bCs/>
                <w:color w:val="FFFFFF" w:themeColor="background1"/>
                <w:sz w:val="20"/>
                <w:szCs w:val="20"/>
              </w:rPr>
            </w:pPr>
            <w:r w:rsidRPr="0078056B">
              <w:rPr>
                <w:b/>
                <w:bCs/>
                <w:sz w:val="20"/>
                <w:szCs w:val="20"/>
              </w:rPr>
              <w:t xml:space="preserve">£1,346m </w:t>
            </w:r>
          </w:p>
        </w:tc>
      </w:tr>
      <w:tr w:rsidR="003A6119" w:rsidRPr="0078056B" w14:paraId="1AA48B5F" w14:textId="77777777" w:rsidTr="000A186C">
        <w:trPr>
          <w:trHeight w:val="283"/>
        </w:trPr>
        <w:tc>
          <w:tcPr>
            <w:tcW w:w="880" w:type="pct"/>
            <w:tcBorders>
              <w:top w:val="nil"/>
              <w:bottom w:val="single" w:sz="4" w:space="0" w:color="BFBFBF"/>
            </w:tcBorders>
            <w:shd w:val="clear" w:color="auto" w:fill="auto"/>
            <w:vAlign w:val="center"/>
          </w:tcPr>
          <w:p w14:paraId="4D9AF320" w14:textId="77777777" w:rsidR="003A6119" w:rsidRPr="0078056B" w:rsidRDefault="003A6119" w:rsidP="000A186C">
            <w:pPr>
              <w:keepNext/>
              <w:keepLines/>
              <w:spacing w:before="0" w:after="0"/>
              <w:ind w:left="57" w:right="57"/>
              <w:jc w:val="left"/>
              <w:rPr>
                <w:sz w:val="20"/>
                <w:szCs w:val="20"/>
              </w:rPr>
            </w:pPr>
            <w:r w:rsidRPr="0078056B">
              <w:rPr>
                <w:color w:val="000000"/>
                <w:sz w:val="20"/>
                <w:szCs w:val="20"/>
              </w:rPr>
              <w:t>Undergraduate</w:t>
            </w:r>
          </w:p>
        </w:tc>
        <w:tc>
          <w:tcPr>
            <w:tcW w:w="972" w:type="pct"/>
            <w:tcBorders>
              <w:top w:val="nil"/>
              <w:bottom w:val="single" w:sz="4" w:space="0" w:color="BFBFBF"/>
            </w:tcBorders>
            <w:shd w:val="clear" w:color="auto" w:fill="auto"/>
          </w:tcPr>
          <w:p w14:paraId="4C6E00B2"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£978m </w:t>
            </w:r>
          </w:p>
        </w:tc>
        <w:tc>
          <w:tcPr>
            <w:tcW w:w="837" w:type="pct"/>
            <w:tcBorders>
              <w:top w:val="nil"/>
              <w:bottom w:val="single" w:sz="4" w:space="0" w:color="BFBFBF"/>
            </w:tcBorders>
            <w:shd w:val="clear" w:color="auto" w:fill="auto"/>
          </w:tcPr>
          <w:p w14:paraId="331D8B73"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£29m </w:t>
            </w:r>
          </w:p>
        </w:tc>
        <w:tc>
          <w:tcPr>
            <w:tcW w:w="873" w:type="pct"/>
            <w:tcBorders>
              <w:top w:val="nil"/>
              <w:bottom w:val="single" w:sz="4" w:space="0" w:color="BFBFBF"/>
            </w:tcBorders>
            <w:shd w:val="clear" w:color="auto" w:fill="auto"/>
          </w:tcPr>
          <w:p w14:paraId="0F7B8C01"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£2m </w:t>
            </w:r>
          </w:p>
        </w:tc>
        <w:tc>
          <w:tcPr>
            <w:tcW w:w="721" w:type="pct"/>
            <w:tcBorders>
              <w:top w:val="nil"/>
              <w:bottom w:val="single" w:sz="4" w:space="0" w:color="BFBFBF"/>
            </w:tcBorders>
            <w:shd w:val="clear" w:color="auto" w:fill="auto"/>
          </w:tcPr>
          <w:p w14:paraId="11B6B1F2"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£4m </w:t>
            </w:r>
          </w:p>
        </w:tc>
        <w:tc>
          <w:tcPr>
            <w:tcW w:w="718" w:type="pct"/>
            <w:tcBorders>
              <w:top w:val="nil"/>
              <w:bottom w:val="single" w:sz="4" w:space="0" w:color="BFBFBF"/>
            </w:tcBorders>
            <w:shd w:val="clear" w:color="auto" w:fill="auto"/>
          </w:tcPr>
          <w:p w14:paraId="28D55181" w14:textId="77777777" w:rsidR="003A6119" w:rsidRPr="0078056B" w:rsidRDefault="003A6119" w:rsidP="000A186C">
            <w:pPr>
              <w:keepNext/>
              <w:keepLines/>
              <w:spacing w:before="0" w:after="0"/>
              <w:ind w:left="57" w:right="57"/>
              <w:jc w:val="center"/>
              <w:rPr>
                <w:b/>
                <w:bCs/>
                <w:color w:val="06357A"/>
                <w:sz w:val="20"/>
                <w:szCs w:val="20"/>
              </w:rPr>
            </w:pPr>
            <w:r w:rsidRPr="0078056B">
              <w:rPr>
                <w:b/>
                <w:bCs/>
                <w:color w:val="06357A"/>
                <w:sz w:val="20"/>
                <w:szCs w:val="20"/>
              </w:rPr>
              <w:t xml:space="preserve">£1,013m </w:t>
            </w:r>
          </w:p>
        </w:tc>
      </w:tr>
      <w:tr w:rsidR="003A6119" w:rsidRPr="0078056B" w14:paraId="066AA7D4" w14:textId="77777777" w:rsidTr="000A186C">
        <w:trPr>
          <w:trHeight w:val="283"/>
        </w:trPr>
        <w:tc>
          <w:tcPr>
            <w:tcW w:w="880" w:type="pct"/>
            <w:tcBorders>
              <w:bottom w:val="single" w:sz="4" w:space="0" w:color="06357A"/>
            </w:tcBorders>
            <w:shd w:val="clear" w:color="auto" w:fill="auto"/>
            <w:vAlign w:val="center"/>
          </w:tcPr>
          <w:p w14:paraId="35837642" w14:textId="77777777" w:rsidR="003A6119" w:rsidRPr="0078056B" w:rsidRDefault="003A6119" w:rsidP="000A186C">
            <w:pPr>
              <w:keepNext/>
              <w:keepLines/>
              <w:spacing w:before="0" w:after="0"/>
              <w:ind w:left="57" w:right="57"/>
              <w:jc w:val="left"/>
              <w:rPr>
                <w:sz w:val="20"/>
                <w:szCs w:val="20"/>
              </w:rPr>
            </w:pPr>
            <w:r w:rsidRPr="0078056B">
              <w:rPr>
                <w:color w:val="000000"/>
                <w:sz w:val="20"/>
                <w:szCs w:val="20"/>
              </w:rPr>
              <w:t>Postgraduate</w:t>
            </w:r>
          </w:p>
        </w:tc>
        <w:tc>
          <w:tcPr>
            <w:tcW w:w="972" w:type="pct"/>
            <w:tcBorders>
              <w:bottom w:val="single" w:sz="4" w:space="0" w:color="06357A"/>
            </w:tcBorders>
            <w:shd w:val="clear" w:color="auto" w:fill="auto"/>
          </w:tcPr>
          <w:p w14:paraId="0F5C850A"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£317m </w:t>
            </w:r>
          </w:p>
        </w:tc>
        <w:tc>
          <w:tcPr>
            <w:tcW w:w="837" w:type="pct"/>
            <w:tcBorders>
              <w:bottom w:val="single" w:sz="4" w:space="0" w:color="06357A"/>
            </w:tcBorders>
            <w:shd w:val="clear" w:color="auto" w:fill="auto"/>
          </w:tcPr>
          <w:p w14:paraId="6B6899E9"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£11m </w:t>
            </w:r>
          </w:p>
        </w:tc>
        <w:tc>
          <w:tcPr>
            <w:tcW w:w="873" w:type="pct"/>
            <w:tcBorders>
              <w:bottom w:val="single" w:sz="4" w:space="0" w:color="06357A"/>
            </w:tcBorders>
            <w:shd w:val="clear" w:color="auto" w:fill="auto"/>
          </w:tcPr>
          <w:p w14:paraId="26E57236"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£3m </w:t>
            </w:r>
          </w:p>
        </w:tc>
        <w:tc>
          <w:tcPr>
            <w:tcW w:w="721" w:type="pct"/>
            <w:tcBorders>
              <w:bottom w:val="single" w:sz="4" w:space="0" w:color="06357A"/>
            </w:tcBorders>
            <w:shd w:val="clear" w:color="auto" w:fill="auto"/>
          </w:tcPr>
          <w:p w14:paraId="4B5B511E"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£1m </w:t>
            </w:r>
          </w:p>
        </w:tc>
        <w:tc>
          <w:tcPr>
            <w:tcW w:w="718" w:type="pct"/>
            <w:tcBorders>
              <w:bottom w:val="single" w:sz="4" w:space="0" w:color="06357A"/>
            </w:tcBorders>
            <w:shd w:val="clear" w:color="auto" w:fill="auto"/>
          </w:tcPr>
          <w:p w14:paraId="0943BB07" w14:textId="77777777" w:rsidR="003A6119" w:rsidRPr="0078056B" w:rsidRDefault="003A6119" w:rsidP="000A186C">
            <w:pPr>
              <w:keepNext/>
              <w:keepLines/>
              <w:spacing w:before="0" w:after="0"/>
              <w:ind w:left="57" w:right="57"/>
              <w:jc w:val="center"/>
              <w:rPr>
                <w:b/>
                <w:bCs/>
                <w:color w:val="06357A"/>
                <w:sz w:val="20"/>
                <w:szCs w:val="20"/>
              </w:rPr>
            </w:pPr>
            <w:r w:rsidRPr="0078056B">
              <w:rPr>
                <w:b/>
                <w:bCs/>
                <w:color w:val="06357A"/>
                <w:sz w:val="20"/>
                <w:szCs w:val="20"/>
              </w:rPr>
              <w:t xml:space="preserve">£333m </w:t>
            </w:r>
          </w:p>
        </w:tc>
      </w:tr>
    </w:tbl>
    <w:p w14:paraId="44B530E7" w14:textId="77777777" w:rsidR="003A6119" w:rsidRPr="0078056B" w:rsidRDefault="003A6119" w:rsidP="003A6119">
      <w:pPr>
        <w:keepNext/>
        <w:keepLines/>
        <w:spacing w:before="0" w:after="0"/>
        <w:jc w:val="left"/>
        <w:rPr>
          <w:sz w:val="16"/>
        </w:rPr>
      </w:pPr>
      <w:r w:rsidRPr="0078056B">
        <w:rPr>
          <w:sz w:val="16"/>
        </w:rPr>
        <w:t xml:space="preserve">Note: All estimates are presented in 2021-22 prices, discounted to reflect net present values, rounded to the nearest £1m, and may not add up precisely to the totals indicated. </w:t>
      </w:r>
    </w:p>
    <w:p w14:paraId="21EF95F7" w14:textId="7621F34B" w:rsidR="001F0F67" w:rsidRPr="0078056B" w:rsidRDefault="003A6119" w:rsidP="003A6119">
      <w:pPr>
        <w:spacing w:before="0"/>
      </w:pPr>
      <w:r w:rsidRPr="0078056B">
        <w:rPr>
          <w:b/>
          <w:i/>
          <w:sz w:val="16"/>
        </w:rPr>
        <w:t>Source: London Economics’ analysis</w:t>
      </w:r>
    </w:p>
    <w:p w14:paraId="61C21193" w14:textId="1E802527" w:rsidR="001F0F67" w:rsidRPr="0078056B" w:rsidRDefault="001F0F67" w:rsidP="001F0F67">
      <w:pPr>
        <w:pStyle w:val="Heading2NoNumb"/>
        <w:pBdr>
          <w:top w:val="single" w:sz="8" w:space="1" w:color="4F5961"/>
        </w:pBdr>
        <w:spacing w:after="480"/>
      </w:pPr>
      <w:bookmarkStart w:id="25" w:name="_Toc70611100"/>
      <w:bookmarkStart w:id="26" w:name="_Toc119925172"/>
      <w:bookmarkStart w:id="27" w:name="_Toc168652114"/>
      <w:r w:rsidRPr="0078056B">
        <w:rPr>
          <w:noProof/>
        </w:rPr>
        <w:drawing>
          <wp:anchor distT="0" distB="0" distL="114300" distR="114300" simplePos="0" relativeHeight="251678720" behindDoc="0" locked="1" layoutInCell="1" allowOverlap="1" wp14:anchorId="6D291BBA" wp14:editId="7D563355">
            <wp:simplePos x="0" y="0"/>
            <wp:positionH relativeFrom="margin">
              <wp:posOffset>-6350</wp:posOffset>
            </wp:positionH>
            <wp:positionV relativeFrom="paragraph">
              <wp:posOffset>4445</wp:posOffset>
            </wp:positionV>
            <wp:extent cx="503555" cy="4953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03555" cy="495300"/>
                    </a:xfrm>
                    <a:prstGeom prst="rect">
                      <a:avLst/>
                    </a:prstGeom>
                  </pic:spPr>
                </pic:pic>
              </a:graphicData>
            </a:graphic>
            <wp14:sizeRelH relativeFrom="margin">
              <wp14:pctWidth>0</wp14:pctWidth>
            </wp14:sizeRelH>
            <wp14:sizeRelV relativeFrom="margin">
              <wp14:pctHeight>0</wp14:pctHeight>
            </wp14:sizeRelV>
          </wp:anchor>
        </w:drawing>
      </w:r>
      <w:r w:rsidRPr="0078056B">
        <w:rPr>
          <w:rStyle w:val="HeaderRepeat"/>
        </w:rPr>
        <w:t>The impact of the University of Birmingham’s educational exports</w:t>
      </w:r>
      <w:bookmarkEnd w:id="25"/>
      <w:bookmarkEnd w:id="26"/>
      <w:bookmarkEnd w:id="27"/>
    </w:p>
    <w:p w14:paraId="664012AF" w14:textId="77777777" w:rsidR="00B91716" w:rsidRPr="0078056B" w:rsidRDefault="00B91716" w:rsidP="00B91716">
      <w:r w:rsidRPr="0078056B">
        <w:t xml:space="preserve">With the University of Birmingham being an attractive destination for many international students, the University’s higher education offer represents a tradeable activity with imports and exports like any other tradeable sector. The economic impact of the University of Birmingham’s contribution to educational exports is based on the </w:t>
      </w:r>
      <w:r w:rsidRPr="0078056B">
        <w:rPr>
          <w:rFonts w:eastAsia="Times New Roman" w:cs="Microsoft Sans Serif"/>
          <w:b/>
          <w:color w:val="06357A"/>
        </w:rPr>
        <w:t>direct</w:t>
      </w:r>
      <w:r w:rsidRPr="0078056B">
        <w:t xml:space="preserve"> injection of </w:t>
      </w:r>
      <w:r w:rsidRPr="0078056B">
        <w:rPr>
          <w:rFonts w:eastAsia="Times New Roman" w:cs="Microsoft Sans Serif"/>
          <w:b/>
          <w:color w:val="06357A"/>
        </w:rPr>
        <w:t>tuition fee</w:t>
      </w:r>
      <w:r w:rsidRPr="0078056B">
        <w:rPr>
          <w:sz w:val="20"/>
          <w:szCs w:val="20"/>
        </w:rPr>
        <w:t xml:space="preserve"> </w:t>
      </w:r>
      <w:r w:rsidRPr="0078056B">
        <w:t xml:space="preserve">and </w:t>
      </w:r>
      <w:r w:rsidRPr="0078056B">
        <w:rPr>
          <w:rFonts w:eastAsia="Times New Roman" w:cs="Microsoft Sans Serif"/>
          <w:b/>
          <w:color w:val="06357A"/>
        </w:rPr>
        <w:t>non-tuition fee income</w:t>
      </w:r>
      <w:r w:rsidRPr="0078056B">
        <w:t xml:space="preserve"> from international students. As with the University’s knowledge exchange activities, this income generates </w:t>
      </w:r>
      <w:r w:rsidRPr="0078056B">
        <w:rPr>
          <w:rFonts w:eastAsia="Times New Roman" w:cs="Microsoft Sans Serif"/>
          <w:b/>
          <w:color w:val="06357A"/>
        </w:rPr>
        <w:t>indirect</w:t>
      </w:r>
      <w:r w:rsidRPr="0078056B">
        <w:t xml:space="preserve"> and </w:t>
      </w:r>
      <w:r w:rsidRPr="0078056B">
        <w:rPr>
          <w:rFonts w:eastAsia="Times New Roman" w:cs="Microsoft Sans Serif"/>
          <w:b/>
          <w:color w:val="06357A"/>
        </w:rPr>
        <w:t>induced impacts</w:t>
      </w:r>
      <w:r w:rsidRPr="0078056B">
        <w:rPr>
          <w:sz w:val="20"/>
          <w:szCs w:val="20"/>
        </w:rPr>
        <w:t xml:space="preserve"> </w:t>
      </w:r>
      <w:r w:rsidRPr="0078056B">
        <w:t xml:space="preserve">throughout the UK economy, through supply chain and wage income effects. The analysis focuses on the cohort of </w:t>
      </w:r>
      <w:r w:rsidRPr="0078056B">
        <w:rPr>
          <w:rFonts w:eastAsia="Times New Roman" w:cs="Microsoft Sans Serif"/>
          <w:b/>
          <w:color w:val="06357A"/>
        </w:rPr>
        <w:t xml:space="preserve">5,080 </w:t>
      </w:r>
      <w:r w:rsidRPr="0078056B">
        <w:t xml:space="preserve">non-UK domiciled students who started qualifications at the University of Birmingham in the 2021-22 academic year. Of these students, </w:t>
      </w:r>
      <w:r w:rsidRPr="0078056B">
        <w:rPr>
          <w:rFonts w:eastAsia="Times New Roman" w:cs="Microsoft Sans Serif"/>
          <w:b/>
          <w:color w:val="06357A"/>
        </w:rPr>
        <w:t xml:space="preserve">175 </w:t>
      </w:r>
      <w:r w:rsidRPr="0078056B">
        <w:t>(</w:t>
      </w:r>
      <w:r w:rsidRPr="0078056B">
        <w:rPr>
          <w:rFonts w:eastAsia="Times New Roman" w:cs="Microsoft Sans Serif"/>
          <w:b/>
          <w:color w:val="06357A"/>
        </w:rPr>
        <w:t>3%</w:t>
      </w:r>
      <w:r w:rsidRPr="0078056B">
        <w:t>)</w:t>
      </w:r>
      <w:r w:rsidRPr="0078056B">
        <w:rPr>
          <w:sz w:val="20"/>
          <w:szCs w:val="20"/>
        </w:rPr>
        <w:t xml:space="preserve"> </w:t>
      </w:r>
      <w:r w:rsidRPr="0078056B">
        <w:t xml:space="preserve">were EU-domiciled, and </w:t>
      </w:r>
      <w:r w:rsidRPr="0078056B">
        <w:rPr>
          <w:rFonts w:eastAsia="Times New Roman" w:cs="Microsoft Sans Serif"/>
          <w:b/>
          <w:color w:val="06357A"/>
        </w:rPr>
        <w:t xml:space="preserve">4,905 </w:t>
      </w:r>
      <w:r w:rsidRPr="0078056B">
        <w:t>(</w:t>
      </w:r>
      <w:r w:rsidRPr="0078056B">
        <w:rPr>
          <w:rFonts w:eastAsia="Times New Roman" w:cs="Microsoft Sans Serif"/>
          <w:b/>
          <w:color w:val="06357A"/>
        </w:rPr>
        <w:t>97%</w:t>
      </w:r>
      <w:r w:rsidRPr="0078056B">
        <w:t>)</w:t>
      </w:r>
      <w:r w:rsidRPr="0078056B">
        <w:rPr>
          <w:sz w:val="20"/>
          <w:szCs w:val="20"/>
        </w:rPr>
        <w:t xml:space="preserve"> </w:t>
      </w:r>
      <w:r w:rsidRPr="0078056B">
        <w:t xml:space="preserve">were from non-EU jurisdictions. </w:t>
      </w:r>
    </w:p>
    <w:p w14:paraId="4319BB3C" w14:textId="77777777" w:rsidR="00B91716" w:rsidRPr="0078056B" w:rsidRDefault="00B91716" w:rsidP="00B91716">
      <w:r w:rsidRPr="0078056B">
        <w:t xml:space="preserve">Combining the estimates of tuition fee income (net of the University of Birmingham’s cost of fee waivers and bursaries for international students) and non-tuition fee income associated with international students in the 2021-22 cohort, the </w:t>
      </w:r>
      <w:r w:rsidRPr="0078056B">
        <w:rPr>
          <w:rFonts w:eastAsia="Times New Roman" w:cs="Microsoft Sans Serif"/>
          <w:b/>
          <w:color w:val="06357A"/>
        </w:rPr>
        <w:t xml:space="preserve">total export income </w:t>
      </w:r>
      <w:r w:rsidRPr="0078056B">
        <w:t>(</w:t>
      </w:r>
      <w:r w:rsidRPr="0078056B">
        <w:rPr>
          <w:rFonts w:eastAsia="Times New Roman" w:cs="Microsoft Sans Serif"/>
          <w:b/>
          <w:color w:val="06357A"/>
        </w:rPr>
        <w:t>i.e. direct impact</w:t>
      </w:r>
      <w:r w:rsidRPr="0078056B">
        <w:t>)</w:t>
      </w:r>
      <w:r w:rsidRPr="0078056B">
        <w:rPr>
          <w:sz w:val="20"/>
          <w:szCs w:val="20"/>
        </w:rPr>
        <w:t xml:space="preserve"> </w:t>
      </w:r>
      <w:r w:rsidRPr="0078056B">
        <w:t xml:space="preserve">generated by this cohort stood at </w:t>
      </w:r>
      <w:r w:rsidRPr="0078056B">
        <w:rPr>
          <w:rStyle w:val="Heading3Char"/>
          <w:rFonts w:eastAsiaTheme="minorHAnsi"/>
          <w:sz w:val="22"/>
          <w:szCs w:val="22"/>
        </w:rPr>
        <w:t>£278 million</w:t>
      </w:r>
      <w:r w:rsidRPr="0078056B">
        <w:t>. Over half of this income (</w:t>
      </w:r>
      <w:r w:rsidRPr="0078056B">
        <w:rPr>
          <w:rFonts w:eastAsia="Times New Roman" w:cs="Microsoft Sans Serif"/>
          <w:b/>
          <w:color w:val="06357A"/>
        </w:rPr>
        <w:t>£151 million</w:t>
      </w:r>
      <w:r w:rsidRPr="0078056B">
        <w:t>) was generated from international students’ (net) tuition fee expenditure accrued by the University of Birmingham, while just under a half (</w:t>
      </w:r>
      <w:r w:rsidRPr="0078056B">
        <w:rPr>
          <w:rStyle w:val="Heading3Char"/>
          <w:rFonts w:eastAsiaTheme="minorHAnsi"/>
          <w:sz w:val="22"/>
          <w:szCs w:val="22"/>
        </w:rPr>
        <w:t>£127 million</w:t>
      </w:r>
      <w:r w:rsidRPr="0078056B">
        <w:t xml:space="preserve">) was generated from international students’ non-tuition fee </w:t>
      </w:r>
      <w:r w:rsidRPr="0078056B">
        <w:lastRenderedPageBreak/>
        <w:t xml:space="preserve">expenditure (e.g. including costs related to accommodation, subsistence, course-related purchases, and travel). </w:t>
      </w:r>
    </w:p>
    <w:p w14:paraId="4D30C9B5" w14:textId="1C2F6008" w:rsidR="00B91716" w:rsidRPr="0078056B" w:rsidRDefault="00B91716" w:rsidP="00B91716">
      <w:r w:rsidRPr="0078056B">
        <w:rPr>
          <w:noProof/>
        </w:rPr>
        <mc:AlternateContent>
          <mc:Choice Requires="wps">
            <w:drawing>
              <wp:anchor distT="0" distB="0" distL="114300" distR="114300" simplePos="0" relativeHeight="251702272" behindDoc="1" locked="0" layoutInCell="1" allowOverlap="1" wp14:anchorId="29BB1CAA" wp14:editId="6C0378E5">
                <wp:simplePos x="0" y="0"/>
                <wp:positionH relativeFrom="margin">
                  <wp:posOffset>-635</wp:posOffset>
                </wp:positionH>
                <wp:positionV relativeFrom="paragraph">
                  <wp:posOffset>43815</wp:posOffset>
                </wp:positionV>
                <wp:extent cx="2124710" cy="1695450"/>
                <wp:effectExtent l="38100" t="38100" r="90170" b="95250"/>
                <wp:wrapTight wrapText="bothSides">
                  <wp:wrapPolygon edited="0">
                    <wp:start x="0" y="-485"/>
                    <wp:lineTo x="-410" y="-243"/>
                    <wp:lineTo x="-410" y="21843"/>
                    <wp:lineTo x="0" y="22571"/>
                    <wp:lineTo x="21956" y="22571"/>
                    <wp:lineTo x="22366" y="19416"/>
                    <wp:lineTo x="22366" y="3640"/>
                    <wp:lineTo x="21956" y="0"/>
                    <wp:lineTo x="21956" y="-485"/>
                    <wp:lineTo x="0" y="-485"/>
                  </wp:wrapPolygon>
                </wp:wrapTight>
                <wp:docPr id="418251142" name="Text Box 418251142"/>
                <wp:cNvGraphicFramePr/>
                <a:graphic xmlns:a="http://schemas.openxmlformats.org/drawingml/2006/main">
                  <a:graphicData uri="http://schemas.microsoft.com/office/word/2010/wordprocessingShape">
                    <wps:wsp>
                      <wps:cNvSpPr txBox="1"/>
                      <wps:spPr>
                        <a:xfrm>
                          <a:off x="0" y="0"/>
                          <a:ext cx="2124710" cy="1695450"/>
                        </a:xfrm>
                        <a:prstGeom prst="rect">
                          <a:avLst/>
                        </a:prstGeom>
                        <a:solidFill>
                          <a:schemeClr val="accent1"/>
                        </a:solidFill>
                        <a:ln w="6350">
                          <a:noFill/>
                        </a:ln>
                        <a:effectLst>
                          <a:outerShdw blurRad="50800" dist="38100" dir="2700000" algn="tl" rotWithShape="0">
                            <a:prstClr val="black">
                              <a:alpha val="40000"/>
                            </a:prstClr>
                          </a:outerShdw>
                        </a:effectLst>
                      </wps:spPr>
                      <wps:txbx>
                        <w:txbxContent>
                          <w:p w14:paraId="113FA740" w14:textId="77777777" w:rsidR="00B91716" w:rsidRPr="003541E0" w:rsidRDefault="00B91716" w:rsidP="00B91716">
                            <w:pPr>
                              <w:pStyle w:val="Quote"/>
                              <w:spacing w:before="0" w:after="0"/>
                              <w:jc w:val="center"/>
                              <w:rPr>
                                <w:rFonts w:eastAsia="Times New Roman"/>
                                <w:b/>
                                <w:bCs/>
                                <w:i w:val="0"/>
                                <w:iCs w:val="0"/>
                                <w:color w:val="FFFFFF" w:themeColor="background1"/>
                                <w:sz w:val="28"/>
                                <w:szCs w:val="28"/>
                              </w:rPr>
                            </w:pPr>
                            <w:r w:rsidRPr="0078056B">
                              <w:rPr>
                                <w:rFonts w:eastAsia="Times New Roman"/>
                                <w:b/>
                                <w:bCs/>
                                <w:i w:val="0"/>
                                <w:iCs w:val="0"/>
                                <w:color w:val="FFFFFF" w:themeColor="background1"/>
                                <w:sz w:val="28"/>
                                <w:szCs w:val="28"/>
                              </w:rPr>
                              <w:t>The impact of the export income generated by the 2021-22 University of Birmingham cohort of international student starters stood at £690 million.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9BB1CAA" id="Text Box 418251142" o:spid="_x0000_s1032" type="#_x0000_t202" style="position:absolute;left:0;text-align:left;margin-left:-.05pt;margin-top:3.45pt;width:167.3pt;height:133.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K/jQIAABcFAAAOAAAAZHJzL2Uyb0RvYy54bWysVEtv2zAMvg/YfxB0X22nSdoGdYqsRYcB&#10;xVosHXpWZDkWJouaxMTufv0oOa91Ow3zQRZF6uPHl65v+tawrfJBgy15cZZzpqyEStt1yb8933+4&#10;5CygsJUwYFXJX1XgN/P37647N1MjaMBUyjMCsWHWuZI3iG6WZUE2qhXhDJyypKzBtwJJ9Ous8qIj&#10;9NZkozyfZh34ynmQKgQ6vRuUfJ7w61pJfKzroJCZkhM3TKtP6yqu2fxazNZeuEbLHQ3xDyxaoS05&#10;PUDdCRRs4/UfUK2WHgLUeCahzaCutVQpBoqmyN9Es2yEUykWSk5whzSF/wcrv2yX7skz7D9CTwWM&#10;CelcmAU6jPH0tW/jn5gy0lMKXw9pUz0ySYejYjS+KEglSVdMrybjSUpsdrzufMBPCloWNyX3VJeU&#10;LrF9CEguyXRvEr0FMLq618YkIfaCujWebQVVUUipLCaidOs3S2NZV/LpObmPFy1EiAHd2HiiUkeQ&#10;yyjABpVfNlXHVmbjv4qq5JP8Mqc4Kh1Jnl8Wg0DtMrrI48eZMGvqczScecAXjU2qUUxJhIwxHIiu&#10;jJDfhyiNa8TAfpxgjhGTdYr+QCZJJzyzYzXiDvtVzzRRne4rtYLqlQpIdFJ5gpP3mmg8iIBPwlMz&#10;E2saUHykpTZACYLdjrMG/M+/nUd76jHSctbRcJQ8/NgIrzgzny1131UxHhMsJmE8uRiR4E81q1ON&#10;3bS3QJUr6ClwMm2jPZr9tvbQvtAcL6JXUgkryXfJJfq9cIvD0NJLINVikcxogpzAB7t0MoLvC/Dc&#10;vwjvdp2G1KRfYD9IYvam4QbbeNPCYoNQ69SNMdNDXqkcUaDpS4XZvRRxvE/lZHV8z+a/AAAA//8D&#10;AFBLAwQUAAYACAAAACEAWszwyt4AAAAHAQAADwAAAGRycy9kb3ducmV2LnhtbEyOwU7DMBBE70j8&#10;g7VI3FqnSRtoiFMBFeKICKDCzY2XOCJeR7bThL/HnOA4mtGbV+5m07MTOt9ZErBaJsCQGqs6agW8&#10;vjwsroH5IEnJ3hIK+EYPu+r8rJSFshM946kOLYsQ8oUUoEMYCs59o9FIv7QDUuw+rTMyxOharpyc&#10;Itz0PE2SnBvZUXzQcsB7jc1XPRoBH3e5Xr+l+7R+mmo3v28O4/7wKMTlxXx7AyzgHP7G8Ksf1aGK&#10;Tkc7kvKsF7BYxaGAfAsstlm23gA7Ckivsi3wquT//asfAAAA//8DAFBLAQItABQABgAIAAAAIQC2&#10;gziS/gAAAOEBAAATAAAAAAAAAAAAAAAAAAAAAABbQ29udGVudF9UeXBlc10ueG1sUEsBAi0AFAAG&#10;AAgAAAAhADj9If/WAAAAlAEAAAsAAAAAAAAAAAAAAAAALwEAAF9yZWxzLy5yZWxzUEsBAi0AFAAG&#10;AAgAAAAhAOZe8r+NAgAAFwUAAA4AAAAAAAAAAAAAAAAALgIAAGRycy9lMm9Eb2MueG1sUEsBAi0A&#10;FAAGAAgAAAAhAFrM8MreAAAABwEAAA8AAAAAAAAAAAAAAAAA5wQAAGRycy9kb3ducmV2LnhtbFBL&#10;BQYAAAAABAAEAPMAAADyBQAAAAA=&#10;" fillcolor="#06357a [3204]" stroked="f" strokeweight=".5pt">
                <v:shadow on="t" color="black" opacity="26214f" origin="-.5,-.5" offset=".74836mm,.74836mm"/>
                <v:textbox>
                  <w:txbxContent>
                    <w:p w14:paraId="113FA740" w14:textId="77777777" w:rsidR="00B91716" w:rsidRPr="003541E0" w:rsidRDefault="00B91716" w:rsidP="00B91716">
                      <w:pPr>
                        <w:pStyle w:val="Quote"/>
                        <w:spacing w:before="0" w:after="0"/>
                        <w:jc w:val="center"/>
                        <w:rPr>
                          <w:rFonts w:eastAsia="Times New Roman"/>
                          <w:b/>
                          <w:bCs/>
                          <w:i w:val="0"/>
                          <w:iCs w:val="0"/>
                          <w:color w:val="FFFFFF" w:themeColor="background1"/>
                          <w:sz w:val="28"/>
                          <w:szCs w:val="28"/>
                        </w:rPr>
                      </w:pPr>
                      <w:r w:rsidRPr="0078056B">
                        <w:rPr>
                          <w:rFonts w:eastAsia="Times New Roman"/>
                          <w:b/>
                          <w:bCs/>
                          <w:i w:val="0"/>
                          <w:iCs w:val="0"/>
                          <w:color w:val="FFFFFF" w:themeColor="background1"/>
                          <w:sz w:val="28"/>
                          <w:szCs w:val="28"/>
                        </w:rPr>
                        <w:t>The impact of the export income generated by the 2021-22 University of Birmingham cohort of international student starters stood at £690 million.</w:t>
                      </w:r>
                    </w:p>
                  </w:txbxContent>
                </v:textbox>
                <w10:wrap type="tight" anchorx="margin"/>
              </v:shape>
            </w:pict>
          </mc:Fallback>
        </mc:AlternateContent>
      </w:r>
      <w:r w:rsidRPr="0078056B">
        <w:t xml:space="preserve">The total (direct, indirect, and induced) economic impact associated with this income was again estimated using relevant economic multipliers, identifying the extent to which the direct export income generates additional activity throughout the UK economy. We thus estimate that the </w:t>
      </w:r>
      <w:r w:rsidRPr="0078056B">
        <w:rPr>
          <w:rStyle w:val="Heading3Char"/>
          <w:rFonts w:eastAsiaTheme="minorHAnsi"/>
          <w:sz w:val="22"/>
          <w:szCs w:val="22"/>
        </w:rPr>
        <w:t>total economic impact</w:t>
      </w:r>
      <w:r w:rsidRPr="0078056B">
        <w:rPr>
          <w:sz w:val="20"/>
          <w:szCs w:val="20"/>
        </w:rPr>
        <w:t xml:space="preserve"> </w:t>
      </w:r>
      <w:r w:rsidRPr="0078056B">
        <w:t xml:space="preserve">on the UK generated by the (net) tuition fee income and non-tuition fee income associated with international students in the 2021-22 University of Birmingham cohort amounts to </w:t>
      </w:r>
      <w:r w:rsidRPr="0078056B">
        <w:rPr>
          <w:rStyle w:val="Heading3Char"/>
          <w:rFonts w:eastAsiaTheme="minorHAnsi"/>
          <w:sz w:val="22"/>
          <w:szCs w:val="22"/>
        </w:rPr>
        <w:t>£690 million</w:t>
      </w:r>
      <w:r w:rsidRPr="0078056B">
        <w:t xml:space="preserve">. Of this total, </w:t>
      </w:r>
      <w:r w:rsidRPr="0078056B">
        <w:rPr>
          <w:rStyle w:val="Heading3Char"/>
          <w:rFonts w:eastAsiaTheme="minorHAnsi"/>
          <w:sz w:val="22"/>
          <w:szCs w:val="22"/>
        </w:rPr>
        <w:t>£363 million</w:t>
      </w:r>
      <w:r w:rsidRPr="0078056B">
        <w:rPr>
          <w:sz w:val="20"/>
          <w:szCs w:val="20"/>
        </w:rPr>
        <w:t xml:space="preserve"> </w:t>
      </w:r>
      <w:r w:rsidRPr="0078056B">
        <w:t xml:space="preserve">was associated with international students’ (net) </w:t>
      </w:r>
      <w:r w:rsidRPr="0078056B">
        <w:rPr>
          <w:rStyle w:val="Heading3Char"/>
          <w:rFonts w:eastAsiaTheme="minorHAnsi"/>
          <w:sz w:val="22"/>
          <w:szCs w:val="22"/>
        </w:rPr>
        <w:t>tuition fees</w:t>
      </w:r>
      <w:r w:rsidRPr="0078056B">
        <w:t>, and</w:t>
      </w:r>
      <w:r w:rsidRPr="0078056B">
        <w:rPr>
          <w:rStyle w:val="Heading3Char"/>
          <w:rFonts w:eastAsiaTheme="minorHAnsi"/>
          <w:sz w:val="22"/>
          <w:szCs w:val="22"/>
        </w:rPr>
        <w:t xml:space="preserve"> £327 million </w:t>
      </w:r>
      <w:r w:rsidRPr="0078056B">
        <w:t xml:space="preserve">was associated with these students’ non-tuition fee expenditures over the duration of their studies at the University of Birmingham (see </w:t>
      </w:r>
      <w:r w:rsidRPr="0078056B">
        <w:fldChar w:fldCharType="begin"/>
      </w:r>
      <w:r w:rsidRPr="0078056B">
        <w:instrText xml:space="preserve"> REF _Ref144906186 \r \h </w:instrText>
      </w:r>
      <w:r w:rsidR="0078056B">
        <w:instrText xml:space="preserve"> \* MERGEFORMAT </w:instrText>
      </w:r>
      <w:r w:rsidRPr="0078056B">
        <w:fldChar w:fldCharType="separate"/>
      </w:r>
      <w:r w:rsidR="00E33157">
        <w:t>Figure 2</w:t>
      </w:r>
      <w:r w:rsidRPr="0078056B">
        <w:fldChar w:fldCharType="end"/>
      </w:r>
      <w:r w:rsidRPr="0078056B">
        <w:t>).</w:t>
      </w:r>
    </w:p>
    <w:p w14:paraId="63B70795" w14:textId="77777777" w:rsidR="00B91716" w:rsidRPr="0078056B" w:rsidRDefault="00B91716" w:rsidP="00B91716">
      <w:r w:rsidRPr="0078056B">
        <w:t xml:space="preserve">The University’s activities with respect to </w:t>
      </w:r>
      <w:r w:rsidRPr="0078056B">
        <w:rPr>
          <w:b/>
          <w:bCs/>
          <w:color w:val="06357A"/>
        </w:rPr>
        <w:t>educational exports</w:t>
      </w:r>
      <w:r w:rsidRPr="0078056B">
        <w:t xml:space="preserve"> supported an estimated </w:t>
      </w:r>
      <w:r w:rsidRPr="0078056B">
        <w:rPr>
          <w:rStyle w:val="Heading3Char"/>
          <w:rFonts w:eastAsiaTheme="minorHAnsi"/>
          <w:sz w:val="22"/>
          <w:szCs w:val="22"/>
        </w:rPr>
        <w:t>6,355 full-time equivalent jobs</w:t>
      </w:r>
      <w:r w:rsidRPr="0078056B">
        <w:rPr>
          <w:sz w:val="20"/>
          <w:szCs w:val="20"/>
        </w:rPr>
        <w:t xml:space="preserve"> </w:t>
      </w:r>
      <w:r w:rsidRPr="0078056B">
        <w:t xml:space="preserve">across the UK as a whole, of which </w:t>
      </w:r>
      <w:r w:rsidRPr="0078056B">
        <w:rPr>
          <w:rStyle w:val="Heading3Char"/>
          <w:rFonts w:eastAsiaTheme="minorHAnsi"/>
          <w:sz w:val="22"/>
          <w:szCs w:val="22"/>
        </w:rPr>
        <w:t>4,465 jobs</w:t>
      </w:r>
      <w:r w:rsidRPr="0078056B">
        <w:rPr>
          <w:sz w:val="20"/>
          <w:szCs w:val="20"/>
        </w:rPr>
        <w:t xml:space="preserve"> </w:t>
      </w:r>
      <w:r w:rsidRPr="0078056B">
        <w:t>were located in the West Midlands. This is in addition to the number of jobs supported as a result of the impact associated with the University of Birmingham’s institutional expenditures or the impact associated with the University’s knowledge exchange activities.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B91716" w:rsidRPr="0078056B" w14:paraId="56E24D19" w14:textId="77777777" w:rsidTr="000A186C">
        <w:trPr>
          <w:cantSplit/>
        </w:trPr>
        <w:tc>
          <w:tcPr>
            <w:tcW w:w="0" w:type="auto"/>
          </w:tcPr>
          <w:p w14:paraId="7FAACF5E" w14:textId="77777777" w:rsidR="00B91716" w:rsidRPr="0078056B" w:rsidRDefault="00B91716" w:rsidP="000A186C">
            <w:pPr>
              <w:pStyle w:val="FigureTitle"/>
            </w:pPr>
            <w:bookmarkStart w:id="28" w:name="_Ref144906186"/>
            <w:bookmarkStart w:id="29" w:name="_Toc148543124"/>
            <w:bookmarkStart w:id="30" w:name="_Toc168652183"/>
            <w:r w:rsidRPr="0078056B">
              <w:t>Impact of the University of Birmingham’s educational exports associated with international students in the 2021-22 cohort (£m), by domicile and type of income</w:t>
            </w:r>
            <w:bookmarkEnd w:id="28"/>
            <w:bookmarkEnd w:id="29"/>
            <w:bookmarkEnd w:id="30"/>
          </w:p>
        </w:tc>
      </w:tr>
      <w:tr w:rsidR="00B91716" w:rsidRPr="0078056B" w14:paraId="239124F2" w14:textId="77777777" w:rsidTr="000A186C">
        <w:trPr>
          <w:cantSplit/>
        </w:trPr>
        <w:tc>
          <w:tcPr>
            <w:tcW w:w="0" w:type="auto"/>
          </w:tcPr>
          <w:p w14:paraId="42B48CFA" w14:textId="77777777" w:rsidR="00B91716" w:rsidRPr="0078056B" w:rsidRDefault="00B91716" w:rsidP="000A186C">
            <w:pPr>
              <w:pStyle w:val="PlaceholderText"/>
            </w:pPr>
            <w:r w:rsidRPr="0078056B">
              <w:rPr>
                <w:noProof/>
              </w:rPr>
              <w:drawing>
                <wp:inline distT="0" distB="0" distL="0" distR="0" wp14:anchorId="73BD64D6" wp14:editId="43D26B31">
                  <wp:extent cx="5610225" cy="2000250"/>
                  <wp:effectExtent l="0" t="0" r="9525" b="0"/>
                  <wp:docPr id="1532020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0225" cy="2000250"/>
                          </a:xfrm>
                          <a:prstGeom prst="rect">
                            <a:avLst/>
                          </a:prstGeom>
                          <a:noFill/>
                          <a:ln>
                            <a:noFill/>
                          </a:ln>
                        </pic:spPr>
                      </pic:pic>
                    </a:graphicData>
                  </a:graphic>
                </wp:inline>
              </w:drawing>
            </w:r>
          </w:p>
        </w:tc>
      </w:tr>
      <w:tr w:rsidR="00B91716" w:rsidRPr="0078056B" w14:paraId="5A7DDE04" w14:textId="77777777" w:rsidTr="000A186C">
        <w:trPr>
          <w:cantSplit/>
        </w:trPr>
        <w:tc>
          <w:tcPr>
            <w:tcW w:w="0" w:type="auto"/>
          </w:tcPr>
          <w:p w14:paraId="12430E64" w14:textId="77777777" w:rsidR="00B91716" w:rsidRPr="0078056B" w:rsidRDefault="00B91716" w:rsidP="000A186C">
            <w:pPr>
              <w:pStyle w:val="TableNote"/>
            </w:pPr>
            <w:r w:rsidRPr="0078056B">
              <w:t>Note: All estimates are presented in 2021-22 prices, discounted to reflect net present values, rounded to the nearest £1m, and may not add up precisely to the totals indicated.</w:t>
            </w:r>
          </w:p>
          <w:p w14:paraId="318BC7D4" w14:textId="77777777" w:rsidR="00B91716" w:rsidRPr="0078056B" w:rsidRDefault="00B91716" w:rsidP="000A186C">
            <w:pPr>
              <w:pStyle w:val="TableSource"/>
            </w:pPr>
            <w:r w:rsidRPr="0078056B">
              <w:t>Source: London Economics’ analysis</w:t>
            </w:r>
          </w:p>
        </w:tc>
      </w:tr>
    </w:tbl>
    <w:p w14:paraId="18F349D4" w14:textId="334DDADB" w:rsidR="001F0F67" w:rsidRPr="0078056B" w:rsidRDefault="001F0F67" w:rsidP="001F0F67">
      <w:pPr>
        <w:pStyle w:val="Heading2NoNumb"/>
        <w:pBdr>
          <w:top w:val="single" w:sz="8" w:space="1" w:color="4F5961"/>
        </w:pBdr>
        <w:spacing w:after="480"/>
      </w:pPr>
      <w:bookmarkStart w:id="31" w:name="_Toc70611101"/>
      <w:bookmarkStart w:id="32" w:name="_Toc119925173"/>
      <w:bookmarkStart w:id="33" w:name="_Toc168652115"/>
      <w:r w:rsidRPr="0078056B">
        <w:rPr>
          <w:rStyle w:val="HeaderRepeat"/>
        </w:rPr>
        <w:lastRenderedPageBreak/>
        <w:t>The impact of the University of Birmingham’s expenditure</w:t>
      </w:r>
      <w:bookmarkEnd w:id="31"/>
      <w:bookmarkEnd w:id="32"/>
      <w:bookmarkEnd w:id="33"/>
    </w:p>
    <w:p w14:paraId="729E61E7" w14:textId="0C497CB1" w:rsidR="00383BF9" w:rsidRPr="0078056B" w:rsidRDefault="00E142B8" w:rsidP="00383BF9">
      <w:pPr>
        <w:tabs>
          <w:tab w:val="left" w:pos="3544"/>
          <w:tab w:val="left" w:pos="3686"/>
        </w:tabs>
        <w:spacing w:before="120" w:after="120"/>
        <w:rPr>
          <w:rFonts w:eastAsia="Times New Roman" w:cs="Times New Roman"/>
          <w:b/>
          <w:bCs/>
        </w:rPr>
      </w:pPr>
      <w:r w:rsidRPr="0078056B">
        <w:rPr>
          <w:noProof/>
        </w:rPr>
        <mc:AlternateContent>
          <mc:Choice Requires="wps">
            <w:drawing>
              <wp:anchor distT="0" distB="0" distL="114300" distR="114300" simplePos="0" relativeHeight="251706368" behindDoc="0" locked="0" layoutInCell="1" allowOverlap="1" wp14:anchorId="41CDB071" wp14:editId="0B78E883">
                <wp:simplePos x="0" y="0"/>
                <wp:positionH relativeFrom="margin">
                  <wp:posOffset>3750310</wp:posOffset>
                </wp:positionH>
                <wp:positionV relativeFrom="paragraph">
                  <wp:posOffset>31750</wp:posOffset>
                </wp:positionV>
                <wp:extent cx="1915795" cy="1607820"/>
                <wp:effectExtent l="38100" t="38100" r="103505" b="87630"/>
                <wp:wrapSquare wrapText="bothSides"/>
                <wp:docPr id="313598914" name="Rectangle 313598914"/>
                <wp:cNvGraphicFramePr/>
                <a:graphic xmlns:a="http://schemas.openxmlformats.org/drawingml/2006/main">
                  <a:graphicData uri="http://schemas.microsoft.com/office/word/2010/wordprocessingShape">
                    <wps:wsp>
                      <wps:cNvSpPr/>
                      <wps:spPr>
                        <a:xfrm>
                          <a:off x="0" y="0"/>
                          <a:ext cx="1915795" cy="1607820"/>
                        </a:xfrm>
                        <a:prstGeom prst="rect">
                          <a:avLst/>
                        </a:prstGeom>
                        <a:solidFill>
                          <a:schemeClr val="tx2"/>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AFDA7CF" w14:textId="293AE8ED" w:rsidR="00383BF9" w:rsidRPr="00E142B8" w:rsidRDefault="00383BF9" w:rsidP="00383BF9">
                            <w:pPr>
                              <w:spacing w:before="0" w:after="0"/>
                              <w:jc w:val="center"/>
                              <w:rPr>
                                <w:b/>
                                <w:bCs/>
                                <w:sz w:val="28"/>
                                <w:szCs w:val="28"/>
                              </w:rPr>
                            </w:pPr>
                            <w:r w:rsidRPr="0078056B">
                              <w:rPr>
                                <w:b/>
                                <w:bCs/>
                                <w:sz w:val="28"/>
                                <w:szCs w:val="28"/>
                              </w:rPr>
                              <w:t>The impact of the</w:t>
                            </w:r>
                            <w:r w:rsidR="00E142B8" w:rsidRPr="0078056B">
                              <w:rPr>
                                <w:b/>
                                <w:bCs/>
                                <w:sz w:val="28"/>
                                <w:szCs w:val="28"/>
                              </w:rPr>
                              <w:t xml:space="preserve"> </w:t>
                            </w:r>
                            <w:r w:rsidRPr="0078056B">
                              <w:rPr>
                                <w:b/>
                                <w:bCs/>
                                <w:sz w:val="28"/>
                                <w:szCs w:val="28"/>
                              </w:rPr>
                              <w:t>University of</w:t>
                            </w:r>
                            <w:r w:rsidR="00E142B8" w:rsidRPr="0078056B">
                              <w:rPr>
                                <w:b/>
                                <w:bCs/>
                                <w:sz w:val="28"/>
                                <w:szCs w:val="28"/>
                              </w:rPr>
                              <w:t xml:space="preserve"> </w:t>
                            </w:r>
                            <w:r w:rsidRPr="0078056B">
                              <w:rPr>
                                <w:b/>
                                <w:bCs/>
                                <w:sz w:val="28"/>
                                <w:szCs w:val="28"/>
                              </w:rPr>
                              <w:t>Birmingham’s expenditure on the UK economy in the 2021-22 academic year stood at £908 million.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1CDB071" id="Rectangle 313598914" o:spid="_x0000_s1033" style="position:absolute;left:0;text-align:left;margin-left:295.3pt;margin-top:2.5pt;width:150.85pt;height:126.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iW4QIAACYGAAAOAAAAZHJzL2Uyb0RvYy54bWysVE1v2zAMvQ/YfxB0X21nSZMGdYqgRYcB&#10;RVs0HXpWZDk2JkuapMTufv1IyXayrrsMy8GRRPKRfPy4vOoaSQ7CulqrnGZnKSVCcV3UapfTb8+3&#10;nxaUOM9UwaRWIqevwtGr1ccPl61ZiomutCyEJQCi3LI1Oa28N8skcbwSDXNn2ggFwlLbhnm42l1S&#10;WNYCeiOTSZqeJ622hbGaC+fg9SYK6Srgl6Xg/qEsnfBE5hRi8+Frw3eL32R1yZY7y0xV8z4M9g9R&#10;NKxW4HSEumGekb2t/4Bqam6106U/47pJdFnWXIQcIJssfZPNpmJGhFyAHGdGmtz/g+X3h415tEBD&#10;a9zSwRGz6Erb4D/ER7pA1utIlug84fCYXWSz+cWMEg6y7DydLyaBzuRobqzzX4RuCB5yaqEagSR2&#10;uHMeXILqoILenJZ1cVtLGS7YAeJaWnJgUDvfTbBWYPGbllSoqzRaRXF8EaH04CVksffCbqqiJVu5&#10;t0+syOksXaTQDkWNcX1eZPECfTGZp/ijhMkdNLSXlFjtX2pfhWIgCwiJYY+xbSXj32Ni0lQsBjwN&#10;MMckQTuEr4dgwu0kzuRYgHDyr1KgK6meREnqAiifBCdhNo7MMM6F8lkUVawQ0X82wzR6ygYug88A&#10;iMglkDZi9wCDZgQZsCNMr4+mMe7ROJLyl8Ci8WgRPGvlR+OmVtq+l5mErHrPUR/CP6EGj77bdsBN&#10;TueoiS9bXbw+Wixa6Ftn+G0Nxbpjzj8yC7MNtYV95R/gU0rd5lT3J0oqbX++9476MHIgpaSFXZFT&#10;92PPrKBEflUwjBfZdIrLJVymszkMArGnku2pRO2baw0tncFmNDwcUd/L4Vha3bzAWlujVxAxxcF3&#10;Trm3w+Xaxx0Gi5GL9TqowUIxzN+pjeEIjjxjmz53L8yafgQ9TO+9HvYKW76ZxKiLlkqv916XdRjT&#10;I699BWAZhVbqFyduu9N70Dqu99UvAAAA//8DAFBLAwQUAAYACAAAACEAzccfxt0AAAAJAQAADwAA&#10;AGRycy9kb3ducmV2LnhtbEyPwW6DMBBE75X6D9ZG6q2xQwQiFBNVVXuNlDSHHB3YAgpeI2wH+vfd&#10;ntrbjmY0+6bcL3YQd5x870jDZq1AINWu6anVcP78eM5B+GCoMYMj1PCNHvbV40NpisbNdMT7KbSC&#10;S8gXRkMXwlhI6esOrfFrNyKx9+UmawLLqZXNZGYut4NMlMqkNT3xh86M+NZhfTtFq8Fvl/md5njY&#10;LKnC8yWLx+wQtX5aLa8vIAIu4S8Mv/iMDhUzXV2kxotBQ7pTGUf54Ens57tkC+KqIUnzBGRVyv8L&#10;qh8AAAD//wMAUEsBAi0AFAAGAAgAAAAhALaDOJL+AAAA4QEAABMAAAAAAAAAAAAAAAAAAAAAAFtD&#10;b250ZW50X1R5cGVzXS54bWxQSwECLQAUAAYACAAAACEAOP0h/9YAAACUAQAACwAAAAAAAAAAAAAA&#10;AAAvAQAAX3JlbHMvLnJlbHNQSwECLQAUAAYACAAAACEAbUooluECAAAmBgAADgAAAAAAAAAAAAAA&#10;AAAuAgAAZHJzL2Uyb0RvYy54bWxQSwECLQAUAAYACAAAACEAzccfxt0AAAAJAQAADwAAAAAAAAAA&#10;AAAAAAA7BQAAZHJzL2Rvd25yZXYueG1sUEsFBgAAAAAEAAQA8wAAAEUGAAAAAA==&#10;" fillcolor="#06357a [3215]" stroked="f" strokeweight="2pt">
                <v:shadow on="t" color="black" opacity="26214f" origin="-.5,-.5" offset=".74836mm,.74836mm"/>
                <v:textbox>
                  <w:txbxContent>
                    <w:p w14:paraId="7AFDA7CF" w14:textId="293AE8ED" w:rsidR="00383BF9" w:rsidRPr="00E142B8" w:rsidRDefault="00383BF9" w:rsidP="00383BF9">
                      <w:pPr>
                        <w:spacing w:before="0" w:after="0"/>
                        <w:jc w:val="center"/>
                        <w:rPr>
                          <w:b/>
                          <w:bCs/>
                          <w:sz w:val="28"/>
                          <w:szCs w:val="28"/>
                        </w:rPr>
                      </w:pPr>
                      <w:r w:rsidRPr="0078056B">
                        <w:rPr>
                          <w:b/>
                          <w:bCs/>
                          <w:sz w:val="28"/>
                          <w:szCs w:val="28"/>
                        </w:rPr>
                        <w:t>The impact of the</w:t>
                      </w:r>
                      <w:r w:rsidR="00E142B8" w:rsidRPr="0078056B">
                        <w:rPr>
                          <w:b/>
                          <w:bCs/>
                          <w:sz w:val="28"/>
                          <w:szCs w:val="28"/>
                        </w:rPr>
                        <w:t xml:space="preserve"> </w:t>
                      </w:r>
                      <w:r w:rsidRPr="0078056B">
                        <w:rPr>
                          <w:b/>
                          <w:bCs/>
                          <w:sz w:val="28"/>
                          <w:szCs w:val="28"/>
                        </w:rPr>
                        <w:t>University of</w:t>
                      </w:r>
                      <w:r w:rsidR="00E142B8" w:rsidRPr="0078056B">
                        <w:rPr>
                          <w:b/>
                          <w:bCs/>
                          <w:sz w:val="28"/>
                          <w:szCs w:val="28"/>
                        </w:rPr>
                        <w:t xml:space="preserve"> </w:t>
                      </w:r>
                      <w:r w:rsidRPr="0078056B">
                        <w:rPr>
                          <w:b/>
                          <w:bCs/>
                          <w:sz w:val="28"/>
                          <w:szCs w:val="28"/>
                        </w:rPr>
                        <w:t>Birmingham’s expenditure on the UK economy in the 2021-22 academic year stood at £908 million.</w:t>
                      </w:r>
                    </w:p>
                  </w:txbxContent>
                </v:textbox>
                <w10:wrap type="square" anchorx="margin"/>
              </v:rect>
            </w:pict>
          </mc:Fallback>
        </mc:AlternateContent>
      </w:r>
      <w:r w:rsidR="00383BF9" w:rsidRPr="0078056B">
        <w:rPr>
          <w:noProof/>
        </w:rPr>
        <w:drawing>
          <wp:anchor distT="0" distB="0" distL="114300" distR="114300" simplePos="0" relativeHeight="251710464" behindDoc="0" locked="1" layoutInCell="1" allowOverlap="1" wp14:anchorId="33D69DEF" wp14:editId="65CC7EBF">
            <wp:simplePos x="0" y="0"/>
            <wp:positionH relativeFrom="margin">
              <wp:posOffset>0</wp:posOffset>
            </wp:positionH>
            <wp:positionV relativeFrom="paragraph">
              <wp:posOffset>-544830</wp:posOffset>
            </wp:positionV>
            <wp:extent cx="503555" cy="503555"/>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r w:rsidR="00383BF9" w:rsidRPr="0078056B">
        <w:t>The University of Birmingham’s</w:t>
      </w:r>
      <w:r w:rsidR="00383BF9" w:rsidRPr="0078056B">
        <w:rPr>
          <w:rFonts w:eastAsia="Times New Roman" w:cs="Times New Roman"/>
        </w:rPr>
        <w:t xml:space="preserve"> physical footprint supports jobs and promotes economic growth throughout the UK. This is captured by the </w:t>
      </w:r>
      <w:r w:rsidR="00383BF9" w:rsidRPr="0078056B">
        <w:rPr>
          <w:rFonts w:eastAsia="Times New Roman" w:cs="Times New Roman"/>
          <w:b/>
          <w:bCs/>
          <w:color w:val="06357A" w:themeColor="accent1"/>
        </w:rPr>
        <w:t>direct, indirect, and induced impact</w:t>
      </w:r>
      <w:r w:rsidR="00383BF9" w:rsidRPr="0078056B">
        <w:rPr>
          <w:rFonts w:eastAsia="Times New Roman" w:cs="Times New Roman"/>
          <w:color w:val="06357A" w:themeColor="accent1"/>
        </w:rPr>
        <w:t xml:space="preserve"> </w:t>
      </w:r>
      <w:r w:rsidR="00383BF9" w:rsidRPr="0078056B">
        <w:rPr>
          <w:rFonts w:eastAsia="Times New Roman" w:cs="Times New Roman"/>
        </w:rPr>
        <w:t xml:space="preserve">associated with the expenditures of the institution. The </w:t>
      </w:r>
      <w:r w:rsidR="00383BF9" w:rsidRPr="0078056B">
        <w:rPr>
          <w:rFonts w:eastAsia="Times New Roman" w:cs="Times New Roman"/>
          <w:b/>
          <w:bCs/>
          <w:color w:val="06357A" w:themeColor="accent1"/>
        </w:rPr>
        <w:t>direct impact</w:t>
      </w:r>
      <w:r w:rsidR="00383BF9" w:rsidRPr="0078056B">
        <w:rPr>
          <w:rFonts w:eastAsia="Times New Roman" w:cs="Times New Roman"/>
          <w:color w:val="06357A" w:themeColor="accent1"/>
        </w:rPr>
        <w:t xml:space="preserve"> </w:t>
      </w:r>
      <w:r w:rsidR="00383BF9" w:rsidRPr="0078056B">
        <w:rPr>
          <w:rFonts w:eastAsia="Times New Roman" w:cs="Times New Roman"/>
        </w:rPr>
        <w:t xml:space="preserve">of the University’s physical footprint was based on its operating and capital expenditures. In the 2021-22 academic year, the University of Birmingham incurred a total of </w:t>
      </w:r>
      <w:r w:rsidR="00383BF9" w:rsidRPr="0078056B">
        <w:rPr>
          <w:rFonts w:eastAsia="Times New Roman" w:cs="Times New Roman"/>
          <w:b/>
          <w:bCs/>
          <w:color w:val="06357A" w:themeColor="accent1"/>
        </w:rPr>
        <w:t>£872 million</w:t>
      </w:r>
      <w:r w:rsidR="00383BF9" w:rsidRPr="0078056B">
        <w:rPr>
          <w:rFonts w:eastAsia="Times New Roman" w:cs="Times New Roman"/>
          <w:color w:val="06357A" w:themeColor="accent1"/>
        </w:rPr>
        <w:t xml:space="preserve"> </w:t>
      </w:r>
      <w:r w:rsidR="00383BF9" w:rsidRPr="0078056B">
        <w:rPr>
          <w:rFonts w:eastAsia="Times New Roman" w:cs="Times New Roman"/>
        </w:rPr>
        <w:t xml:space="preserve">of expenditure (including </w:t>
      </w:r>
      <w:r w:rsidR="00383BF9" w:rsidRPr="0078056B">
        <w:rPr>
          <w:rFonts w:eastAsia="Times New Roman" w:cs="Times New Roman"/>
          <w:b/>
          <w:color w:val="06357A" w:themeColor="accent1"/>
        </w:rPr>
        <w:t>£769 million</w:t>
      </w:r>
      <w:r w:rsidR="00383BF9" w:rsidRPr="0078056B">
        <w:rPr>
          <w:rFonts w:eastAsia="Times New Roman" w:cs="Times New Roman"/>
          <w:color w:val="0B5ED7" w:themeColor="accent2"/>
        </w:rPr>
        <w:t xml:space="preserve"> </w:t>
      </w:r>
      <w:r w:rsidR="00383BF9" w:rsidRPr="0078056B">
        <w:rPr>
          <w:rFonts w:eastAsia="Times New Roman" w:cs="Times New Roman"/>
        </w:rPr>
        <w:t xml:space="preserve">of operating expenditure and </w:t>
      </w:r>
      <w:r w:rsidR="00383BF9" w:rsidRPr="0078056B">
        <w:rPr>
          <w:rFonts w:eastAsia="Times New Roman" w:cs="Times New Roman"/>
          <w:b/>
          <w:bCs/>
          <w:color w:val="06357A" w:themeColor="accent1"/>
        </w:rPr>
        <w:t xml:space="preserve">£103 </w:t>
      </w:r>
      <w:r w:rsidR="00383BF9" w:rsidRPr="0078056B">
        <w:rPr>
          <w:rFonts w:eastAsia="Times New Roman" w:cs="Times New Roman"/>
          <w:b/>
          <w:color w:val="06357A" w:themeColor="accent1"/>
        </w:rPr>
        <w:t>million</w:t>
      </w:r>
      <w:r w:rsidR="00383BF9" w:rsidRPr="0078056B">
        <w:rPr>
          <w:rFonts w:eastAsia="Times New Roman" w:cs="Times New Roman"/>
          <w:color w:val="0B5ED7" w:themeColor="accent2"/>
        </w:rPr>
        <w:t xml:space="preserve"> </w:t>
      </w:r>
      <w:r w:rsidR="00383BF9" w:rsidRPr="0078056B">
        <w:rPr>
          <w:rFonts w:eastAsia="Times New Roman" w:cs="Times New Roman"/>
        </w:rPr>
        <w:t>of capital expenditure)</w:t>
      </w:r>
      <w:r w:rsidR="00383BF9" w:rsidRPr="0078056B">
        <w:rPr>
          <w:rStyle w:val="FootnoteReference"/>
          <w:rFonts w:asciiTheme="minorHAnsi" w:hAnsiTheme="minorHAnsi"/>
        </w:rPr>
        <w:footnoteReference w:id="8"/>
      </w:r>
      <w:r w:rsidR="00383BF9" w:rsidRPr="0078056B">
        <w:rPr>
          <w:rFonts w:eastAsia="Times New Roman" w:cs="Times New Roman"/>
        </w:rPr>
        <w:t xml:space="preserve">. From this total, we deducted </w:t>
      </w:r>
      <w:r w:rsidR="00383BF9" w:rsidRPr="0078056B">
        <w:rPr>
          <w:rFonts w:eastAsia="Times New Roman" w:cs="Times New Roman"/>
          <w:b/>
          <w:bCs/>
          <w:color w:val="06357A" w:themeColor="text2"/>
        </w:rPr>
        <w:t xml:space="preserve">£474 million </w:t>
      </w:r>
      <w:r w:rsidR="00383BF9" w:rsidRPr="0078056B">
        <w:rPr>
          <w:rFonts w:eastAsia="Times New Roman" w:cs="Times New Roman"/>
        </w:rPr>
        <w:t xml:space="preserve">to avoid double-counting, which resulted in a net direct impact of </w:t>
      </w:r>
      <w:r w:rsidR="00383BF9" w:rsidRPr="0078056B">
        <w:rPr>
          <w:rFonts w:eastAsia="Times New Roman" w:cs="Times New Roman"/>
          <w:b/>
          <w:bCs/>
          <w:color w:val="06357A" w:themeColor="text2"/>
        </w:rPr>
        <w:t>£398 million</w:t>
      </w:r>
      <w:r w:rsidR="00383BF9" w:rsidRPr="0078056B">
        <w:rPr>
          <w:rFonts w:eastAsia="Times New Roman" w:cs="Times New Roman"/>
        </w:rPr>
        <w:t>.</w:t>
      </w:r>
    </w:p>
    <w:p w14:paraId="411EC7CA" w14:textId="3D1EAF97" w:rsidR="00383BF9" w:rsidRPr="0078056B" w:rsidRDefault="00383BF9" w:rsidP="00383BF9">
      <w:pPr>
        <w:tabs>
          <w:tab w:val="left" w:pos="3544"/>
          <w:tab w:val="left" w:pos="3686"/>
        </w:tabs>
        <w:spacing w:before="120" w:after="120"/>
        <w:rPr>
          <w:rFonts w:eastAsia="Times New Roman" w:cs="Times New Roman"/>
        </w:rPr>
      </w:pPr>
      <w:r w:rsidRPr="0078056B">
        <w:rPr>
          <w:rFonts w:eastAsia="Times New Roman" w:cs="Times New Roman"/>
        </w:rPr>
        <w:t xml:space="preserve">Again, the direct increase in economic activity resulting from the expenditures of the University of Birmingham generates additional rounds of spending throughout the economy (through the University’s supply chains, and the spending of staff). Applying the relevant economic multipliers, the </w:t>
      </w:r>
      <w:r w:rsidRPr="0078056B">
        <w:rPr>
          <w:rFonts w:eastAsia="Times New Roman" w:cs="Times New Roman"/>
          <w:b/>
          <w:bCs/>
          <w:color w:val="06357A" w:themeColor="accent1"/>
        </w:rPr>
        <w:t>total direct, indirect, and induced impact</w:t>
      </w:r>
      <w:r w:rsidRPr="0078056B">
        <w:rPr>
          <w:rFonts w:eastAsia="Times New Roman" w:cs="Times New Roman"/>
          <w:color w:val="06357A" w:themeColor="accent1"/>
        </w:rPr>
        <w:t xml:space="preserve"> </w:t>
      </w:r>
      <w:r w:rsidRPr="0078056B">
        <w:rPr>
          <w:rFonts w:eastAsia="Times New Roman" w:cs="Times New Roman"/>
        </w:rPr>
        <w:t xml:space="preserve">associated with </w:t>
      </w:r>
      <w:r w:rsidR="00B525CA" w:rsidRPr="0078056B">
        <w:rPr>
          <w:rFonts w:eastAsia="Times New Roman" w:cs="Times New Roman"/>
        </w:rPr>
        <w:t xml:space="preserve">the </w:t>
      </w:r>
      <w:r w:rsidRPr="0078056B">
        <w:rPr>
          <w:rFonts w:eastAsia="Times New Roman" w:cs="Times New Roman"/>
        </w:rPr>
        <w:t xml:space="preserve">University’s </w:t>
      </w:r>
      <w:r w:rsidRPr="0078056B">
        <w:rPr>
          <w:rFonts w:eastAsia="Times New Roman" w:cs="Times New Roman"/>
          <w:bCs/>
        </w:rPr>
        <w:t>expenditures</w:t>
      </w:r>
      <w:r w:rsidRPr="0078056B">
        <w:rPr>
          <w:rFonts w:eastAsia="Times New Roman" w:cs="Times New Roman"/>
        </w:rPr>
        <w:t xml:space="preserve"> in the 2021-22 academic year was estimated at</w:t>
      </w:r>
      <w:r w:rsidRPr="0078056B">
        <w:rPr>
          <w:rFonts w:eastAsia="Times New Roman" w:cs="Times New Roman"/>
          <w:b/>
          <w:color w:val="06357A" w:themeColor="accent1"/>
        </w:rPr>
        <w:t xml:space="preserve"> £908 million </w:t>
      </w:r>
      <w:r w:rsidRPr="0078056B">
        <w:rPr>
          <w:rFonts w:eastAsia="Times New Roman" w:cs="Times New Roman"/>
          <w:bCs/>
        </w:rPr>
        <w:t xml:space="preserve">(see </w:t>
      </w:r>
      <w:r w:rsidR="00307258" w:rsidRPr="0078056B">
        <w:rPr>
          <w:rFonts w:eastAsia="Times New Roman" w:cs="Times New Roman"/>
          <w:bCs/>
        </w:rPr>
        <w:fldChar w:fldCharType="begin"/>
      </w:r>
      <w:r w:rsidR="00307258" w:rsidRPr="0078056B">
        <w:rPr>
          <w:rFonts w:eastAsia="Times New Roman" w:cs="Times New Roman"/>
          <w:bCs/>
        </w:rPr>
        <w:instrText xml:space="preserve"> REF _Ref162252014 \r \h </w:instrText>
      </w:r>
      <w:r w:rsidR="0078056B">
        <w:rPr>
          <w:rFonts w:eastAsia="Times New Roman" w:cs="Times New Roman"/>
          <w:bCs/>
        </w:rPr>
        <w:instrText xml:space="preserve"> \* MERGEFORMAT </w:instrText>
      </w:r>
      <w:r w:rsidR="00307258" w:rsidRPr="0078056B">
        <w:rPr>
          <w:rFonts w:eastAsia="Times New Roman" w:cs="Times New Roman"/>
          <w:bCs/>
        </w:rPr>
      </w:r>
      <w:r w:rsidR="00307258" w:rsidRPr="0078056B">
        <w:rPr>
          <w:rFonts w:eastAsia="Times New Roman" w:cs="Times New Roman"/>
          <w:bCs/>
        </w:rPr>
        <w:fldChar w:fldCharType="separate"/>
      </w:r>
      <w:r w:rsidR="00E33157">
        <w:rPr>
          <w:rFonts w:eastAsia="Times New Roman" w:cs="Times New Roman"/>
          <w:bCs/>
        </w:rPr>
        <w:t>Figure 3</w:t>
      </w:r>
      <w:r w:rsidR="00307258" w:rsidRPr="0078056B">
        <w:rPr>
          <w:rFonts w:eastAsia="Times New Roman" w:cs="Times New Roman"/>
          <w:bCs/>
        </w:rPr>
        <w:fldChar w:fldCharType="end"/>
      </w:r>
      <w:r w:rsidRPr="0078056B">
        <w:rPr>
          <w:rFonts w:eastAsia="Times New Roman" w:cs="Times New Roman"/>
        </w:rPr>
        <w:t>).</w:t>
      </w:r>
    </w:p>
    <w:p w14:paraId="54E36760" w14:textId="6EDAA4F4" w:rsidR="00383BF9" w:rsidRPr="0078056B" w:rsidRDefault="00383BF9" w:rsidP="00383BF9">
      <w:pPr>
        <w:spacing w:before="120" w:after="120"/>
        <w:rPr>
          <w:color w:val="000000" w:themeColor="text1"/>
        </w:rPr>
      </w:pPr>
      <w:r w:rsidRPr="0078056B">
        <w:t>Almost two-thirds of this impact (</w:t>
      </w:r>
      <w:r w:rsidRPr="0078056B">
        <w:rPr>
          <w:b/>
          <w:bCs/>
          <w:color w:val="06357A" w:themeColor="accent1"/>
        </w:rPr>
        <w:t>£596 million,</w:t>
      </w:r>
      <w:r w:rsidRPr="0078056B">
        <w:rPr>
          <w:color w:val="06357A" w:themeColor="accent1"/>
        </w:rPr>
        <w:t xml:space="preserve"> </w:t>
      </w:r>
      <w:r w:rsidRPr="0078056B">
        <w:rPr>
          <w:b/>
          <w:bCs/>
          <w:color w:val="06357A" w:themeColor="accent1"/>
        </w:rPr>
        <w:t>66%</w:t>
      </w:r>
      <w:r w:rsidRPr="0078056B">
        <w:t>) occurred in</w:t>
      </w:r>
      <w:r w:rsidR="003D4AAF" w:rsidRPr="0078056B">
        <w:t xml:space="preserve"> the</w:t>
      </w:r>
      <w:r w:rsidRPr="0078056B">
        <w:t xml:space="preserve"> </w:t>
      </w:r>
      <w:r w:rsidR="003D4AAF" w:rsidRPr="0078056B">
        <w:rPr>
          <w:b/>
          <w:bCs/>
          <w:color w:val="06357A" w:themeColor="accent1"/>
        </w:rPr>
        <w:t>West Midlands</w:t>
      </w:r>
      <w:r w:rsidRPr="0078056B">
        <w:t>, while the remainder (</w:t>
      </w:r>
      <w:r w:rsidRPr="0078056B">
        <w:rPr>
          <w:b/>
          <w:bCs/>
          <w:color w:val="06357A" w:themeColor="accent1"/>
        </w:rPr>
        <w:t>£312 million</w:t>
      </w:r>
      <w:r w:rsidRPr="0078056B">
        <w:t xml:space="preserve">, </w:t>
      </w:r>
      <w:r w:rsidRPr="0078056B">
        <w:rPr>
          <w:b/>
          <w:bCs/>
          <w:color w:val="06357A" w:themeColor="accent1"/>
        </w:rPr>
        <w:t>34%</w:t>
      </w:r>
      <w:r w:rsidRPr="0078056B">
        <w:t>) was accrued across the rest of the UK</w:t>
      </w:r>
      <w:r w:rsidRPr="0078056B">
        <w:rPr>
          <w:color w:val="000000" w:themeColor="text1"/>
        </w:rPr>
        <w:t xml:space="preserve">. </w:t>
      </w:r>
      <w:r w:rsidRPr="0078056B">
        <w:t>In addition to the impacts occurring in the government, health, and education sector itself</w:t>
      </w:r>
      <w:r w:rsidRPr="0078056B">
        <w:rPr>
          <w:color w:val="000000" w:themeColor="text1"/>
        </w:rPr>
        <w:t xml:space="preserve"> </w:t>
      </w:r>
      <w:r w:rsidRPr="0078056B">
        <w:t>(</w:t>
      </w:r>
      <w:r w:rsidRPr="0078056B">
        <w:rPr>
          <w:b/>
          <w:bCs/>
          <w:color w:val="06357A" w:themeColor="accent1"/>
        </w:rPr>
        <w:t>£449 million</w:t>
      </w:r>
      <w:r w:rsidRPr="0078056B">
        <w:t xml:space="preserve">, </w:t>
      </w:r>
      <w:r w:rsidRPr="0078056B">
        <w:rPr>
          <w:b/>
          <w:bCs/>
          <w:color w:val="06357A" w:themeColor="accent1"/>
        </w:rPr>
        <w:t>49%</w:t>
      </w:r>
      <w:r w:rsidRPr="0078056B">
        <w:t xml:space="preserve">), there are also large impacts felt within other sectors, including the </w:t>
      </w:r>
      <w:r w:rsidRPr="0078056B">
        <w:rPr>
          <w:b/>
          <w:bCs/>
          <w:color w:val="06357A" w:themeColor="accent1"/>
        </w:rPr>
        <w:t>distribution, transport, hotel, and restaurant sector</w:t>
      </w:r>
      <w:r w:rsidRPr="0078056B">
        <w:t xml:space="preserve"> (</w:t>
      </w:r>
      <w:r w:rsidRPr="0078056B">
        <w:rPr>
          <w:b/>
          <w:bCs/>
          <w:color w:val="06357A" w:themeColor="accent1"/>
        </w:rPr>
        <w:t>£115 million</w:t>
      </w:r>
      <w:r w:rsidRPr="0078056B">
        <w:t xml:space="preserve">, </w:t>
      </w:r>
      <w:r w:rsidRPr="0078056B">
        <w:rPr>
          <w:b/>
          <w:bCs/>
          <w:color w:val="06357A" w:themeColor="accent1"/>
        </w:rPr>
        <w:t>13</w:t>
      </w:r>
      <w:r w:rsidRPr="0078056B">
        <w:rPr>
          <w:rFonts w:eastAsia="Calibri" w:cs="Times New Roman"/>
          <w:b/>
          <w:color w:val="06357A"/>
        </w:rPr>
        <w:t>%</w:t>
      </w:r>
      <w:r w:rsidRPr="0078056B">
        <w:t xml:space="preserve">), the </w:t>
      </w:r>
      <w:r w:rsidRPr="0078056B">
        <w:rPr>
          <w:b/>
          <w:bCs/>
          <w:color w:val="06357A" w:themeColor="accent1"/>
        </w:rPr>
        <w:t>production sector</w:t>
      </w:r>
      <w:r w:rsidRPr="0078056B">
        <w:rPr>
          <w:color w:val="06357A" w:themeColor="accent1"/>
        </w:rPr>
        <w:t xml:space="preserve"> </w:t>
      </w:r>
      <w:r w:rsidRPr="0078056B">
        <w:t>(</w:t>
      </w:r>
      <w:r w:rsidRPr="0078056B">
        <w:rPr>
          <w:rFonts w:eastAsia="Calibri" w:cs="Times New Roman"/>
          <w:b/>
          <w:color w:val="06357A"/>
        </w:rPr>
        <w:t>£105 million, 12%</w:t>
      </w:r>
      <w:r w:rsidRPr="0078056B">
        <w:t xml:space="preserve">), and the </w:t>
      </w:r>
      <w:r w:rsidRPr="0078056B">
        <w:rPr>
          <w:b/>
          <w:bCs/>
          <w:color w:val="06357A" w:themeColor="accent1"/>
        </w:rPr>
        <w:t>real estate sector</w:t>
      </w:r>
      <w:r w:rsidRPr="0078056B">
        <w:t xml:space="preserve"> (</w:t>
      </w:r>
      <w:r w:rsidRPr="0078056B">
        <w:rPr>
          <w:rFonts w:eastAsia="Calibri" w:cs="Times New Roman"/>
          <w:b/>
          <w:color w:val="06357A"/>
        </w:rPr>
        <w:t>£73 million, 8%</w:t>
      </w:r>
      <w:r w:rsidRPr="0078056B">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383BF9" w:rsidRPr="0078056B" w14:paraId="60E250C8" w14:textId="77777777" w:rsidTr="000A186C">
        <w:trPr>
          <w:cantSplit/>
        </w:trPr>
        <w:tc>
          <w:tcPr>
            <w:tcW w:w="0" w:type="auto"/>
            <w:hideMark/>
          </w:tcPr>
          <w:p w14:paraId="3301A34B" w14:textId="77777777" w:rsidR="00383BF9" w:rsidRPr="0078056B" w:rsidRDefault="00383BF9" w:rsidP="000A186C">
            <w:pPr>
              <w:pStyle w:val="FigureTitle"/>
            </w:pPr>
            <w:bookmarkStart w:id="34" w:name="_Toc138171599"/>
            <w:bookmarkStart w:id="35" w:name="_Toc148543125"/>
            <w:bookmarkStart w:id="36" w:name="_Ref162252014"/>
            <w:bookmarkStart w:id="37" w:name="_Toc168652184"/>
            <w:r w:rsidRPr="0078056B">
              <w:t xml:space="preserve">Impact associated with </w:t>
            </w:r>
            <w:r w:rsidRPr="0078056B">
              <w:rPr>
                <w:rFonts w:eastAsia="Times New Roman" w:cs="Times New Roman"/>
              </w:rPr>
              <w:t>the University of Birmingham’s</w:t>
            </w:r>
            <w:r w:rsidRPr="0078056B">
              <w:t xml:space="preserve"> expenditure in the 2021-22 academic year (£m)</w:t>
            </w:r>
            <w:bookmarkEnd w:id="34"/>
            <w:bookmarkEnd w:id="35"/>
            <w:bookmarkEnd w:id="36"/>
            <w:bookmarkEnd w:id="37"/>
          </w:p>
        </w:tc>
      </w:tr>
      <w:tr w:rsidR="00383BF9" w:rsidRPr="0078056B" w14:paraId="2D7AFE36" w14:textId="77777777" w:rsidTr="000A186C">
        <w:trPr>
          <w:cantSplit/>
        </w:trPr>
        <w:tc>
          <w:tcPr>
            <w:tcW w:w="8844" w:type="dxa"/>
            <w:tcMar>
              <w:top w:w="0" w:type="dxa"/>
              <w:left w:w="108" w:type="dxa"/>
              <w:bottom w:w="0" w:type="dxa"/>
              <w:right w:w="108" w:type="dxa"/>
            </w:tcMar>
            <w:hideMark/>
          </w:tcPr>
          <w:p w14:paraId="6541EF02" w14:textId="77777777" w:rsidR="00383BF9" w:rsidRPr="0078056B" w:rsidRDefault="00383BF9" w:rsidP="000A186C">
            <w:pPr>
              <w:pStyle w:val="PlaceholderText"/>
            </w:pPr>
            <w:r w:rsidRPr="0078056B">
              <w:rPr>
                <w:noProof/>
              </w:rPr>
              <w:drawing>
                <wp:inline distT="0" distB="0" distL="0" distR="0" wp14:anchorId="37564689" wp14:editId="1079CA7C">
                  <wp:extent cx="5603402" cy="1515110"/>
                  <wp:effectExtent l="0" t="0" r="0" b="8890"/>
                  <wp:docPr id="10450839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83946" name="Picture 16"/>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5603402" cy="1515110"/>
                          </a:xfrm>
                          <a:prstGeom prst="rect">
                            <a:avLst/>
                          </a:prstGeom>
                        </pic:spPr>
                      </pic:pic>
                    </a:graphicData>
                  </a:graphic>
                </wp:inline>
              </w:drawing>
            </w:r>
          </w:p>
        </w:tc>
      </w:tr>
      <w:tr w:rsidR="00383BF9" w:rsidRPr="0078056B" w14:paraId="178BD002" w14:textId="77777777" w:rsidTr="000A186C">
        <w:trPr>
          <w:cantSplit/>
        </w:trPr>
        <w:tc>
          <w:tcPr>
            <w:tcW w:w="0" w:type="auto"/>
            <w:hideMark/>
          </w:tcPr>
          <w:p w14:paraId="62773954" w14:textId="77777777" w:rsidR="00383BF9" w:rsidRPr="0078056B" w:rsidRDefault="00383BF9" w:rsidP="000A186C">
            <w:pPr>
              <w:keepNext/>
              <w:keepLines/>
              <w:spacing w:before="0" w:after="0"/>
              <w:jc w:val="left"/>
              <w:rPr>
                <w:sz w:val="16"/>
              </w:rPr>
            </w:pPr>
            <w:r w:rsidRPr="0078056B">
              <w:rPr>
                <w:sz w:val="16"/>
              </w:rPr>
              <w:t xml:space="preserve">Note: All estimates are presented in 2021-22 prices, rounded to the nearest £1m, and may not add up precisely to the totals indicated. </w:t>
            </w:r>
          </w:p>
          <w:p w14:paraId="12DF31F2" w14:textId="77777777" w:rsidR="00383BF9" w:rsidRPr="0078056B" w:rsidRDefault="00383BF9" w:rsidP="000A186C">
            <w:pPr>
              <w:pStyle w:val="TableSource"/>
            </w:pPr>
            <w:r w:rsidRPr="0078056B">
              <w:rPr>
                <w:bCs/>
                <w:iCs/>
              </w:rPr>
              <w:t>Source: London Economics’ analysis</w:t>
            </w:r>
          </w:p>
        </w:tc>
      </w:tr>
    </w:tbl>
    <w:p w14:paraId="69B78DF4" w14:textId="26B99C91" w:rsidR="00383BF9" w:rsidRPr="0078056B" w:rsidRDefault="00383BF9" w:rsidP="00383BF9">
      <w:pPr>
        <w:tabs>
          <w:tab w:val="left" w:pos="3544"/>
          <w:tab w:val="left" w:pos="3686"/>
        </w:tabs>
        <w:spacing w:before="120" w:after="120"/>
      </w:pPr>
      <w:r w:rsidRPr="0078056B">
        <w:t xml:space="preserve">In terms of the number of FTE jobs supported, </w:t>
      </w:r>
      <w:r w:rsidRPr="0078056B">
        <w:rPr>
          <w:rFonts w:eastAsia="Times New Roman" w:cs="Times New Roman"/>
        </w:rPr>
        <w:t>the University of Birmingham’s</w:t>
      </w:r>
      <w:r w:rsidRPr="0078056B">
        <w:t xml:space="preserve"> expenditure supported a total of </w:t>
      </w:r>
      <w:r w:rsidRPr="0078056B">
        <w:rPr>
          <w:rFonts w:eastAsia="Calibri" w:cs="Times New Roman"/>
          <w:b/>
          <w:color w:val="06357A" w:themeColor="accent1"/>
        </w:rPr>
        <w:t>6,200</w:t>
      </w:r>
      <w:r w:rsidRPr="0078056B">
        <w:rPr>
          <w:color w:val="000000" w:themeColor="text1"/>
        </w:rPr>
        <w:t xml:space="preserve"> </w:t>
      </w:r>
      <w:r w:rsidRPr="0078056B">
        <w:t xml:space="preserve">FTE jobs across the UK economy in the 2021-22 academic year of which </w:t>
      </w:r>
      <w:r w:rsidRPr="0078056B">
        <w:rPr>
          <w:rFonts w:eastAsia="Calibri" w:cs="Times New Roman"/>
          <w:b/>
          <w:color w:val="06357A" w:themeColor="accent1"/>
        </w:rPr>
        <w:t>4,620</w:t>
      </w:r>
      <w:r w:rsidRPr="0078056B">
        <w:rPr>
          <w:color w:val="000000" w:themeColor="text1"/>
        </w:rPr>
        <w:t xml:space="preserve"> </w:t>
      </w:r>
      <w:r w:rsidRPr="0078056B">
        <w:t>(</w:t>
      </w:r>
      <w:r w:rsidRPr="0078056B">
        <w:rPr>
          <w:b/>
          <w:bCs/>
          <w:color w:val="06357A" w:themeColor="accent1"/>
        </w:rPr>
        <w:t>75%</w:t>
      </w:r>
      <w:r w:rsidRPr="0078056B">
        <w:t>)</w:t>
      </w:r>
      <w:r w:rsidRPr="0078056B">
        <w:rPr>
          <w:color w:val="000000" w:themeColor="text1"/>
        </w:rPr>
        <w:t xml:space="preserve"> </w:t>
      </w:r>
      <w:r w:rsidRPr="0078056B">
        <w:t>were based in</w:t>
      </w:r>
      <w:r w:rsidR="003D4AAF" w:rsidRPr="0078056B">
        <w:t xml:space="preserve"> the</w:t>
      </w:r>
      <w:r w:rsidRPr="0078056B">
        <w:t xml:space="preserve"> </w:t>
      </w:r>
      <w:r w:rsidR="003D4AAF" w:rsidRPr="0078056B">
        <w:t>West Midlands</w:t>
      </w:r>
      <w:r w:rsidRPr="0078056B">
        <w:t xml:space="preserve">. The remaining </w:t>
      </w:r>
      <w:r w:rsidRPr="0078056B">
        <w:rPr>
          <w:b/>
          <w:bCs/>
          <w:color w:val="06357A" w:themeColor="accent1"/>
        </w:rPr>
        <w:t>1,580</w:t>
      </w:r>
      <w:r w:rsidRPr="0078056B">
        <w:rPr>
          <w:color w:val="06357A" w:themeColor="accent1"/>
        </w:rPr>
        <w:t xml:space="preserve"> </w:t>
      </w:r>
      <w:r w:rsidRPr="0078056B">
        <w:t>jobs supported by the University’s activities are located across the rest of the UK.</w:t>
      </w:r>
    </w:p>
    <w:p w14:paraId="05A98177" w14:textId="6B0A4AC2" w:rsidR="001F0F67" w:rsidRPr="0078056B" w:rsidRDefault="00383BF9" w:rsidP="003E0132">
      <w:pPr>
        <w:pStyle w:val="Heading2NoNumb"/>
        <w:pBdr>
          <w:top w:val="single" w:sz="8" w:space="1" w:color="4F5961"/>
        </w:pBdr>
        <w:spacing w:after="120"/>
      </w:pPr>
      <w:bookmarkStart w:id="38" w:name="_Toc119925174"/>
      <w:bookmarkStart w:id="39" w:name="_Toc168652116"/>
      <w:r w:rsidRPr="0078056B">
        <w:rPr>
          <w:noProof/>
        </w:rPr>
        <w:lastRenderedPageBreak/>
        <w:drawing>
          <wp:anchor distT="0" distB="0" distL="114300" distR="114300" simplePos="0" relativeHeight="251708416" behindDoc="0" locked="1" layoutInCell="1" allowOverlap="1" wp14:anchorId="683EB436" wp14:editId="30BD66B4">
            <wp:simplePos x="0" y="0"/>
            <wp:positionH relativeFrom="margin">
              <wp:posOffset>6985</wp:posOffset>
            </wp:positionH>
            <wp:positionV relativeFrom="paragraph">
              <wp:posOffset>69215</wp:posOffset>
            </wp:positionV>
            <wp:extent cx="503555" cy="50355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001F0F67" w:rsidRPr="0078056B">
        <w:rPr>
          <w:rStyle w:val="HeaderRepeat"/>
        </w:rPr>
        <w:t>The impact of the University of Birmingham’s contribution to tourism</w:t>
      </w:r>
      <w:bookmarkEnd w:id="38"/>
      <w:bookmarkEnd w:id="39"/>
    </w:p>
    <w:p w14:paraId="5FDF4FAA" w14:textId="77777777" w:rsidR="003E0132" w:rsidRPr="0078056B" w:rsidRDefault="003E0132" w:rsidP="003E0132">
      <w:pPr>
        <w:spacing w:before="0"/>
        <w:rPr>
          <w:rFonts w:asciiTheme="minorHAnsi" w:hAnsiTheme="minorHAnsi" w:cstheme="minorHAnsi"/>
        </w:rPr>
      </w:pPr>
      <w:r w:rsidRPr="0078056B">
        <w:rPr>
          <w:rFonts w:asciiTheme="minorHAnsi" w:hAnsiTheme="minorHAnsi" w:cstheme="minorHAnsi"/>
        </w:rPr>
        <w:t>As a final strand of impact, the University attracts a range of visitors to Birmingham, including business visitors, friends and family visiting the University’s staff and students, and participants in study trips to the University.</w:t>
      </w:r>
    </w:p>
    <w:p w14:paraId="15001EA7" w14:textId="77777777" w:rsidR="003E0132" w:rsidRPr="0078056B" w:rsidRDefault="003E0132" w:rsidP="003E0132">
      <w:pPr>
        <w:rPr>
          <w:color w:val="0B5ED7" w:themeColor="accent2"/>
        </w:rPr>
      </w:pPr>
      <w:r w:rsidRPr="0078056B">
        <w:t xml:space="preserve">To understand the economic impact associated with the University’s contribution to tourism through the attraction of these visitors, we estimated the number of visitors to Birmingham in 2021-22 that were associated with the University’s presence. The analysis focuses only on visits to Birmingham </w:t>
      </w:r>
      <w:r w:rsidRPr="0078056B">
        <w:rPr>
          <w:rFonts w:asciiTheme="minorHAnsi" w:hAnsiTheme="minorHAnsi"/>
        </w:rPr>
        <w:t xml:space="preserve">that involved overnight stays by visitors from overseas, as it is assumed that any domestic (day or overnight) visits to Birmingham would have displaced activity from other regions of the UK (and should not be considered ‘additional’ to the UK economy). Out of a total of </w:t>
      </w:r>
      <w:r w:rsidRPr="0078056B">
        <w:rPr>
          <w:rFonts w:asciiTheme="minorHAnsi" w:hAnsiTheme="minorHAnsi"/>
          <w:b/>
          <w:bCs/>
          <w:color w:val="06357A"/>
        </w:rPr>
        <w:t xml:space="preserve">803,000 </w:t>
      </w:r>
      <w:r w:rsidRPr="0078056B">
        <w:rPr>
          <w:rFonts w:asciiTheme="minorHAnsi" w:hAnsiTheme="minorHAnsi"/>
        </w:rPr>
        <w:t xml:space="preserve">overnight visits from overseas visitors to Birmingham, we estimate that approximately </w:t>
      </w:r>
      <w:r w:rsidRPr="0078056B">
        <w:rPr>
          <w:rFonts w:asciiTheme="minorHAnsi" w:hAnsiTheme="minorHAnsi"/>
          <w:b/>
          <w:bCs/>
          <w:color w:val="06357A"/>
        </w:rPr>
        <w:t xml:space="preserve">26,000 </w:t>
      </w:r>
      <w:r w:rsidRPr="0078056B">
        <w:rPr>
          <w:rFonts w:asciiTheme="minorHAnsi" w:hAnsiTheme="minorHAnsi"/>
        </w:rPr>
        <w:t xml:space="preserve">resulted from the University’s activities. </w:t>
      </w:r>
      <w:r w:rsidRPr="0078056B">
        <w:t xml:space="preserve">Combined with information on the average trip expenditure per visitor, the </w:t>
      </w:r>
      <w:r w:rsidRPr="0078056B">
        <w:rPr>
          <w:b/>
          <w:bCs/>
          <w:color w:val="06357A"/>
        </w:rPr>
        <w:t>direct impact</w:t>
      </w:r>
      <w:r w:rsidRPr="0078056B">
        <w:rPr>
          <w:color w:val="06357A"/>
        </w:rPr>
        <w:t xml:space="preserve"> </w:t>
      </w:r>
      <w:r w:rsidRPr="0078056B">
        <w:t xml:space="preserve">of the University’s contribution to tourism was estimated at </w:t>
      </w:r>
      <w:r w:rsidRPr="0078056B">
        <w:rPr>
          <w:rFonts w:eastAsia="Calibri" w:cs="Times New Roman"/>
          <w:b/>
          <w:bCs/>
          <w:color w:val="06357A"/>
        </w:rPr>
        <w:t>£19 million</w:t>
      </w:r>
      <w:r w:rsidRPr="0078056B">
        <w:rPr>
          <w:rFonts w:eastAsia="Calibri" w:cs="Times New Roman"/>
        </w:rPr>
        <w:t>.</w:t>
      </w:r>
    </w:p>
    <w:p w14:paraId="40A4A3BE" w14:textId="6E8B6D31" w:rsidR="003E0132" w:rsidRPr="0078056B" w:rsidRDefault="003E0132" w:rsidP="003E0132">
      <w:r w:rsidRPr="0078056B">
        <w:rPr>
          <w:noProof/>
        </w:rPr>
        <mc:AlternateContent>
          <mc:Choice Requires="wps">
            <w:drawing>
              <wp:anchor distT="0" distB="0" distL="114300" distR="114300" simplePos="0" relativeHeight="251700224" behindDoc="0" locked="0" layoutInCell="1" allowOverlap="1" wp14:anchorId="5598D5F0" wp14:editId="1577AFD8">
                <wp:simplePos x="0" y="0"/>
                <wp:positionH relativeFrom="margin">
                  <wp:posOffset>3804285</wp:posOffset>
                </wp:positionH>
                <wp:positionV relativeFrom="paragraph">
                  <wp:posOffset>70173</wp:posOffset>
                </wp:positionV>
                <wp:extent cx="1828165" cy="1477645"/>
                <wp:effectExtent l="38100" t="38100" r="95885" b="103505"/>
                <wp:wrapSquare wrapText="bothSides"/>
                <wp:docPr id="3226827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477645"/>
                        </a:xfrm>
                        <a:prstGeom prst="rect">
                          <a:avLst/>
                        </a:prstGeom>
                        <a:solidFill>
                          <a:schemeClr val="accent1"/>
                        </a:solidFill>
                        <a:ln w="12700">
                          <a:noFill/>
                          <a:miter lim="800000"/>
                          <a:headEnd/>
                          <a:tailEnd/>
                        </a:ln>
                        <a:effectLst>
                          <a:outerShdw blurRad="50800" dist="38100" dir="2700000" algn="tl" rotWithShape="0">
                            <a:prstClr val="black">
                              <a:alpha val="40000"/>
                            </a:prstClr>
                          </a:outerShdw>
                        </a:effectLst>
                      </wps:spPr>
                      <wps:txbx>
                        <w:txbxContent>
                          <w:p w14:paraId="557DB2F5" w14:textId="77777777" w:rsidR="003E0132" w:rsidRPr="0078056B" w:rsidRDefault="003E0132" w:rsidP="003E0132">
                            <w:pPr>
                              <w:spacing w:before="0" w:after="0"/>
                              <w:jc w:val="center"/>
                              <w:rPr>
                                <w:b/>
                                <w:color w:val="FFFFFF" w:themeColor="background1"/>
                                <w:sz w:val="28"/>
                                <w:szCs w:val="28"/>
                              </w:rPr>
                            </w:pPr>
                            <w:r w:rsidRPr="0078056B">
                              <w:rPr>
                                <w:b/>
                                <w:color w:val="FFFFFF" w:themeColor="background1"/>
                                <w:sz w:val="28"/>
                                <w:szCs w:val="28"/>
                              </w:rPr>
                              <w:t xml:space="preserve">The impact of the University’s contribution to tourism in 2021-22 stood at </w:t>
                            </w:r>
                          </w:p>
                          <w:p w14:paraId="52475152" w14:textId="77777777" w:rsidR="003E0132" w:rsidRPr="003541E0" w:rsidRDefault="003E0132" w:rsidP="003E0132">
                            <w:pPr>
                              <w:spacing w:before="0" w:after="0"/>
                              <w:jc w:val="center"/>
                              <w:rPr>
                                <w:b/>
                                <w:color w:val="FFFFFF" w:themeColor="background1"/>
                                <w:sz w:val="28"/>
                                <w:szCs w:val="28"/>
                              </w:rPr>
                            </w:pPr>
                            <w:r w:rsidRPr="0078056B">
                              <w:rPr>
                                <w:b/>
                                <w:color w:val="FFFFFF" w:themeColor="background1"/>
                                <w:sz w:val="28"/>
                                <w:szCs w:val="28"/>
                              </w:rPr>
                              <w:t>£46 million.</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598D5F0" id="_x0000_s1034" type="#_x0000_t202" style="position:absolute;left:0;text-align:left;margin-left:299.55pt;margin-top:5.55pt;width:143.95pt;height:116.3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bKcAIAAMUEAAAOAAAAZHJzL2Uyb0RvYy54bWysVMtu2zAQvBfoPxC8N5KcxDGEyEGaNEWB&#10;vtC06HlFUhYRimRJ2lL69V2uHMdIb0V9ELQmPTszO+vLq2kwbKdC1M42vDopOVNWOKntpuE/vt+9&#10;WXEWE1gJxlnV8EcV+dX69avL0ddq4XpnpAoMQWysR9/wPiVfF0UUvRognjivLB52LgyQsAybQgYY&#10;EX0wxaIsl8XogvTBCRUjfns7H/I14XedEulL10WVmGk4ckv0DPRs87NYX0K9CeB7LfY04B9YDKAt&#10;Nj1A3UICtg36L6hBi+Ci69KJcEPhuk4LRRpQTVW+UHPfg1ekBc2J/mBT/H+w4vPu3n8NLE1v3YQD&#10;JBHRf3TiITLrbnqwG3Udght7BRIbV9myYvSx3v80Wx3rmEHa8ZOTOGTYJkdAUxeG7ArqZIiOA3g8&#10;mK6mxERuuVqsquU5ZwLPqrOLi+XZOfWA+unnPsT0XrmB5ZeGB5wqwcPuY0yZDtRPV3K36IyWd9oY&#10;KnKS1I0JbAeYARBC2TSLeHHTWDYig8VFWRK6dRmDAjLohCk1emj4qsyfOTfZkndW0pUE2szvyMbY&#10;3FpR/pAiWbBFiPtejqw12/ANZMPPSwTjTOos6nRVzQWGM1PITRiYDW5VMpwFl37q1FMisoUZMms+&#10;CGsNiIfZFeN7mNWeEcyzQ3ib3HJPZKg64kmDzbOcp5qmdmIaqa6y4Dzn1slHnDTSoXHi5uNL78Jv&#10;zkbcoobHX1sIijPzwWJaTpekI1FRZe9QyvFJe3wCViBUw0UKqJ2KmzQv69YHvemx15xQ664xY52m&#10;6T/z2icTd4WE7fc6L+NxTbee/33WfwAAAP//AwBQSwMEFAAGAAgAAAAhANj7SKzgAAAACgEAAA8A&#10;AABkcnMvZG93bnJldi54bWxMj0tPwzAQhO9I/AdrkbhRx+GVhDgVz6oIcSAgzm68JBHxOordNvDr&#10;WU5wWo3m0+xMuZzdIHY4hd6TBrVIQCA13vbUanh7fTjJQIRoyJrBE2r4wgDL6vCgNIX1e3rBXR1b&#10;wSEUCqOhi3EspAxNh86EhR+R2PvwkzOR5dRKO5k9h7tBpklyIZ3piT90ZsTbDpvPeus0tHdRmvvv&#10;R3Wj3td1ulrHJ/uca318NF9fgYg4xz8Yfutzdai408ZvyQYxaDjPc8UoG4ovA1l2yeM2GtKz0wxk&#10;Vcr/E6ofAAAA//8DAFBLAQItABQABgAIAAAAIQC2gziS/gAAAOEBAAATAAAAAAAAAAAAAAAAAAAA&#10;AABbQ29udGVudF9UeXBlc10ueG1sUEsBAi0AFAAGAAgAAAAhADj9If/WAAAAlAEAAAsAAAAAAAAA&#10;AAAAAAAALwEAAF9yZWxzLy5yZWxzUEsBAi0AFAAGAAgAAAAhAP0uxspwAgAAxQQAAA4AAAAAAAAA&#10;AAAAAAAALgIAAGRycy9lMm9Eb2MueG1sUEsBAi0AFAAGAAgAAAAhANj7SKzgAAAACgEAAA8AAAAA&#10;AAAAAAAAAAAAygQAAGRycy9kb3ducmV2LnhtbFBLBQYAAAAABAAEAPMAAADXBQAAAAA=&#10;" fillcolor="#06357a [3204]" stroked="f" strokeweight="1pt">
                <v:shadow on="t" color="black" opacity="26214f" origin="-.5,-.5" offset=".74836mm,.74836mm"/>
                <v:textbox inset="1mm,.5mm,1mm,.5mm">
                  <w:txbxContent>
                    <w:p w14:paraId="557DB2F5" w14:textId="77777777" w:rsidR="003E0132" w:rsidRPr="0078056B" w:rsidRDefault="003E0132" w:rsidP="003E0132">
                      <w:pPr>
                        <w:spacing w:before="0" w:after="0"/>
                        <w:jc w:val="center"/>
                        <w:rPr>
                          <w:b/>
                          <w:color w:val="FFFFFF" w:themeColor="background1"/>
                          <w:sz w:val="28"/>
                          <w:szCs w:val="28"/>
                        </w:rPr>
                      </w:pPr>
                      <w:r w:rsidRPr="0078056B">
                        <w:rPr>
                          <w:b/>
                          <w:color w:val="FFFFFF" w:themeColor="background1"/>
                          <w:sz w:val="28"/>
                          <w:szCs w:val="28"/>
                        </w:rPr>
                        <w:t xml:space="preserve">The impact of the University’s contribution to tourism in 2021-22 stood at </w:t>
                      </w:r>
                    </w:p>
                    <w:p w14:paraId="52475152" w14:textId="77777777" w:rsidR="003E0132" w:rsidRPr="003541E0" w:rsidRDefault="003E0132" w:rsidP="003E0132">
                      <w:pPr>
                        <w:spacing w:before="0" w:after="0"/>
                        <w:jc w:val="center"/>
                        <w:rPr>
                          <w:b/>
                          <w:color w:val="FFFFFF" w:themeColor="background1"/>
                          <w:sz w:val="28"/>
                          <w:szCs w:val="28"/>
                        </w:rPr>
                      </w:pPr>
                      <w:r w:rsidRPr="0078056B">
                        <w:rPr>
                          <w:b/>
                          <w:color w:val="FFFFFF" w:themeColor="background1"/>
                          <w:sz w:val="28"/>
                          <w:szCs w:val="28"/>
                        </w:rPr>
                        <w:t>£46 million.</w:t>
                      </w:r>
                    </w:p>
                  </w:txbxContent>
                </v:textbox>
                <w10:wrap type="square" anchorx="margin"/>
              </v:shape>
            </w:pict>
          </mc:Fallback>
        </mc:AlternateContent>
      </w:r>
      <w:r w:rsidRPr="0078056B">
        <w:t>As with the University’s research and knowledge exchange activities, educational exports, and the spending of the University</w:t>
      </w:r>
      <w:r w:rsidRPr="0078056B">
        <w:rPr>
          <w:rFonts w:asciiTheme="minorHAnsi" w:hAnsiTheme="minorHAnsi" w:cstheme="minorHAnsi"/>
        </w:rPr>
        <w:t xml:space="preserve">, this visitor expenditure results in subsequent rounds of expenditure throughout the UK economy. Again, this is measured by the </w:t>
      </w:r>
      <w:r w:rsidRPr="0078056B">
        <w:rPr>
          <w:b/>
          <w:bCs/>
          <w:color w:val="06357A" w:themeColor="accent1"/>
        </w:rPr>
        <w:t>indirect, and induced impacts</w:t>
      </w:r>
      <w:r w:rsidRPr="0078056B">
        <w:rPr>
          <w:color w:val="06357A" w:themeColor="accent1"/>
        </w:rPr>
        <w:t xml:space="preserve"> </w:t>
      </w:r>
      <w:r w:rsidRPr="0078056B">
        <w:t xml:space="preserve">associated with these expenditures, estimated by applying relevant economic multipliers to the direct impact. Using this approach, the analysis indicates that the </w:t>
      </w:r>
      <w:r w:rsidRPr="0078056B">
        <w:rPr>
          <w:b/>
          <w:bCs/>
          <w:color w:val="06357A" w:themeColor="accent1"/>
        </w:rPr>
        <w:t>total direct, indirect, and induced impact</w:t>
      </w:r>
      <w:r w:rsidRPr="0078056B">
        <w:rPr>
          <w:color w:val="06357A" w:themeColor="accent1"/>
        </w:rPr>
        <w:t xml:space="preserve"> </w:t>
      </w:r>
      <w:r w:rsidRPr="0078056B">
        <w:t xml:space="preserve">of the visitor expenditure generated by the University of Birmingham stood at approximately </w:t>
      </w:r>
      <w:r w:rsidRPr="0078056B">
        <w:rPr>
          <w:b/>
          <w:bCs/>
          <w:color w:val="06357A" w:themeColor="accent1"/>
        </w:rPr>
        <w:t xml:space="preserve">£46 million </w:t>
      </w:r>
      <w:r w:rsidRPr="0078056B">
        <w:t xml:space="preserve">(see </w:t>
      </w:r>
      <w:r w:rsidRPr="0078056B">
        <w:fldChar w:fldCharType="begin"/>
      </w:r>
      <w:r w:rsidRPr="0078056B">
        <w:instrText xml:space="preserve"> REF _Ref119423272 \r \h  \* MERGEFORMAT </w:instrText>
      </w:r>
      <w:r w:rsidRPr="0078056B">
        <w:fldChar w:fldCharType="separate"/>
      </w:r>
      <w:r w:rsidR="00E33157">
        <w:t>Figure 4</w:t>
      </w:r>
      <w:r w:rsidRPr="0078056B">
        <w:fldChar w:fldCharType="end"/>
      </w:r>
      <w:r w:rsidRPr="0078056B">
        <w:t>).</w:t>
      </w:r>
    </w:p>
    <w:p w14:paraId="072A76E9" w14:textId="77777777" w:rsidR="003E0132" w:rsidRPr="0078056B" w:rsidRDefault="003E0132" w:rsidP="003E0132">
      <w:r w:rsidRPr="0078056B">
        <w:t xml:space="preserve">The University’s contribution to tourism activities supported an estimated </w:t>
      </w:r>
      <w:r w:rsidRPr="0078056B">
        <w:rPr>
          <w:b/>
          <w:bCs/>
          <w:color w:val="06357A" w:themeColor="accent1"/>
        </w:rPr>
        <w:t>455 full-time equivalent jobs</w:t>
      </w:r>
      <w:r w:rsidRPr="0078056B">
        <w:rPr>
          <w:color w:val="06357A" w:themeColor="accent1"/>
        </w:rPr>
        <w:t xml:space="preserve"> </w:t>
      </w:r>
      <w:r w:rsidRPr="0078056B">
        <w:t xml:space="preserve">across the UK as a whole, with </w:t>
      </w:r>
      <w:r w:rsidRPr="0078056B">
        <w:rPr>
          <w:b/>
          <w:bCs/>
          <w:color w:val="06357A" w:themeColor="accent1"/>
        </w:rPr>
        <w:t>340 jobs</w:t>
      </w:r>
      <w:r w:rsidRPr="0078056B">
        <w:t xml:space="preserve"> of these jobs supported in the West Midlands.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3E0132" w:rsidRPr="0078056B" w14:paraId="0F4F4E0F" w14:textId="77777777" w:rsidTr="000A186C">
        <w:trPr>
          <w:cantSplit/>
        </w:trPr>
        <w:tc>
          <w:tcPr>
            <w:tcW w:w="0" w:type="auto"/>
          </w:tcPr>
          <w:p w14:paraId="032075AE" w14:textId="2382AB6C" w:rsidR="003E0132" w:rsidRPr="0078056B" w:rsidRDefault="003E0132" w:rsidP="000A186C">
            <w:pPr>
              <w:pStyle w:val="FigureTitle"/>
            </w:pPr>
            <w:bookmarkStart w:id="40" w:name="_Ref119423272"/>
            <w:bookmarkStart w:id="41" w:name="_Toc119925127"/>
            <w:bookmarkStart w:id="42" w:name="_Toc138171600"/>
            <w:bookmarkStart w:id="43" w:name="_Toc161676202"/>
            <w:bookmarkStart w:id="44" w:name="_Toc168652185"/>
            <w:r w:rsidRPr="0078056B">
              <w:t xml:space="preserve">Impact associated with the University of Birmingham’s contribution to tourism </w:t>
            </w:r>
            <w:r w:rsidR="004B02D1" w:rsidRPr="0078056B">
              <w:t xml:space="preserve">in 2021-22 </w:t>
            </w:r>
            <w:r w:rsidRPr="0078056B">
              <w:t>(£m)</w:t>
            </w:r>
            <w:bookmarkEnd w:id="40"/>
            <w:bookmarkEnd w:id="41"/>
            <w:bookmarkEnd w:id="42"/>
            <w:bookmarkEnd w:id="43"/>
            <w:bookmarkEnd w:id="44"/>
          </w:p>
        </w:tc>
      </w:tr>
      <w:tr w:rsidR="003E0132" w:rsidRPr="0078056B" w14:paraId="6CB205C5" w14:textId="77777777" w:rsidTr="000A186C">
        <w:tblPrEx>
          <w:tblCellMar>
            <w:left w:w="108" w:type="dxa"/>
            <w:right w:w="108" w:type="dxa"/>
          </w:tblCellMar>
        </w:tblPrEx>
        <w:trPr>
          <w:cantSplit/>
        </w:trPr>
        <w:tc>
          <w:tcPr>
            <w:tcW w:w="8844" w:type="dxa"/>
          </w:tcPr>
          <w:p w14:paraId="7072519E" w14:textId="77777777" w:rsidR="003E0132" w:rsidRPr="0078056B" w:rsidRDefault="003E0132" w:rsidP="000A186C">
            <w:pPr>
              <w:pStyle w:val="PlaceholderText"/>
            </w:pPr>
            <w:r w:rsidRPr="0078056B">
              <w:rPr>
                <w:noProof/>
                <w:lang w:eastAsia="en-GB"/>
              </w:rPr>
              <w:drawing>
                <wp:inline distT="0" distB="0" distL="0" distR="0" wp14:anchorId="2F55309F" wp14:editId="4132D062">
                  <wp:extent cx="5546785" cy="1519581"/>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546785" cy="1519581"/>
                          </a:xfrm>
                          <a:prstGeom prst="rect">
                            <a:avLst/>
                          </a:prstGeom>
                        </pic:spPr>
                      </pic:pic>
                    </a:graphicData>
                  </a:graphic>
                </wp:inline>
              </w:drawing>
            </w:r>
          </w:p>
        </w:tc>
      </w:tr>
      <w:tr w:rsidR="003E0132" w:rsidRPr="0078056B" w14:paraId="18C84201" w14:textId="77777777" w:rsidTr="000A186C">
        <w:trPr>
          <w:cantSplit/>
        </w:trPr>
        <w:tc>
          <w:tcPr>
            <w:tcW w:w="0" w:type="auto"/>
          </w:tcPr>
          <w:p w14:paraId="04943BA6" w14:textId="77777777" w:rsidR="003E0132" w:rsidRPr="0078056B" w:rsidRDefault="003E0132" w:rsidP="000A186C">
            <w:pPr>
              <w:keepNext/>
              <w:keepLines/>
              <w:spacing w:before="0" w:after="0"/>
              <w:jc w:val="left"/>
              <w:rPr>
                <w:sz w:val="16"/>
              </w:rPr>
            </w:pPr>
            <w:r w:rsidRPr="0078056B">
              <w:rPr>
                <w:sz w:val="16"/>
              </w:rPr>
              <w:t xml:space="preserve">Note: All estimates are presented in 2021-22 prices, rounded to the nearest £1m, and may not add up precisely to the totals indicated. </w:t>
            </w:r>
          </w:p>
          <w:p w14:paraId="45C10421" w14:textId="77777777" w:rsidR="003E0132" w:rsidRPr="0078056B" w:rsidRDefault="003E0132" w:rsidP="000A186C">
            <w:pPr>
              <w:spacing w:before="0"/>
            </w:pPr>
            <w:r w:rsidRPr="0078056B">
              <w:rPr>
                <w:b/>
                <w:i/>
                <w:sz w:val="16"/>
              </w:rPr>
              <w:t>Source: London Economics’ analysis</w:t>
            </w:r>
          </w:p>
        </w:tc>
      </w:tr>
    </w:tbl>
    <w:p w14:paraId="718E1BA5" w14:textId="22883FAE" w:rsidR="003E0132" w:rsidRPr="0078056B" w:rsidRDefault="003E0132" w:rsidP="003E0132">
      <w:pPr>
        <w:sectPr w:rsidR="003E0132" w:rsidRPr="0078056B" w:rsidSect="00B0172D">
          <w:headerReference w:type="even" r:id="rId61"/>
          <w:headerReference w:type="default" r:id="rId62"/>
          <w:footerReference w:type="even" r:id="rId63"/>
          <w:footerReference w:type="default" r:id="rId64"/>
          <w:headerReference w:type="first" r:id="rId65"/>
          <w:footerReference w:type="first" r:id="rId66"/>
          <w:pgSz w:w="11906" w:h="16838"/>
          <w:pgMar w:top="1418" w:right="1531" w:bottom="1418" w:left="1531" w:header="709" w:footer="850" w:gutter="0"/>
          <w:pgNumType w:fmt="lowerRoman"/>
          <w:cols w:space="708"/>
          <w:docGrid w:linePitch="360"/>
        </w:sectPr>
      </w:pPr>
    </w:p>
    <w:p w14:paraId="73C76B78" w14:textId="191AF564" w:rsidR="00D242A9" w:rsidRPr="0078056B" w:rsidRDefault="00AF18BB" w:rsidP="00371532">
      <w:pPr>
        <w:pStyle w:val="Heading1"/>
      </w:pPr>
      <w:bookmarkStart w:id="46" w:name="_Toc168652117"/>
      <w:bookmarkEnd w:id="5"/>
      <w:bookmarkEnd w:id="6"/>
      <w:r w:rsidRPr="0078056B">
        <w:rPr>
          <w:rStyle w:val="HeaderRepeat"/>
        </w:rPr>
        <w:lastRenderedPageBreak/>
        <w:t>Introduction</w:t>
      </w:r>
      <w:bookmarkEnd w:id="46"/>
    </w:p>
    <w:p w14:paraId="46D711F4" w14:textId="5150CF8C" w:rsidR="001A3671" w:rsidRPr="0078056B" w:rsidRDefault="001A3671" w:rsidP="001A3671">
      <w:r w:rsidRPr="0078056B">
        <w:t xml:space="preserve">London Economics were commissioned to assess the </w:t>
      </w:r>
      <w:r w:rsidRPr="0078056B">
        <w:rPr>
          <w:b/>
          <w:bCs/>
          <w:color w:val="06357A"/>
        </w:rPr>
        <w:t>economic, social and cultural impact of the University of Birmingham to the United Kingdom</w:t>
      </w:r>
      <w:r w:rsidR="00EA4D0B" w:rsidRPr="0078056B">
        <w:rPr>
          <w:rStyle w:val="FootnoteReference"/>
        </w:rPr>
        <w:footnoteReference w:id="9"/>
      </w:r>
      <w:r w:rsidRPr="0078056B">
        <w:t>, focusing on the 2021-22 academic year. The University of Birmingham contributes to the UK’s national prosperity through a range of activities and channels, and the analysis is split into:</w:t>
      </w:r>
    </w:p>
    <w:p w14:paraId="43D89096" w14:textId="63450E63" w:rsidR="001A3671" w:rsidRPr="0078056B" w:rsidRDefault="001A3671" w:rsidP="001A3671">
      <w:pPr>
        <w:pStyle w:val="MinorBullet1"/>
        <w:numPr>
          <w:ilvl w:val="0"/>
          <w:numId w:val="33"/>
        </w:numPr>
      </w:pPr>
      <w:r w:rsidRPr="0078056B">
        <w:t xml:space="preserve">The impact of the University of Birmingham’s </w:t>
      </w:r>
      <w:r w:rsidRPr="0078056B">
        <w:rPr>
          <w:b/>
          <w:bCs/>
          <w:color w:val="06357A"/>
        </w:rPr>
        <w:t>research and knowledge exchange activities</w:t>
      </w:r>
      <w:r w:rsidRPr="0078056B">
        <w:t>;</w:t>
      </w:r>
    </w:p>
    <w:p w14:paraId="662FA740" w14:textId="776B249F" w:rsidR="001A3671" w:rsidRPr="0078056B" w:rsidRDefault="001A3671" w:rsidP="001A3671">
      <w:pPr>
        <w:pStyle w:val="MinorBullet1"/>
        <w:numPr>
          <w:ilvl w:val="0"/>
          <w:numId w:val="25"/>
        </w:numPr>
        <w:tabs>
          <w:tab w:val="num" w:pos="1077"/>
        </w:tabs>
      </w:pPr>
      <w:r w:rsidRPr="0078056B">
        <w:t xml:space="preserve">The economic contribution of the University of Birmingham’s provision of </w:t>
      </w:r>
      <w:r w:rsidRPr="0078056B">
        <w:rPr>
          <w:b/>
          <w:bCs/>
          <w:color w:val="06357A"/>
        </w:rPr>
        <w:t>teaching and learning</w:t>
      </w:r>
      <w:r w:rsidRPr="0078056B">
        <w:t xml:space="preserve">; </w:t>
      </w:r>
    </w:p>
    <w:p w14:paraId="4D303D82" w14:textId="66B4BB69" w:rsidR="001A3671" w:rsidRPr="0078056B" w:rsidRDefault="001A3671" w:rsidP="001A3671">
      <w:pPr>
        <w:pStyle w:val="MinorBullet1"/>
        <w:numPr>
          <w:ilvl w:val="0"/>
          <w:numId w:val="25"/>
        </w:numPr>
        <w:tabs>
          <w:tab w:val="num" w:pos="1077"/>
        </w:tabs>
      </w:pPr>
      <w:r w:rsidRPr="0078056B">
        <w:t xml:space="preserve">The impact of </w:t>
      </w:r>
      <w:r w:rsidR="009E0C8A" w:rsidRPr="0078056B">
        <w:t>the University of Birmingham</w:t>
      </w:r>
      <w:r w:rsidRPr="0078056B">
        <w:t xml:space="preserve">’s contribution to </w:t>
      </w:r>
      <w:r w:rsidRPr="0078056B">
        <w:rPr>
          <w:b/>
          <w:bCs/>
          <w:color w:val="06357A"/>
        </w:rPr>
        <w:t>educational exports</w:t>
      </w:r>
      <w:r w:rsidRPr="0078056B">
        <w:t>;</w:t>
      </w:r>
    </w:p>
    <w:p w14:paraId="4EB47659" w14:textId="2EC7E90A" w:rsidR="001A3671" w:rsidRPr="0078056B" w:rsidRDefault="001A3671" w:rsidP="001A3671">
      <w:pPr>
        <w:pStyle w:val="MinorBullet1"/>
        <w:numPr>
          <w:ilvl w:val="0"/>
          <w:numId w:val="25"/>
        </w:numPr>
        <w:tabs>
          <w:tab w:val="num" w:pos="1077"/>
        </w:tabs>
      </w:pPr>
      <w:r w:rsidRPr="0078056B">
        <w:t xml:space="preserve">The impact of </w:t>
      </w:r>
      <w:r w:rsidR="009E0C8A" w:rsidRPr="0078056B">
        <w:t>the University of Birmingham</w:t>
      </w:r>
      <w:r w:rsidRPr="0078056B">
        <w:t xml:space="preserve">’s </w:t>
      </w:r>
      <w:r w:rsidRPr="0078056B">
        <w:rPr>
          <w:b/>
          <w:bCs/>
          <w:color w:val="06357A"/>
        </w:rPr>
        <w:t>operating and capital expenditure</w:t>
      </w:r>
      <w:r w:rsidR="009E0C8A" w:rsidRPr="0078056B">
        <w:rPr>
          <w:b/>
          <w:bCs/>
          <w:color w:val="06357A"/>
        </w:rPr>
        <w:t>s</w:t>
      </w:r>
      <w:r w:rsidR="009E0C8A" w:rsidRPr="0078056B">
        <w:t>;</w:t>
      </w:r>
    </w:p>
    <w:p w14:paraId="6B01A944" w14:textId="57E585FD" w:rsidR="001279B4" w:rsidRPr="0078056B" w:rsidRDefault="001279B4" w:rsidP="001279B4">
      <w:pPr>
        <w:pStyle w:val="MinorBullet1"/>
        <w:numPr>
          <w:ilvl w:val="0"/>
          <w:numId w:val="25"/>
        </w:numPr>
        <w:jc w:val="left"/>
      </w:pPr>
      <w:r w:rsidRPr="0078056B">
        <w:t xml:space="preserve">The impact of the </w:t>
      </w:r>
      <w:r w:rsidRPr="0078056B">
        <w:rPr>
          <w:b/>
          <w:bCs/>
          <w:color w:val="06357A" w:themeColor="accent1"/>
        </w:rPr>
        <w:t>tourism</w:t>
      </w:r>
      <w:r w:rsidRPr="0078056B">
        <w:t xml:space="preserve"> activity associated with the University of Birmingham; and</w:t>
      </w:r>
    </w:p>
    <w:p w14:paraId="70194495" w14:textId="1E5E55DE" w:rsidR="001279B4" w:rsidRPr="0078056B" w:rsidRDefault="001279B4" w:rsidP="001279B4">
      <w:pPr>
        <w:pStyle w:val="MinorBullet1"/>
        <w:numPr>
          <w:ilvl w:val="0"/>
          <w:numId w:val="25"/>
        </w:numPr>
        <w:jc w:val="left"/>
      </w:pPr>
      <w:r w:rsidRPr="0078056B">
        <w:t xml:space="preserve">The </w:t>
      </w:r>
      <w:r w:rsidRPr="0078056B">
        <w:rPr>
          <w:b/>
          <w:bCs/>
          <w:color w:val="06357A" w:themeColor="text2"/>
        </w:rPr>
        <w:t xml:space="preserve">social and cultural impact </w:t>
      </w:r>
      <w:r w:rsidRPr="0078056B">
        <w:t>of the University of Birmingham.</w:t>
      </w:r>
    </w:p>
    <w:p w14:paraId="141C005C" w14:textId="61E58B96" w:rsidR="00552809" w:rsidRPr="0078056B" w:rsidRDefault="00552809" w:rsidP="001A3671">
      <w:r w:rsidRPr="0078056B">
        <w:t>The analysis builds upon previous work undertaken by London Economics for the University of Birmingham assessing the University’s economic and social impact</w:t>
      </w:r>
      <w:r w:rsidRPr="0078056B">
        <w:rPr>
          <w:rStyle w:val="FootnoteReference"/>
        </w:rPr>
        <w:footnoteReference w:id="10"/>
      </w:r>
      <w:r w:rsidRPr="0078056B">
        <w:t xml:space="preserve">, which focused on the 2014-15 academic year. </w:t>
      </w:r>
      <w:r w:rsidR="00B67A92" w:rsidRPr="0078056B">
        <w:t xml:space="preserve">Alongside </w:t>
      </w:r>
      <w:r w:rsidR="00746150" w:rsidRPr="0078056B">
        <w:t xml:space="preserve">a number of </w:t>
      </w:r>
      <w:r w:rsidR="00B67A92" w:rsidRPr="0078056B">
        <w:t xml:space="preserve">methodological </w:t>
      </w:r>
      <w:r w:rsidR="00C03094" w:rsidRPr="0078056B">
        <w:t>improvements</w:t>
      </w:r>
      <w:r w:rsidR="00B67A92" w:rsidRPr="0078056B">
        <w:t>,</w:t>
      </w:r>
      <w:r w:rsidRPr="0078056B">
        <w:t xml:space="preserve"> this report focuses on a wider range of impacts</w:t>
      </w:r>
      <w:r w:rsidR="00B67A92" w:rsidRPr="0078056B">
        <w:t xml:space="preserve"> than the previous study</w:t>
      </w:r>
      <w:r w:rsidRPr="0078056B">
        <w:t>, including knowledge exchange activities and tourism.</w:t>
      </w:r>
      <w:r w:rsidR="00C03094" w:rsidRPr="0078056B">
        <w:t xml:space="preserve"> As such, the direct comparison of results between the </w:t>
      </w:r>
      <w:r w:rsidR="00B002AA" w:rsidRPr="0078056B">
        <w:t>current analysis and the results presented in the previous report should be treated with caution.</w:t>
      </w:r>
      <w:r w:rsidR="00C03094" w:rsidRPr="0078056B">
        <w:t xml:space="preserve"> </w:t>
      </w:r>
    </w:p>
    <w:p w14:paraId="7C2D112A" w14:textId="2932921C" w:rsidR="001A3671" w:rsidRPr="0078056B" w:rsidRDefault="001A3671" w:rsidP="001A3671">
      <w:r w:rsidRPr="0078056B">
        <w:t>Reflecting these channels of impact, the remainder of this report is structured as follows.</w:t>
      </w:r>
    </w:p>
    <w:p w14:paraId="67F87A7B" w14:textId="36BE8068" w:rsidR="001A3671" w:rsidRPr="0078056B" w:rsidRDefault="001A3671" w:rsidP="001A3671">
      <w:r w:rsidRPr="0078056B">
        <w:t xml:space="preserve">In </w:t>
      </w:r>
      <w:r w:rsidRPr="0078056B">
        <w:rPr>
          <w:b/>
          <w:bCs/>
          <w:color w:val="06357A"/>
        </w:rPr>
        <w:t xml:space="preserve">Section </w:t>
      </w:r>
      <w:r w:rsidR="0061257A" w:rsidRPr="0078056B">
        <w:rPr>
          <w:b/>
          <w:bCs/>
          <w:color w:val="06357A"/>
        </w:rPr>
        <w:fldChar w:fldCharType="begin"/>
      </w:r>
      <w:r w:rsidR="0061257A" w:rsidRPr="0078056B">
        <w:rPr>
          <w:b/>
          <w:bCs/>
          <w:color w:val="06357A"/>
        </w:rPr>
        <w:instrText xml:space="preserve"> REF _Ref162258996 \r \h </w:instrText>
      </w:r>
      <w:r w:rsidR="0078056B">
        <w:rPr>
          <w:b/>
          <w:bCs/>
          <w:color w:val="06357A"/>
        </w:rPr>
        <w:instrText xml:space="preserve"> \* MERGEFORMAT </w:instrText>
      </w:r>
      <w:r w:rsidR="0061257A" w:rsidRPr="0078056B">
        <w:rPr>
          <w:b/>
          <w:bCs/>
          <w:color w:val="06357A"/>
        </w:rPr>
      </w:r>
      <w:r w:rsidR="0061257A" w:rsidRPr="0078056B">
        <w:rPr>
          <w:b/>
          <w:bCs/>
          <w:color w:val="06357A"/>
        </w:rPr>
        <w:fldChar w:fldCharType="separate"/>
      </w:r>
      <w:r w:rsidR="00E33157">
        <w:rPr>
          <w:b/>
          <w:bCs/>
          <w:color w:val="06357A"/>
        </w:rPr>
        <w:t>2</w:t>
      </w:r>
      <w:r w:rsidR="0061257A" w:rsidRPr="0078056B">
        <w:rPr>
          <w:b/>
          <w:bCs/>
          <w:color w:val="06357A"/>
        </w:rPr>
        <w:fldChar w:fldCharType="end"/>
      </w:r>
      <w:r w:rsidRPr="0078056B">
        <w:t xml:space="preserve">, we outline our estimates of the impact of </w:t>
      </w:r>
      <w:r w:rsidR="001279B4" w:rsidRPr="0078056B">
        <w:t>the University of Birmingham</w:t>
      </w:r>
      <w:r w:rsidRPr="0078056B">
        <w:t xml:space="preserve">’s research and knowledge exchange activities. To estimate the impact of the research undertaken at </w:t>
      </w:r>
      <w:r w:rsidR="001279B4" w:rsidRPr="0078056B">
        <w:t>the University</w:t>
      </w:r>
      <w:r w:rsidRPr="0078056B">
        <w:t>, we combine information on the research-related income accrued in the 2021-22 academic year with estimates from the wider economic literature on the extent to which public investment in research activity results in additional private sector productivity (i.e. positive ‘productivity spillovers’). In addition, the analysis estimates the direct, indirect, and induced impact associated with the University’s</w:t>
      </w:r>
      <w:r w:rsidR="001279B4" w:rsidRPr="0078056B">
        <w:t xml:space="preserve"> research and</w:t>
      </w:r>
      <w:r w:rsidRPr="0078056B">
        <w:t xml:space="preserve"> knowledge exchange activities, including the </w:t>
      </w:r>
      <w:r w:rsidR="00FC6C11" w:rsidRPr="0078056B">
        <w:t xml:space="preserve">commercialisation </w:t>
      </w:r>
      <w:r w:rsidRPr="0078056B">
        <w:t>activities of associated spinout and start-up companies; contract research provided by the University; consultancy services provided by the University; business and community courses; facility and equipment hire; and licensing of the University’s intellectual property (IP) to other organisations.</w:t>
      </w:r>
    </w:p>
    <w:p w14:paraId="427FB532" w14:textId="4BA10878" w:rsidR="001A3671" w:rsidRPr="0078056B" w:rsidRDefault="001A3671" w:rsidP="001A3671">
      <w:r w:rsidRPr="0078056B">
        <w:t xml:space="preserve">In </w:t>
      </w:r>
      <w:r w:rsidRPr="0078056B">
        <w:rPr>
          <w:b/>
          <w:bCs/>
          <w:color w:val="06357A"/>
        </w:rPr>
        <w:t xml:space="preserve">Section </w:t>
      </w:r>
      <w:r w:rsidR="0061257A" w:rsidRPr="0078056B">
        <w:rPr>
          <w:b/>
          <w:bCs/>
          <w:color w:val="06357A"/>
        </w:rPr>
        <w:fldChar w:fldCharType="begin"/>
      </w:r>
      <w:r w:rsidR="0061257A" w:rsidRPr="0078056B">
        <w:rPr>
          <w:b/>
          <w:bCs/>
          <w:color w:val="06357A"/>
        </w:rPr>
        <w:instrText xml:space="preserve"> REF _Ref161750690 \r \h </w:instrText>
      </w:r>
      <w:r w:rsidR="0078056B">
        <w:rPr>
          <w:b/>
          <w:bCs/>
          <w:color w:val="06357A"/>
        </w:rPr>
        <w:instrText xml:space="preserve"> \* MERGEFORMAT </w:instrText>
      </w:r>
      <w:r w:rsidR="0061257A" w:rsidRPr="0078056B">
        <w:rPr>
          <w:b/>
          <w:bCs/>
          <w:color w:val="06357A"/>
        </w:rPr>
      </w:r>
      <w:r w:rsidR="0061257A" w:rsidRPr="0078056B">
        <w:rPr>
          <w:b/>
          <w:bCs/>
          <w:color w:val="06357A"/>
        </w:rPr>
        <w:fldChar w:fldCharType="separate"/>
      </w:r>
      <w:r w:rsidR="00E33157">
        <w:rPr>
          <w:b/>
          <w:bCs/>
          <w:color w:val="06357A"/>
        </w:rPr>
        <w:t>3</w:t>
      </w:r>
      <w:r w:rsidR="0061257A" w:rsidRPr="0078056B">
        <w:rPr>
          <w:b/>
          <w:bCs/>
          <w:color w:val="06357A"/>
        </w:rPr>
        <w:fldChar w:fldCharType="end"/>
      </w:r>
      <w:r w:rsidRPr="0078056B">
        <w:t xml:space="preserve">, we assess the improved labour market earnings and employment outcomes associated with higher education attainment at </w:t>
      </w:r>
      <w:r w:rsidR="001279B4" w:rsidRPr="0078056B">
        <w:t>the University of Birmingham</w:t>
      </w:r>
      <w:r w:rsidRPr="0078056B">
        <w:t xml:space="preserve">. Through an assessment of the expected lifetime benefits and costs associated with educational attainment, we estimate the net economic benefits of the University’s teaching and learning activity to its graduates and the public purse (through enhanced taxation receipts), focusing on the cohort of </w:t>
      </w:r>
      <w:r w:rsidR="001279B4" w:rsidRPr="0078056B">
        <w:rPr>
          <w:b/>
          <w:color w:val="06357A"/>
        </w:rPr>
        <w:t xml:space="preserve">10,830 </w:t>
      </w:r>
      <w:r w:rsidRPr="0078056B">
        <w:t xml:space="preserve">UK domiciled students who started higher education qualifications at </w:t>
      </w:r>
      <w:r w:rsidR="001279B4" w:rsidRPr="0078056B">
        <w:t xml:space="preserve">the University </w:t>
      </w:r>
      <w:r w:rsidRPr="0078056B">
        <w:t>in the 2021-22 academic year.</w:t>
      </w:r>
      <w:r w:rsidR="001279B4" w:rsidRPr="0078056B">
        <w:t xml:space="preserve"> In addition, we provide evidence on the</w:t>
      </w:r>
      <w:r w:rsidR="003D4AAF" w:rsidRPr="0078056B">
        <w:t xml:space="preserve"> average</w:t>
      </w:r>
      <w:r w:rsidR="001279B4" w:rsidRPr="0078056B">
        <w:t xml:space="preserve"> </w:t>
      </w:r>
      <w:r w:rsidR="003D4AAF" w:rsidRPr="0078056B">
        <w:t>earnings</w:t>
      </w:r>
      <w:r w:rsidR="001279B4" w:rsidRPr="0078056B">
        <w:t xml:space="preserve"> </w:t>
      </w:r>
      <w:r w:rsidR="003D4AAF" w:rsidRPr="0078056B">
        <w:t xml:space="preserve">and employment outcomes </w:t>
      </w:r>
      <w:r w:rsidR="001279B4" w:rsidRPr="0078056B">
        <w:t xml:space="preserve">of the University’s graduates </w:t>
      </w:r>
      <w:r w:rsidR="003D4AAF" w:rsidRPr="0078056B">
        <w:t xml:space="preserve">as well as </w:t>
      </w:r>
      <w:r w:rsidR="001279B4" w:rsidRPr="0078056B">
        <w:t xml:space="preserve">the role that the University plays in attracting graduates to the </w:t>
      </w:r>
      <w:r w:rsidR="001279B4" w:rsidRPr="0078056B">
        <w:lastRenderedPageBreak/>
        <w:t>West Midlands. We also demonstrate the University’s role in training public sector workers in the West Midlands and its role in facilitating apprenticeships.</w:t>
      </w:r>
    </w:p>
    <w:p w14:paraId="38572A50" w14:textId="470C4890" w:rsidR="001A3671" w:rsidRPr="0078056B" w:rsidRDefault="001A3671" w:rsidP="001A3671">
      <w:r w:rsidRPr="0078056B">
        <w:t>In addition to these UK domiciled students, there were a further</w:t>
      </w:r>
      <w:r w:rsidRPr="0078056B">
        <w:rPr>
          <w:b/>
          <w:bCs/>
          <w:color w:val="06357A"/>
        </w:rPr>
        <w:t xml:space="preserve"> 5,</w:t>
      </w:r>
      <w:r w:rsidR="0061257A" w:rsidRPr="0078056B">
        <w:rPr>
          <w:b/>
          <w:bCs/>
          <w:color w:val="06357A"/>
        </w:rPr>
        <w:t>080</w:t>
      </w:r>
      <w:r w:rsidRPr="0078056B">
        <w:rPr>
          <w:b/>
          <w:bCs/>
          <w:color w:val="06357A"/>
        </w:rPr>
        <w:t xml:space="preserve"> </w:t>
      </w:r>
      <w:r w:rsidRPr="0078056B">
        <w:t xml:space="preserve">international students commencing their studies in the 2021-22 cohort of </w:t>
      </w:r>
      <w:r w:rsidR="001279B4" w:rsidRPr="0078056B">
        <w:t>University of Birmingham</w:t>
      </w:r>
      <w:r w:rsidRPr="0078056B">
        <w:t xml:space="preserve"> students. These students contribute to the value of UK educational exports through their tuition fees as well as their non-fee (i.e. living cost) expenditures during their studies. </w:t>
      </w:r>
      <w:r w:rsidRPr="0078056B">
        <w:rPr>
          <w:b/>
          <w:bCs/>
          <w:color w:val="06357A"/>
        </w:rPr>
        <w:t xml:space="preserve">Section </w:t>
      </w:r>
      <w:r w:rsidR="0061257A" w:rsidRPr="0078056B">
        <w:rPr>
          <w:b/>
          <w:bCs/>
          <w:color w:val="06357A"/>
        </w:rPr>
        <w:fldChar w:fldCharType="begin"/>
      </w:r>
      <w:r w:rsidR="0061257A" w:rsidRPr="0078056B">
        <w:rPr>
          <w:b/>
          <w:bCs/>
          <w:color w:val="06357A"/>
        </w:rPr>
        <w:instrText xml:space="preserve"> REF _Ref162263211 \r \h </w:instrText>
      </w:r>
      <w:r w:rsidR="0078056B">
        <w:rPr>
          <w:b/>
          <w:bCs/>
          <w:color w:val="06357A"/>
        </w:rPr>
        <w:instrText xml:space="preserve"> \* MERGEFORMAT </w:instrText>
      </w:r>
      <w:r w:rsidR="0061257A" w:rsidRPr="0078056B">
        <w:rPr>
          <w:b/>
          <w:bCs/>
          <w:color w:val="06357A"/>
        </w:rPr>
      </w:r>
      <w:r w:rsidR="0061257A" w:rsidRPr="0078056B">
        <w:rPr>
          <w:b/>
          <w:bCs/>
          <w:color w:val="06357A"/>
        </w:rPr>
        <w:fldChar w:fldCharType="separate"/>
      </w:r>
      <w:r w:rsidR="00E33157">
        <w:rPr>
          <w:b/>
          <w:bCs/>
          <w:color w:val="06357A"/>
        </w:rPr>
        <w:t>4</w:t>
      </w:r>
      <w:r w:rsidR="0061257A" w:rsidRPr="0078056B">
        <w:rPr>
          <w:b/>
          <w:bCs/>
          <w:color w:val="06357A"/>
        </w:rPr>
        <w:fldChar w:fldCharType="end"/>
      </w:r>
      <w:r w:rsidRPr="0078056B">
        <w:t xml:space="preserve"> assesses the direct, indirect, and induced economic impacts generated by this fee and non-fee income associated with the University’s 2021-22 cohort of international students. </w:t>
      </w:r>
    </w:p>
    <w:p w14:paraId="02FF0F2A" w14:textId="24CC26CF" w:rsidR="001A3671" w:rsidRPr="0078056B" w:rsidRDefault="001A3671" w:rsidP="001A3671">
      <w:r w:rsidRPr="0078056B">
        <w:t xml:space="preserve">Given that </w:t>
      </w:r>
      <w:r w:rsidR="0061257A" w:rsidRPr="0078056B">
        <w:t>t</w:t>
      </w:r>
      <w:r w:rsidR="001279B4" w:rsidRPr="0078056B">
        <w:t>he University of Birmingham</w:t>
      </w:r>
      <w:r w:rsidRPr="0078056B">
        <w:t xml:space="preserve"> is a major employer and supports its core activities through significant expenditures, the University’s substantial physical footprint supports jobs and promotes economic growth throughout </w:t>
      </w:r>
      <w:r w:rsidR="0061257A" w:rsidRPr="0078056B">
        <w:t>the West Midlands</w:t>
      </w:r>
      <w:r w:rsidRPr="0078056B">
        <w:t xml:space="preserve"> and the wider UK economy. </w:t>
      </w:r>
      <w:r w:rsidRPr="0078056B">
        <w:rPr>
          <w:b/>
          <w:bCs/>
          <w:color w:val="06357A"/>
        </w:rPr>
        <w:t xml:space="preserve">Section </w:t>
      </w:r>
      <w:r w:rsidR="0061257A" w:rsidRPr="0078056B">
        <w:rPr>
          <w:b/>
          <w:bCs/>
          <w:color w:val="06357A"/>
        </w:rPr>
        <w:fldChar w:fldCharType="begin"/>
      </w:r>
      <w:r w:rsidR="0061257A" w:rsidRPr="0078056B">
        <w:rPr>
          <w:b/>
          <w:bCs/>
          <w:color w:val="06357A"/>
        </w:rPr>
        <w:instrText xml:space="preserve"> REF _Ref162251984 \r \h  \* MERGEFORMAT </w:instrText>
      </w:r>
      <w:r w:rsidR="0061257A" w:rsidRPr="0078056B">
        <w:rPr>
          <w:b/>
          <w:bCs/>
          <w:color w:val="06357A"/>
        </w:rPr>
      </w:r>
      <w:r w:rsidR="0061257A" w:rsidRPr="0078056B">
        <w:rPr>
          <w:b/>
          <w:bCs/>
          <w:color w:val="06357A"/>
        </w:rPr>
        <w:fldChar w:fldCharType="separate"/>
      </w:r>
      <w:r w:rsidR="00E33157">
        <w:rPr>
          <w:b/>
          <w:bCs/>
          <w:color w:val="06357A"/>
        </w:rPr>
        <w:t>5</w:t>
      </w:r>
      <w:r w:rsidR="0061257A" w:rsidRPr="0078056B">
        <w:rPr>
          <w:b/>
          <w:bCs/>
          <w:color w:val="06357A"/>
        </w:rPr>
        <w:fldChar w:fldCharType="end"/>
      </w:r>
      <w:r w:rsidRPr="0078056B">
        <w:rPr>
          <w:b/>
          <w:bCs/>
          <w:color w:val="06357A"/>
        </w:rPr>
        <w:t xml:space="preserve"> </w:t>
      </w:r>
      <w:r w:rsidRPr="0078056B">
        <w:t xml:space="preserve">presents our estimates of the direct, indirect, and induced economic impacts associated with the operating and capital expenditures incurred by </w:t>
      </w:r>
      <w:r w:rsidR="0061257A" w:rsidRPr="0078056B">
        <w:t>t</w:t>
      </w:r>
      <w:r w:rsidR="001279B4" w:rsidRPr="0078056B">
        <w:t>he University of Birmingham</w:t>
      </w:r>
      <w:r w:rsidRPr="0078056B">
        <w:t xml:space="preserve"> in the 2021-22 academic year. </w:t>
      </w:r>
    </w:p>
    <w:p w14:paraId="5309A7EB" w14:textId="6E6E23FB" w:rsidR="0061257A" w:rsidRPr="0078056B" w:rsidRDefault="0061257A" w:rsidP="004F263D">
      <w:pPr>
        <w:rPr>
          <w:rFonts w:asciiTheme="minorHAnsi" w:hAnsiTheme="minorHAnsi" w:cstheme="minorHAnsi"/>
        </w:rPr>
      </w:pPr>
      <w:r w:rsidRPr="0078056B">
        <w:rPr>
          <w:rFonts w:asciiTheme="minorHAnsi" w:hAnsiTheme="minorHAnsi" w:cstheme="minorHAnsi"/>
        </w:rPr>
        <w:t xml:space="preserve">The University </w:t>
      </w:r>
      <w:r w:rsidR="004F263D" w:rsidRPr="0078056B">
        <w:rPr>
          <w:rFonts w:asciiTheme="minorHAnsi" w:hAnsiTheme="minorHAnsi" w:cstheme="minorHAnsi"/>
        </w:rPr>
        <w:t xml:space="preserve">also </w:t>
      </w:r>
      <w:r w:rsidRPr="0078056B">
        <w:rPr>
          <w:rFonts w:asciiTheme="minorHAnsi" w:hAnsiTheme="minorHAnsi" w:cstheme="minorHAnsi"/>
        </w:rPr>
        <w:t xml:space="preserve">attracts a range of visitors to Birmingham, including business visitors, friends and family visiting the University’s staff and students, and participants in study trips to the University. The impact of these visitors on the UK economy is estimated in </w:t>
      </w:r>
      <w:r w:rsidRPr="0078056B">
        <w:rPr>
          <w:b/>
          <w:bCs/>
          <w:color w:val="06357A" w:themeColor="accent1"/>
        </w:rPr>
        <w:t xml:space="preserve">Section </w:t>
      </w:r>
      <w:r w:rsidR="00B7023C" w:rsidRPr="0078056B">
        <w:rPr>
          <w:b/>
          <w:bCs/>
          <w:color w:val="06357A" w:themeColor="accent1"/>
        </w:rPr>
        <w:fldChar w:fldCharType="begin"/>
      </w:r>
      <w:r w:rsidR="00B7023C" w:rsidRPr="0078056B">
        <w:rPr>
          <w:b/>
          <w:bCs/>
          <w:color w:val="06357A" w:themeColor="accent1"/>
        </w:rPr>
        <w:instrText xml:space="preserve"> REF _Ref162535018 \r \h </w:instrText>
      </w:r>
      <w:r w:rsidR="0078056B">
        <w:rPr>
          <w:b/>
          <w:bCs/>
          <w:color w:val="06357A" w:themeColor="accent1"/>
        </w:rPr>
        <w:instrText xml:space="preserve"> \* MERGEFORMAT </w:instrText>
      </w:r>
      <w:r w:rsidR="00B7023C" w:rsidRPr="0078056B">
        <w:rPr>
          <w:b/>
          <w:bCs/>
          <w:color w:val="06357A" w:themeColor="accent1"/>
        </w:rPr>
      </w:r>
      <w:r w:rsidR="00B7023C" w:rsidRPr="0078056B">
        <w:rPr>
          <w:b/>
          <w:bCs/>
          <w:color w:val="06357A" w:themeColor="accent1"/>
        </w:rPr>
        <w:fldChar w:fldCharType="separate"/>
      </w:r>
      <w:r w:rsidR="00E33157">
        <w:rPr>
          <w:b/>
          <w:bCs/>
          <w:color w:val="06357A" w:themeColor="accent1"/>
        </w:rPr>
        <w:t>6</w:t>
      </w:r>
      <w:r w:rsidR="00B7023C" w:rsidRPr="0078056B">
        <w:rPr>
          <w:b/>
          <w:bCs/>
          <w:color w:val="06357A" w:themeColor="accent1"/>
        </w:rPr>
        <w:fldChar w:fldCharType="end"/>
      </w:r>
      <w:r w:rsidRPr="0078056B">
        <w:rPr>
          <w:rFonts w:asciiTheme="minorHAnsi" w:hAnsiTheme="minorHAnsi" w:cstheme="minorHAnsi"/>
        </w:rPr>
        <w:t>.</w:t>
      </w:r>
    </w:p>
    <w:p w14:paraId="04D4E8E3" w14:textId="2087B270" w:rsidR="0061257A" w:rsidRPr="0078056B" w:rsidRDefault="0061257A" w:rsidP="004F263D">
      <w:r w:rsidRPr="0078056B">
        <w:t xml:space="preserve">In addition to the economic impacts associated with the University, there </w:t>
      </w:r>
      <w:r w:rsidR="00B525CA" w:rsidRPr="0078056B">
        <w:t>is</w:t>
      </w:r>
      <w:r w:rsidRPr="0078056B">
        <w:t xml:space="preserve"> a wide range of further social and cultural impacts associated with the University. In </w:t>
      </w:r>
      <w:r w:rsidRPr="0078056B">
        <w:rPr>
          <w:b/>
          <w:bCs/>
          <w:color w:val="06357A" w:themeColor="text2"/>
        </w:rPr>
        <w:t xml:space="preserve">Section </w:t>
      </w:r>
      <w:r w:rsidR="00B7023C" w:rsidRPr="0078056B">
        <w:rPr>
          <w:b/>
          <w:bCs/>
          <w:color w:val="06357A" w:themeColor="text2"/>
        </w:rPr>
        <w:fldChar w:fldCharType="begin"/>
      </w:r>
      <w:r w:rsidR="00B7023C" w:rsidRPr="0078056B">
        <w:rPr>
          <w:b/>
          <w:bCs/>
          <w:color w:val="06357A" w:themeColor="text2"/>
        </w:rPr>
        <w:instrText xml:space="preserve"> REF _Ref162534681 \r \h </w:instrText>
      </w:r>
      <w:r w:rsidR="0078056B">
        <w:rPr>
          <w:b/>
          <w:bCs/>
          <w:color w:val="06357A" w:themeColor="text2"/>
        </w:rPr>
        <w:instrText xml:space="preserve"> \* MERGEFORMAT </w:instrText>
      </w:r>
      <w:r w:rsidR="00B7023C" w:rsidRPr="0078056B">
        <w:rPr>
          <w:b/>
          <w:bCs/>
          <w:color w:val="06357A" w:themeColor="text2"/>
        </w:rPr>
      </w:r>
      <w:r w:rsidR="00B7023C" w:rsidRPr="0078056B">
        <w:rPr>
          <w:b/>
          <w:bCs/>
          <w:color w:val="06357A" w:themeColor="text2"/>
        </w:rPr>
        <w:fldChar w:fldCharType="separate"/>
      </w:r>
      <w:r w:rsidR="00E33157">
        <w:rPr>
          <w:b/>
          <w:bCs/>
          <w:color w:val="06357A" w:themeColor="text2"/>
        </w:rPr>
        <w:t>7</w:t>
      </w:r>
      <w:r w:rsidR="00B7023C" w:rsidRPr="0078056B">
        <w:rPr>
          <w:b/>
          <w:bCs/>
          <w:color w:val="06357A" w:themeColor="text2"/>
        </w:rPr>
        <w:fldChar w:fldCharType="end"/>
      </w:r>
      <w:r w:rsidRPr="0078056B">
        <w:t>,</w:t>
      </w:r>
      <w:r w:rsidR="00B525CA" w:rsidRPr="0078056B">
        <w:t xml:space="preserve"> </w:t>
      </w:r>
      <w:r w:rsidRPr="0078056B">
        <w:t xml:space="preserve">we present the wider economic and societal benefits of the University of Birmingham for students and graduates (evidenced through </w:t>
      </w:r>
      <w:r w:rsidR="00B525CA" w:rsidRPr="0078056B">
        <w:t xml:space="preserve">a </w:t>
      </w:r>
      <w:r w:rsidRPr="0078056B">
        <w:t>survey of the University’s alumni), its cultural impact through hosting public events, the contribution of the University’s staff to the local community through volunteering, and the University’s environmental impact.</w:t>
      </w:r>
    </w:p>
    <w:p w14:paraId="1567C4CA" w14:textId="607E58E1" w:rsidR="00AF18BB" w:rsidRPr="0078056B" w:rsidRDefault="001A3671" w:rsidP="001A3671">
      <w:pPr>
        <w:spacing w:before="0" w:after="200" w:line="276" w:lineRule="auto"/>
        <w:jc w:val="left"/>
      </w:pPr>
      <w:r w:rsidRPr="0078056B">
        <w:rPr>
          <w:bCs/>
        </w:rPr>
        <w:t xml:space="preserve">Finally, </w:t>
      </w:r>
      <w:r w:rsidRPr="0078056B">
        <w:rPr>
          <w:b/>
          <w:color w:val="06357A"/>
        </w:rPr>
        <w:t xml:space="preserve">Section </w:t>
      </w:r>
      <w:r w:rsidR="0061257A" w:rsidRPr="0078056B">
        <w:rPr>
          <w:b/>
          <w:color w:val="06357A"/>
        </w:rPr>
        <w:fldChar w:fldCharType="begin"/>
      </w:r>
      <w:r w:rsidR="0061257A" w:rsidRPr="0078056B">
        <w:rPr>
          <w:b/>
          <w:color w:val="06357A"/>
        </w:rPr>
        <w:instrText xml:space="preserve"> REF _Ref162529331 \r \h </w:instrText>
      </w:r>
      <w:r w:rsidR="00EA4D0B" w:rsidRPr="0078056B">
        <w:rPr>
          <w:b/>
          <w:color w:val="06357A"/>
        </w:rPr>
        <w:instrText xml:space="preserve"> \* MERGEFORMAT </w:instrText>
      </w:r>
      <w:r w:rsidR="0061257A" w:rsidRPr="0078056B">
        <w:rPr>
          <w:b/>
          <w:color w:val="06357A"/>
        </w:rPr>
      </w:r>
      <w:r w:rsidR="0061257A" w:rsidRPr="0078056B">
        <w:rPr>
          <w:b/>
          <w:color w:val="06357A"/>
        </w:rPr>
        <w:fldChar w:fldCharType="separate"/>
      </w:r>
      <w:r w:rsidR="00E33157">
        <w:rPr>
          <w:b/>
          <w:color w:val="06357A"/>
        </w:rPr>
        <w:t>8</w:t>
      </w:r>
      <w:r w:rsidR="0061257A" w:rsidRPr="0078056B">
        <w:rPr>
          <w:b/>
          <w:color w:val="06357A"/>
        </w:rPr>
        <w:fldChar w:fldCharType="end"/>
      </w:r>
      <w:r w:rsidRPr="0078056B">
        <w:rPr>
          <w:b/>
          <w:color w:val="06357A"/>
        </w:rPr>
        <w:t xml:space="preserve"> </w:t>
      </w:r>
      <w:r w:rsidRPr="0078056B">
        <w:t xml:space="preserve">of this report </w:t>
      </w:r>
      <w:r w:rsidRPr="0078056B">
        <w:rPr>
          <w:b/>
          <w:bCs/>
          <w:color w:val="06357A"/>
        </w:rPr>
        <w:t>summarises</w:t>
      </w:r>
      <w:r w:rsidRPr="0078056B">
        <w:rPr>
          <w:color w:val="06357A" w:themeColor="accent1"/>
        </w:rPr>
        <w:t xml:space="preserve"> </w:t>
      </w:r>
      <w:r w:rsidRPr="0078056B">
        <w:t>our main findings.</w:t>
      </w:r>
      <w:r w:rsidR="00AF18BB" w:rsidRPr="0078056B">
        <w:br w:type="page"/>
      </w:r>
    </w:p>
    <w:p w14:paraId="63F26E1C" w14:textId="582ED5BE" w:rsidR="001F2630" w:rsidRPr="0078056B" w:rsidRDefault="00AF18BB" w:rsidP="00AF18BB">
      <w:pPr>
        <w:pStyle w:val="Heading1"/>
      </w:pPr>
      <w:bookmarkStart w:id="47" w:name="_Ref162258996"/>
      <w:bookmarkStart w:id="48" w:name="_Toc168652118"/>
      <w:r w:rsidRPr="0078056B">
        <w:rPr>
          <w:rStyle w:val="HeaderRepeat"/>
        </w:rPr>
        <w:lastRenderedPageBreak/>
        <w:t>The impact of the University of Birmingham’s research and knowledge exchange activities</w:t>
      </w:r>
      <w:bookmarkEnd w:id="47"/>
      <w:bookmarkEnd w:id="48"/>
    </w:p>
    <w:p w14:paraId="76A638B4" w14:textId="07DA46AF" w:rsidR="009B693C" w:rsidRPr="0078056B" w:rsidRDefault="00852868" w:rsidP="009B693C">
      <w:r w:rsidRPr="0078056B">
        <w:t xml:space="preserve">In this section, we outline our estimates of the economic impact of the University of Birmingham’s </w:t>
      </w:r>
      <w:r w:rsidRPr="0078056B">
        <w:rPr>
          <w:b/>
          <w:bCs/>
          <w:color w:val="06357A" w:themeColor="text2"/>
        </w:rPr>
        <w:t>research and knowledge exchange activities</w:t>
      </w:r>
      <w:r w:rsidRPr="0078056B">
        <w:t xml:space="preserve">. </w:t>
      </w:r>
      <w:r w:rsidR="00155425" w:rsidRPr="0078056B">
        <w:t>To achieve this, w</w:t>
      </w:r>
      <w:r w:rsidRPr="0078056B">
        <w:t xml:space="preserve">e </w:t>
      </w:r>
      <w:r w:rsidR="00A8266C" w:rsidRPr="0078056B">
        <w:t xml:space="preserve">first </w:t>
      </w:r>
      <w:r w:rsidRPr="0078056B">
        <w:t xml:space="preserve">consider the impact of the University’s expenditure on research and wider knowledge exchange activities through the direct, indirect and induced effects of that spending. </w:t>
      </w:r>
      <w:r w:rsidR="00A8266C" w:rsidRPr="0078056B">
        <w:t>Secondly</w:t>
      </w:r>
      <w:r w:rsidRPr="0078056B">
        <w:t xml:space="preserve">, we consider the wider productivity spillovers that are generated through the University’s research activities as well as the economic impact </w:t>
      </w:r>
      <w:r w:rsidR="003357C6" w:rsidRPr="0078056B">
        <w:t xml:space="preserve">generated by </w:t>
      </w:r>
      <w:r w:rsidRPr="0078056B">
        <w:t>spinout and start-up companies</w:t>
      </w:r>
      <w:r w:rsidR="00F2294D" w:rsidRPr="0078056B">
        <w:t xml:space="preserve"> that are linked to the University</w:t>
      </w:r>
      <w:r w:rsidRPr="0078056B">
        <w:t>.</w:t>
      </w:r>
      <w:r w:rsidRPr="0078056B">
        <w:rPr>
          <w:rStyle w:val="FootnoteReference"/>
        </w:rPr>
        <w:footnoteReference w:id="11"/>
      </w:r>
      <w:r w:rsidRPr="0078056B">
        <w:t xml:space="preserve"> </w:t>
      </w:r>
      <w:r w:rsidR="00617A5E" w:rsidRPr="0078056B">
        <w:t xml:space="preserve">The section first considers the impact of the University’s research (Section </w:t>
      </w:r>
      <w:r w:rsidR="00617A5E" w:rsidRPr="0078056B">
        <w:fldChar w:fldCharType="begin"/>
      </w:r>
      <w:r w:rsidR="00617A5E" w:rsidRPr="0078056B">
        <w:instrText xml:space="preserve"> REF _Ref162517694 \r \h </w:instrText>
      </w:r>
      <w:r w:rsidR="0078056B">
        <w:instrText xml:space="preserve"> \* MERGEFORMAT </w:instrText>
      </w:r>
      <w:r w:rsidR="00617A5E" w:rsidRPr="0078056B">
        <w:fldChar w:fldCharType="separate"/>
      </w:r>
      <w:r w:rsidR="00E33157">
        <w:t>2.1</w:t>
      </w:r>
      <w:r w:rsidR="00617A5E" w:rsidRPr="0078056B">
        <w:fldChar w:fldCharType="end"/>
      </w:r>
      <w:r w:rsidR="00617A5E" w:rsidRPr="0078056B">
        <w:t xml:space="preserve">), followed by the impact of the University’s knowledge exchange activities (Section </w:t>
      </w:r>
      <w:r w:rsidR="00195FB7" w:rsidRPr="0078056B">
        <w:fldChar w:fldCharType="begin"/>
      </w:r>
      <w:r w:rsidR="00195FB7" w:rsidRPr="0078056B">
        <w:instrText xml:space="preserve"> REF _Ref162533067 \r \h </w:instrText>
      </w:r>
      <w:r w:rsidR="0078056B">
        <w:instrText xml:space="preserve"> \* MERGEFORMAT </w:instrText>
      </w:r>
      <w:r w:rsidR="00195FB7" w:rsidRPr="0078056B">
        <w:fldChar w:fldCharType="separate"/>
      </w:r>
      <w:r w:rsidR="00E33157">
        <w:t>2.2</w:t>
      </w:r>
      <w:r w:rsidR="00195FB7" w:rsidRPr="0078056B">
        <w:fldChar w:fldCharType="end"/>
      </w:r>
      <w:r w:rsidR="00617A5E" w:rsidRPr="0078056B">
        <w:t>).</w:t>
      </w:r>
    </w:p>
    <w:p w14:paraId="61DA3A10" w14:textId="77777777" w:rsidR="009B693C" w:rsidRPr="0078056B" w:rsidRDefault="009B693C" w:rsidP="009B693C">
      <w:pPr>
        <w:pStyle w:val="Heading2"/>
        <w:numPr>
          <w:ilvl w:val="1"/>
          <w:numId w:val="13"/>
        </w:numPr>
      </w:pPr>
      <w:bookmarkStart w:id="49" w:name="_Toc110612577"/>
      <w:bookmarkStart w:id="50" w:name="_Ref115859440"/>
      <w:bookmarkStart w:id="51" w:name="_Toc138171526"/>
      <w:bookmarkStart w:id="52" w:name="_Toc143772681"/>
      <w:bookmarkStart w:id="53" w:name="_Ref160730022"/>
      <w:bookmarkStart w:id="54" w:name="_Toc160803939"/>
      <w:bookmarkStart w:id="55" w:name="_Ref162262446"/>
      <w:bookmarkStart w:id="56" w:name="_Ref162263179"/>
      <w:bookmarkStart w:id="57" w:name="_Ref162268747"/>
      <w:bookmarkStart w:id="58" w:name="_Ref162272695"/>
      <w:bookmarkStart w:id="59" w:name="_Ref162517694"/>
      <w:bookmarkStart w:id="60" w:name="_Toc168652119"/>
      <w:r w:rsidRPr="0078056B">
        <w:t>Economic impact of the University of Birmingham’s research</w:t>
      </w:r>
      <w:bookmarkEnd w:id="49"/>
      <w:bookmarkEnd w:id="50"/>
      <w:bookmarkEnd w:id="51"/>
      <w:bookmarkEnd w:id="52"/>
      <w:bookmarkEnd w:id="53"/>
      <w:bookmarkEnd w:id="54"/>
      <w:bookmarkEnd w:id="55"/>
      <w:bookmarkEnd w:id="56"/>
      <w:bookmarkEnd w:id="57"/>
      <w:bookmarkEnd w:id="58"/>
      <w:bookmarkEnd w:id="59"/>
      <w:bookmarkEnd w:id="60"/>
    </w:p>
    <w:p w14:paraId="0BF26E94" w14:textId="5F5D7443" w:rsidR="009B693C" w:rsidRPr="0078056B" w:rsidRDefault="009B693C" w:rsidP="009B693C">
      <w:r w:rsidRPr="0078056B">
        <w:t xml:space="preserve">In this section, we outline our analysis of the </w:t>
      </w:r>
      <w:r w:rsidRPr="0078056B">
        <w:rPr>
          <w:b/>
          <w:bCs/>
          <w:color w:val="06357A"/>
        </w:rPr>
        <w:t>economic impact</w:t>
      </w:r>
      <w:r w:rsidRPr="0078056B">
        <w:t xml:space="preserve"> </w:t>
      </w:r>
      <w:r w:rsidRPr="0078056B">
        <w:rPr>
          <w:b/>
          <w:bCs/>
          <w:color w:val="06357A" w:themeColor="accent1"/>
        </w:rPr>
        <w:t>of the University of Birmingham’s research activities</w:t>
      </w:r>
      <w:r w:rsidRPr="0078056B">
        <w:t xml:space="preserve">. We estimate both the </w:t>
      </w:r>
      <w:r w:rsidRPr="0078056B">
        <w:rPr>
          <w:b/>
          <w:bCs/>
          <w:color w:val="06357A"/>
        </w:rPr>
        <w:t>direct, indirect, and induced effects</w:t>
      </w:r>
      <w:r w:rsidRPr="0078056B">
        <w:t xml:space="preserve"> of the University of Birmingham’s research (captured by the research income accrued by the University of Birmingham and the subsequent rounds of spending this income generates across the economy), as well as the </w:t>
      </w:r>
      <w:r w:rsidRPr="0078056B">
        <w:rPr>
          <w:b/>
          <w:bCs/>
          <w:color w:val="06357A"/>
        </w:rPr>
        <w:t>productivity spillover effects</w:t>
      </w:r>
      <w:r w:rsidRPr="0078056B">
        <w:t xml:space="preserve"> from the </w:t>
      </w:r>
      <w:r w:rsidR="00257F75" w:rsidRPr="0078056B">
        <w:t xml:space="preserve">University’s </w:t>
      </w:r>
      <w:r w:rsidRPr="0078056B">
        <w:t>research activities.</w:t>
      </w:r>
    </w:p>
    <w:p w14:paraId="6E88D36B" w14:textId="5EF69627" w:rsidR="009B693C" w:rsidRPr="0078056B" w:rsidRDefault="00974D3B" w:rsidP="009B693C">
      <w:pPr>
        <w:pStyle w:val="Heading3"/>
      </w:pPr>
      <w:bookmarkStart w:id="61" w:name="_Ref108100685"/>
      <w:r w:rsidRPr="0078056B">
        <w:t>The University of Birmingham’s research income in 2021-22</w:t>
      </w:r>
    </w:p>
    <w:p w14:paraId="12239DCB" w14:textId="76C8F567" w:rsidR="009B693C" w:rsidRPr="0078056B" w:rsidRDefault="009B693C" w:rsidP="009B693C">
      <w:pPr>
        <w:spacing w:before="0" w:after="200"/>
      </w:pPr>
      <w:r w:rsidRPr="0078056B">
        <w:t xml:space="preserve">To estimate the </w:t>
      </w:r>
      <w:r w:rsidRPr="0078056B">
        <w:rPr>
          <w:b/>
          <w:bCs/>
          <w:color w:val="06357A"/>
        </w:rPr>
        <w:t>direct impact</w:t>
      </w:r>
      <w:r w:rsidRPr="0078056B">
        <w:t xml:space="preserve"> generated by the University of Birmingham’s research activities, we used information from the Higher Education Statistics Agency (HESA) on the total research-related income accrued by the University in the 2021-22 academic year, including:</w:t>
      </w:r>
    </w:p>
    <w:p w14:paraId="7B693A34" w14:textId="77777777" w:rsidR="009B693C" w:rsidRPr="0078056B" w:rsidRDefault="009B693C" w:rsidP="003A6119">
      <w:pPr>
        <w:pStyle w:val="MinorBullet1"/>
        <w:numPr>
          <w:ilvl w:val="0"/>
          <w:numId w:val="28"/>
        </w:numPr>
      </w:pPr>
      <w:r w:rsidRPr="0078056B">
        <w:t xml:space="preserve">Income from </w:t>
      </w:r>
      <w:r w:rsidRPr="0078056B">
        <w:rPr>
          <w:b/>
          <w:bCs/>
          <w:color w:val="06357A" w:themeColor="accent1"/>
        </w:rPr>
        <w:t>research grants and contracts</w:t>
      </w:r>
      <w:r w:rsidRPr="0078056B">
        <w:rPr>
          <w:color w:val="06357A" w:themeColor="accent1"/>
        </w:rPr>
        <w:t xml:space="preserve"> </w:t>
      </w:r>
      <w:r w:rsidRPr="0078056B">
        <w:t>provided by:</w:t>
      </w:r>
    </w:p>
    <w:p w14:paraId="0EEAC558" w14:textId="77777777" w:rsidR="009B693C" w:rsidRPr="0078056B" w:rsidRDefault="009B693C" w:rsidP="003A6119">
      <w:pPr>
        <w:pStyle w:val="MinorBullet2"/>
        <w:numPr>
          <w:ilvl w:val="1"/>
          <w:numId w:val="28"/>
        </w:numPr>
      </w:pPr>
      <w:r w:rsidRPr="0078056B">
        <w:rPr>
          <w:b/>
          <w:bCs/>
          <w:color w:val="06357A" w:themeColor="accent1"/>
        </w:rPr>
        <w:t>UK sources</w:t>
      </w:r>
      <w:r w:rsidRPr="0078056B">
        <w:t xml:space="preserve">, including the UK Research Councils; UK-based charities; central government bodies, local authorities, and health and hospital authorities; industry and commerce; and other UK sources; </w:t>
      </w:r>
    </w:p>
    <w:p w14:paraId="5FA17C89" w14:textId="77777777" w:rsidR="009B693C" w:rsidRPr="0078056B" w:rsidRDefault="009B693C" w:rsidP="003A6119">
      <w:pPr>
        <w:pStyle w:val="MinorBullet2"/>
        <w:numPr>
          <w:ilvl w:val="1"/>
          <w:numId w:val="28"/>
        </w:numPr>
      </w:pPr>
      <w:r w:rsidRPr="0078056B">
        <w:rPr>
          <w:b/>
          <w:bCs/>
          <w:color w:val="06357A" w:themeColor="accent1"/>
        </w:rPr>
        <w:t>EU sources</w:t>
      </w:r>
      <w:r w:rsidRPr="0078056B">
        <w:t>, including government bodies, charities, industry and commerce, and other sources; and</w:t>
      </w:r>
    </w:p>
    <w:p w14:paraId="51337D1E" w14:textId="77777777" w:rsidR="009B693C" w:rsidRPr="0078056B" w:rsidRDefault="009B693C" w:rsidP="003A6119">
      <w:pPr>
        <w:pStyle w:val="MinorBullet2"/>
        <w:numPr>
          <w:ilvl w:val="1"/>
          <w:numId w:val="28"/>
        </w:numPr>
      </w:pPr>
      <w:r w:rsidRPr="0078056B">
        <w:rPr>
          <w:b/>
          <w:bCs/>
          <w:color w:val="06357A" w:themeColor="accent1"/>
        </w:rPr>
        <w:t>Non-EU sources</w:t>
      </w:r>
      <w:r w:rsidRPr="0078056B">
        <w:t>, including charities, industry and commerce, and other sources; and</w:t>
      </w:r>
    </w:p>
    <w:p w14:paraId="3F53D093" w14:textId="012848AA" w:rsidR="009B693C" w:rsidRPr="0078056B" w:rsidRDefault="009B693C" w:rsidP="003A6119">
      <w:pPr>
        <w:pStyle w:val="MinorBullet1"/>
        <w:numPr>
          <w:ilvl w:val="0"/>
          <w:numId w:val="28"/>
        </w:numPr>
      </w:pPr>
      <w:r w:rsidRPr="0078056B">
        <w:rPr>
          <w:b/>
          <w:bCs/>
          <w:color w:val="06357A" w:themeColor="accent1"/>
        </w:rPr>
        <w:t>Recurrent research funding</w:t>
      </w:r>
      <w:r w:rsidRPr="0078056B">
        <w:rPr>
          <w:color w:val="06357A" w:themeColor="accent1"/>
        </w:rPr>
        <w:t xml:space="preserve"> </w:t>
      </w:r>
      <w:r w:rsidRPr="0078056B">
        <w:t>allocated to the University by Research England.</w:t>
      </w:r>
    </w:p>
    <w:p w14:paraId="0D7567BB" w14:textId="49E88DF6" w:rsidR="009B693C" w:rsidRPr="0078056B" w:rsidRDefault="009B693C" w:rsidP="009B693C">
      <w:r w:rsidRPr="0078056B">
        <w:t xml:space="preserve">Aggregating across these sources, the total research-related income accrued by the University of Birmingham in the 2021-22 academic year stood at </w:t>
      </w:r>
      <w:r w:rsidRPr="0078056B">
        <w:rPr>
          <w:b/>
          <w:bCs/>
          <w:color w:val="06357A"/>
        </w:rPr>
        <w:t>£271 million</w:t>
      </w:r>
      <w:r w:rsidRPr="0078056B">
        <w:t xml:space="preserve"> (see </w:t>
      </w:r>
      <w:r w:rsidRPr="0078056B">
        <w:fldChar w:fldCharType="begin"/>
      </w:r>
      <w:r w:rsidRPr="0078056B">
        <w:instrText xml:space="preserve"> REF _Ref142660759 \r \h  \* MERGEFORMAT </w:instrText>
      </w:r>
      <w:r w:rsidRPr="0078056B">
        <w:fldChar w:fldCharType="separate"/>
      </w:r>
      <w:r w:rsidR="00E33157">
        <w:t>Figure 5</w:t>
      </w:r>
      <w:r w:rsidRPr="0078056B">
        <w:fldChar w:fldCharType="end"/>
      </w:r>
      <w:r w:rsidRPr="0078056B">
        <w:t>).</w:t>
      </w:r>
      <w:r w:rsidR="00AC5B15" w:rsidRPr="0078056B">
        <w:rPr>
          <w:rStyle w:val="FootnoteReference"/>
        </w:rPr>
        <w:footnoteReference w:id="12"/>
      </w:r>
    </w:p>
    <w:p w14:paraId="6C19199E" w14:textId="6E227B1E" w:rsidR="009B693C" w:rsidRPr="0078056B" w:rsidRDefault="009B693C" w:rsidP="009B693C">
      <w:r w:rsidRPr="0078056B">
        <w:t xml:space="preserve">Approximately </w:t>
      </w:r>
      <w:r w:rsidRPr="0078056B">
        <w:rPr>
          <w:b/>
          <w:bCs/>
          <w:color w:val="06357A"/>
        </w:rPr>
        <w:t>21%</w:t>
      </w:r>
      <w:r w:rsidRPr="0078056B">
        <w:t xml:space="preserve"> (</w:t>
      </w:r>
      <w:r w:rsidRPr="0078056B">
        <w:rPr>
          <w:b/>
          <w:bCs/>
          <w:color w:val="06357A"/>
        </w:rPr>
        <w:t>£56 million</w:t>
      </w:r>
      <w:r w:rsidRPr="0078056B">
        <w:t xml:space="preserve">) of the research income in 2021-22 was received through recurrent research grant funding from </w:t>
      </w:r>
      <w:r w:rsidRPr="0078056B">
        <w:rPr>
          <w:b/>
          <w:bCs/>
          <w:color w:val="06357A" w:themeColor="accent1"/>
        </w:rPr>
        <w:t>Research England</w:t>
      </w:r>
      <w:r w:rsidRPr="0078056B">
        <w:t xml:space="preserve">, with an additional </w:t>
      </w:r>
      <w:r w:rsidRPr="0078056B">
        <w:rPr>
          <w:b/>
          <w:bCs/>
          <w:color w:val="06357A"/>
        </w:rPr>
        <w:t>28%</w:t>
      </w:r>
      <w:r w:rsidRPr="0078056B">
        <w:t xml:space="preserve"> (</w:t>
      </w:r>
      <w:r w:rsidRPr="0078056B">
        <w:rPr>
          <w:b/>
          <w:bCs/>
          <w:color w:val="06357A"/>
        </w:rPr>
        <w:t>£76 million</w:t>
      </w:r>
      <w:r w:rsidRPr="0078056B">
        <w:t xml:space="preserve">) received from the </w:t>
      </w:r>
      <w:r w:rsidRPr="0078056B">
        <w:rPr>
          <w:b/>
          <w:bCs/>
          <w:color w:val="06357A" w:themeColor="accent1"/>
        </w:rPr>
        <w:t>UK Research Councils</w:t>
      </w:r>
      <w:r w:rsidRPr="0078056B">
        <w:t xml:space="preserve">, </w:t>
      </w:r>
      <w:r w:rsidRPr="0078056B">
        <w:rPr>
          <w:b/>
          <w:bCs/>
          <w:color w:val="06357A"/>
        </w:rPr>
        <w:t>13%</w:t>
      </w:r>
      <w:r w:rsidRPr="0078056B">
        <w:t xml:space="preserve"> (</w:t>
      </w:r>
      <w:r w:rsidRPr="0078056B">
        <w:rPr>
          <w:b/>
          <w:bCs/>
          <w:color w:val="06357A"/>
        </w:rPr>
        <w:t>£34 million</w:t>
      </w:r>
      <w:r w:rsidRPr="0078056B">
        <w:t xml:space="preserve">) from </w:t>
      </w:r>
      <w:r w:rsidRPr="0078056B">
        <w:rPr>
          <w:b/>
          <w:bCs/>
          <w:color w:val="06357A" w:themeColor="accent1"/>
        </w:rPr>
        <w:t>UK charities</w:t>
      </w:r>
      <w:r w:rsidRPr="0078056B">
        <w:t xml:space="preserve">, and </w:t>
      </w:r>
      <w:r w:rsidRPr="0078056B">
        <w:rPr>
          <w:b/>
          <w:bCs/>
          <w:color w:val="06357A"/>
        </w:rPr>
        <w:t>23%</w:t>
      </w:r>
      <w:r w:rsidRPr="0078056B">
        <w:t xml:space="preserve"> (</w:t>
      </w:r>
      <w:r w:rsidRPr="0078056B">
        <w:rPr>
          <w:b/>
          <w:bCs/>
          <w:color w:val="06357A"/>
        </w:rPr>
        <w:t>£63 million</w:t>
      </w:r>
      <w:r w:rsidRPr="0078056B">
        <w:t xml:space="preserve">) from </w:t>
      </w:r>
      <w:r w:rsidRPr="0078056B">
        <w:rPr>
          <w:b/>
          <w:bCs/>
          <w:color w:val="06357A" w:themeColor="accent1"/>
        </w:rPr>
        <w:t>other UK sources</w:t>
      </w:r>
      <w:r w:rsidRPr="0078056B">
        <w:rPr>
          <w:rStyle w:val="FootnoteReference"/>
        </w:rPr>
        <w:footnoteReference w:id="13"/>
      </w:r>
      <w:r w:rsidRPr="0078056B">
        <w:t xml:space="preserve">. In addition, in terms of funding from international sources, </w:t>
      </w:r>
      <w:r w:rsidRPr="0078056B">
        <w:rPr>
          <w:b/>
          <w:bCs/>
          <w:color w:val="06357A"/>
        </w:rPr>
        <w:t>9%</w:t>
      </w:r>
      <w:r w:rsidRPr="0078056B">
        <w:t xml:space="preserve"> (</w:t>
      </w:r>
      <w:r w:rsidRPr="0078056B">
        <w:rPr>
          <w:b/>
          <w:bCs/>
          <w:color w:val="06357A"/>
        </w:rPr>
        <w:t>£26 million</w:t>
      </w:r>
      <w:r w:rsidRPr="0078056B">
        <w:t xml:space="preserve">) of </w:t>
      </w:r>
      <w:r w:rsidR="001279B4" w:rsidRPr="0078056B">
        <w:t xml:space="preserve">the </w:t>
      </w:r>
      <w:r w:rsidR="001279B4" w:rsidRPr="0078056B">
        <w:lastRenderedPageBreak/>
        <w:t>University’s</w:t>
      </w:r>
      <w:r w:rsidRPr="0078056B">
        <w:t xml:space="preserve"> research-related income was derived from </w:t>
      </w:r>
      <w:r w:rsidRPr="0078056B">
        <w:rPr>
          <w:b/>
          <w:bCs/>
          <w:color w:val="06357A" w:themeColor="accent1"/>
        </w:rPr>
        <w:t>EU research grants and contracts</w:t>
      </w:r>
      <w:r w:rsidRPr="0078056B">
        <w:t xml:space="preserve">, and the remaining </w:t>
      </w:r>
      <w:r w:rsidRPr="0078056B">
        <w:rPr>
          <w:b/>
          <w:bCs/>
          <w:color w:val="06357A"/>
        </w:rPr>
        <w:t>6%</w:t>
      </w:r>
      <w:r w:rsidRPr="0078056B">
        <w:t xml:space="preserve"> (</w:t>
      </w:r>
      <w:r w:rsidRPr="0078056B">
        <w:rPr>
          <w:b/>
          <w:bCs/>
          <w:color w:val="06357A"/>
        </w:rPr>
        <w:t>£16 million</w:t>
      </w:r>
      <w:r w:rsidRPr="0078056B">
        <w:t xml:space="preserve">) was from </w:t>
      </w:r>
      <w:r w:rsidRPr="0078056B">
        <w:rPr>
          <w:b/>
          <w:bCs/>
          <w:color w:val="06357A" w:themeColor="accent1"/>
        </w:rPr>
        <w:t>non-EU sources</w:t>
      </w:r>
      <w:r w:rsidRPr="0078056B">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9B693C" w:rsidRPr="0078056B" w14:paraId="752F1835" w14:textId="77777777" w:rsidTr="000A186C">
        <w:trPr>
          <w:cantSplit/>
        </w:trPr>
        <w:tc>
          <w:tcPr>
            <w:tcW w:w="0" w:type="auto"/>
          </w:tcPr>
          <w:p w14:paraId="19F8B471" w14:textId="77777777" w:rsidR="009B693C" w:rsidRPr="0078056B" w:rsidRDefault="009B693C" w:rsidP="000A186C">
            <w:pPr>
              <w:pStyle w:val="FigureTitle"/>
            </w:pPr>
            <w:bookmarkStart w:id="62" w:name="_Ref142660759"/>
            <w:bookmarkStart w:id="63" w:name="_Toc143772700"/>
            <w:bookmarkStart w:id="64" w:name="_Toc160803967"/>
            <w:bookmarkStart w:id="65" w:name="_Toc168652186"/>
            <w:r w:rsidRPr="0078056B">
              <w:t>Research income received by the University of Birmingham in 2021-22, £m by source of income</w:t>
            </w:r>
            <w:bookmarkEnd w:id="62"/>
            <w:bookmarkEnd w:id="63"/>
            <w:bookmarkEnd w:id="64"/>
            <w:bookmarkEnd w:id="65"/>
          </w:p>
        </w:tc>
      </w:tr>
      <w:tr w:rsidR="009B693C" w:rsidRPr="0078056B" w14:paraId="3A34F638" w14:textId="77777777" w:rsidTr="000A186C">
        <w:trPr>
          <w:cantSplit/>
        </w:trPr>
        <w:tc>
          <w:tcPr>
            <w:tcW w:w="0" w:type="auto"/>
          </w:tcPr>
          <w:p w14:paraId="2AC09C32" w14:textId="77777777" w:rsidR="009B693C" w:rsidRPr="0078056B" w:rsidRDefault="009B693C" w:rsidP="00D739F2">
            <w:pPr>
              <w:pStyle w:val="PlaceholderText"/>
              <w:jc w:val="center"/>
            </w:pPr>
            <w:r w:rsidRPr="0078056B">
              <w:rPr>
                <w:noProof/>
              </w:rPr>
              <w:drawing>
                <wp:inline distT="0" distB="0" distL="0" distR="0" wp14:anchorId="3C93DF1F" wp14:editId="7CDE3D85">
                  <wp:extent cx="4390845" cy="2214476"/>
                  <wp:effectExtent l="0" t="0" r="0" b="0"/>
                  <wp:docPr id="1306985497" name="Picture 130698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85497" name="Picture 1306985497"/>
                          <pic:cNvPicPr>
                            <a:picLocks noChangeAspect="1" noChangeArrowheads="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4415785" cy="2227054"/>
                          </a:xfrm>
                          <a:prstGeom prst="rect">
                            <a:avLst/>
                          </a:prstGeom>
                        </pic:spPr>
                      </pic:pic>
                    </a:graphicData>
                  </a:graphic>
                </wp:inline>
              </w:drawing>
            </w:r>
          </w:p>
        </w:tc>
      </w:tr>
      <w:tr w:rsidR="009B693C" w:rsidRPr="0078056B" w14:paraId="5E50724F" w14:textId="77777777" w:rsidTr="000A186C">
        <w:trPr>
          <w:cantSplit/>
        </w:trPr>
        <w:tc>
          <w:tcPr>
            <w:tcW w:w="0" w:type="auto"/>
          </w:tcPr>
          <w:p w14:paraId="1CD683D5" w14:textId="77777777" w:rsidR="009B693C" w:rsidRPr="0078056B" w:rsidRDefault="009B693C" w:rsidP="000A186C">
            <w:pPr>
              <w:pStyle w:val="TableNote"/>
            </w:pPr>
            <w:r w:rsidRPr="0078056B">
              <w:t>Note: All values are presented in 2021-22 prices and rounded to the nearest £1 million.</w:t>
            </w:r>
          </w:p>
          <w:p w14:paraId="6C8C52C6" w14:textId="26EAB41C" w:rsidR="009B693C" w:rsidRPr="0078056B" w:rsidRDefault="009B693C" w:rsidP="000A186C">
            <w:pPr>
              <w:pStyle w:val="TableSource"/>
            </w:pPr>
            <w:r w:rsidRPr="0078056B">
              <w:t xml:space="preserve">Source: London Economics’ analysis based on data provided by the Higher Education Statistics Agency (HESA, </w:t>
            </w:r>
            <w:r w:rsidR="00E87F38" w:rsidRPr="0078056B">
              <w:t>2023d</w:t>
            </w:r>
            <w:r w:rsidRPr="0078056B">
              <w:t>)</w:t>
            </w:r>
          </w:p>
        </w:tc>
      </w:tr>
    </w:tbl>
    <w:p w14:paraId="4F3E2E9E" w14:textId="77777777" w:rsidR="009B693C" w:rsidRPr="0078056B" w:rsidRDefault="009B693C" w:rsidP="009B693C">
      <w:pPr>
        <w:pStyle w:val="Heading3"/>
      </w:pPr>
      <w:bookmarkStart w:id="66" w:name="_Ref160730060"/>
      <w:r w:rsidRPr="0078056B">
        <w:t>Adjustment for double counting with knowledge exchange activities</w:t>
      </w:r>
      <w:bookmarkEnd w:id="66"/>
    </w:p>
    <w:p w14:paraId="1F8F4F26" w14:textId="4ABB535F" w:rsidR="009B693C" w:rsidRPr="0078056B" w:rsidRDefault="009B693C" w:rsidP="009B693C">
      <w:r w:rsidRPr="0078056B">
        <w:t xml:space="preserve">The </w:t>
      </w:r>
      <w:r w:rsidRPr="0078056B">
        <w:rPr>
          <w:b/>
          <w:bCs/>
          <w:color w:val="06357A"/>
        </w:rPr>
        <w:t>£271 million</w:t>
      </w:r>
      <w:r w:rsidRPr="0078056B">
        <w:t xml:space="preserve"> of research income received by the University of Birmingham in 2021-22 includes income associated with a whole range of research activities. In particular, the </w:t>
      </w:r>
      <w:r w:rsidR="00257F75" w:rsidRPr="0078056B">
        <w:t>University’s</w:t>
      </w:r>
      <w:r w:rsidRPr="0078056B">
        <w:t xml:space="preserve"> </w:t>
      </w:r>
      <w:r w:rsidRPr="0078056B">
        <w:rPr>
          <w:b/>
          <w:bCs/>
          <w:color w:val="06357A"/>
        </w:rPr>
        <w:t xml:space="preserve">collaborative research </w:t>
      </w:r>
      <w:r w:rsidRPr="0078056B">
        <w:t xml:space="preserve">and </w:t>
      </w:r>
      <w:r w:rsidRPr="0078056B">
        <w:rPr>
          <w:b/>
          <w:bCs/>
          <w:color w:val="06357A"/>
        </w:rPr>
        <w:t>contract research</w:t>
      </w:r>
      <w:r w:rsidRPr="0078056B">
        <w:rPr>
          <w:color w:val="000000" w:themeColor="text1"/>
        </w:rPr>
        <w:t xml:space="preserve"> activities are included within this aggregate total</w:t>
      </w:r>
      <w:r w:rsidRPr="0078056B">
        <w:t>.</w:t>
      </w:r>
      <w:r w:rsidRPr="0078056B">
        <w:rPr>
          <w:rStyle w:val="FootnoteReference"/>
        </w:rPr>
        <w:footnoteReference w:id="14"/>
      </w:r>
      <w:r w:rsidRPr="0078056B">
        <w:t xml:space="preserve"> However, the income from these two activities is </w:t>
      </w:r>
      <w:r w:rsidRPr="0078056B">
        <w:rPr>
          <w:i/>
          <w:iCs/>
        </w:rPr>
        <w:t>also</w:t>
      </w:r>
      <w:r w:rsidRPr="0078056B">
        <w:t xml:space="preserve"> recorded separately within the Higher Education Business and Community Interaction Survey (HE-BCI)</w:t>
      </w:r>
      <w:r w:rsidRPr="0078056B">
        <w:rPr>
          <w:rStyle w:val="FootnoteReference"/>
        </w:rPr>
        <w:footnoteReference w:id="15"/>
      </w:r>
      <w:r w:rsidRPr="0078056B">
        <w:t xml:space="preserve"> data, which we use to separately estimate the economic impact associated with the </w:t>
      </w:r>
      <w:r w:rsidR="00257F75" w:rsidRPr="0078056B">
        <w:t>University’s</w:t>
      </w:r>
      <w:r w:rsidRPr="0078056B">
        <w:t xml:space="preserve"> wider knowledge exchange activities (described in further detail in Section </w:t>
      </w:r>
      <w:r w:rsidR="00B7023C" w:rsidRPr="0078056B">
        <w:fldChar w:fldCharType="begin"/>
      </w:r>
      <w:r w:rsidR="00B7023C" w:rsidRPr="0078056B">
        <w:instrText xml:space="preserve"> REF _Ref162534718 \r \h </w:instrText>
      </w:r>
      <w:r w:rsidR="0078056B">
        <w:instrText xml:space="preserve"> \* MERGEFORMAT </w:instrText>
      </w:r>
      <w:r w:rsidR="00B7023C" w:rsidRPr="0078056B">
        <w:fldChar w:fldCharType="separate"/>
      </w:r>
      <w:r w:rsidR="00E33157">
        <w:t>2.2</w:t>
      </w:r>
      <w:r w:rsidR="00B7023C" w:rsidRPr="0078056B">
        <w:fldChar w:fldCharType="end"/>
      </w:r>
      <w:r w:rsidRPr="0078056B">
        <w:t xml:space="preserve">). </w:t>
      </w:r>
    </w:p>
    <w:p w14:paraId="57DC1FEC" w14:textId="5E4E85DA" w:rsidR="009B693C" w:rsidRPr="0078056B" w:rsidRDefault="009B693C" w:rsidP="009B693C">
      <w:r w:rsidRPr="0078056B">
        <w:t xml:space="preserve">Given that the income from these sources is included in </w:t>
      </w:r>
      <w:r w:rsidRPr="0078056B">
        <w:rPr>
          <w:i/>
          <w:iCs/>
        </w:rPr>
        <w:t>both</w:t>
      </w:r>
      <w:r w:rsidRPr="0078056B">
        <w:t xml:space="preserve"> the data on the </w:t>
      </w:r>
      <w:r w:rsidR="00257F75" w:rsidRPr="0078056B">
        <w:t>University’s</w:t>
      </w:r>
      <w:r w:rsidRPr="0078056B">
        <w:t xml:space="preserve"> research-related income as well as the HE-BCI data on the </w:t>
      </w:r>
      <w:r w:rsidR="00257F75" w:rsidRPr="0078056B">
        <w:t>University’s</w:t>
      </w:r>
      <w:r w:rsidRPr="0078056B">
        <w:t xml:space="preserve"> wider knowledge exchange activities, to avoid any double counting between the estimated impact of the University of Birmingham’s research activity (described in this section) and wider knowledge exchange activities (described in Section </w:t>
      </w:r>
      <w:r w:rsidR="00B7023C" w:rsidRPr="0078056B">
        <w:fldChar w:fldCharType="begin"/>
      </w:r>
      <w:r w:rsidR="00B7023C" w:rsidRPr="0078056B">
        <w:instrText xml:space="preserve"> REF _Ref162534718 \r \h </w:instrText>
      </w:r>
      <w:r w:rsidR="0078056B">
        <w:instrText xml:space="preserve"> \* MERGEFORMAT </w:instrText>
      </w:r>
      <w:r w:rsidR="00B7023C" w:rsidRPr="0078056B">
        <w:fldChar w:fldCharType="separate"/>
      </w:r>
      <w:r w:rsidR="00E33157">
        <w:t>2.2</w:t>
      </w:r>
      <w:r w:rsidR="00B7023C" w:rsidRPr="0078056B">
        <w:fldChar w:fldCharType="end"/>
      </w:r>
      <w:r w:rsidRPr="0078056B">
        <w:t>), we made the following adjustments:</w:t>
      </w:r>
    </w:p>
    <w:p w14:paraId="32C186A3" w14:textId="6A9473C6" w:rsidR="009B693C" w:rsidRPr="0078056B" w:rsidRDefault="009B693C" w:rsidP="003A6119">
      <w:pPr>
        <w:pStyle w:val="MinorBullet1"/>
        <w:numPr>
          <w:ilvl w:val="0"/>
          <w:numId w:val="21"/>
        </w:numPr>
      </w:pPr>
      <w:r w:rsidRPr="0078056B">
        <w:t xml:space="preserve">In terms of the </w:t>
      </w:r>
      <w:r w:rsidR="00257F75" w:rsidRPr="0078056B">
        <w:t>University’s</w:t>
      </w:r>
      <w:r w:rsidRPr="0078056B">
        <w:t xml:space="preserve"> impact from </w:t>
      </w:r>
      <w:r w:rsidRPr="0078056B">
        <w:rPr>
          <w:b/>
          <w:bCs/>
          <w:color w:val="06357A"/>
        </w:rPr>
        <w:t>collaborative research</w:t>
      </w:r>
      <w:r w:rsidRPr="0078056B">
        <w:t xml:space="preserve">, we implicitly account for publicly funded and cash income from collaborative research within the </w:t>
      </w:r>
      <w:r w:rsidRPr="0078056B">
        <w:rPr>
          <w:b/>
          <w:bCs/>
          <w:color w:val="06357A"/>
        </w:rPr>
        <w:t xml:space="preserve">impact of the </w:t>
      </w:r>
      <w:r w:rsidR="00257F75" w:rsidRPr="0078056B">
        <w:rPr>
          <w:b/>
          <w:bCs/>
          <w:color w:val="06357A"/>
        </w:rPr>
        <w:t>University’s</w:t>
      </w:r>
      <w:r w:rsidRPr="0078056B">
        <w:t xml:space="preserve"> </w:t>
      </w:r>
      <w:r w:rsidRPr="0078056B">
        <w:rPr>
          <w:b/>
          <w:bCs/>
          <w:color w:val="06357A"/>
        </w:rPr>
        <w:t>research</w:t>
      </w:r>
      <w:r w:rsidRPr="0078056B">
        <w:t xml:space="preserve"> in this section. We therefore do </w:t>
      </w:r>
      <w:r w:rsidRPr="0078056B">
        <w:rPr>
          <w:i/>
          <w:iCs/>
        </w:rPr>
        <w:t>not</w:t>
      </w:r>
      <w:r w:rsidRPr="0078056B">
        <w:t xml:space="preserve"> take collaborative research income into account in the analysis of wider knowledge exchange activities. This income represents </w:t>
      </w:r>
      <w:r w:rsidRPr="0078056B">
        <w:rPr>
          <w:b/>
          <w:bCs/>
          <w:color w:val="06357A"/>
        </w:rPr>
        <w:t>£15 million</w:t>
      </w:r>
      <w:r w:rsidRPr="0078056B">
        <w:t xml:space="preserve"> out of the </w:t>
      </w:r>
      <w:r w:rsidRPr="0078056B">
        <w:rPr>
          <w:b/>
          <w:bCs/>
          <w:color w:val="06357A"/>
        </w:rPr>
        <w:t>£271 million</w:t>
      </w:r>
      <w:r w:rsidRPr="0078056B">
        <w:t xml:space="preserve"> of total research income received by the University of Birmingham in 2021-22.</w:t>
      </w:r>
      <w:r w:rsidRPr="0078056B">
        <w:rPr>
          <w:rStyle w:val="FootnoteReference"/>
        </w:rPr>
        <w:footnoteReference w:id="16"/>
      </w:r>
    </w:p>
    <w:p w14:paraId="4556F641" w14:textId="7B49A7A5" w:rsidR="009B693C" w:rsidRPr="0078056B" w:rsidRDefault="009B693C" w:rsidP="003A6119">
      <w:pPr>
        <w:pStyle w:val="MinorBullet1"/>
        <w:numPr>
          <w:ilvl w:val="0"/>
          <w:numId w:val="21"/>
        </w:numPr>
      </w:pPr>
      <w:r w:rsidRPr="0078056B">
        <w:lastRenderedPageBreak/>
        <w:t xml:space="preserve">In terms of </w:t>
      </w:r>
      <w:r w:rsidRPr="0078056B">
        <w:rPr>
          <w:b/>
          <w:bCs/>
          <w:color w:val="06357A"/>
        </w:rPr>
        <w:t>contract research</w:t>
      </w:r>
      <w:r w:rsidRPr="0078056B">
        <w:t xml:space="preserve">, we account for this activity within the impact of the University of Birmingham’s wider knowledge exchange activities (see Section </w:t>
      </w:r>
      <w:r w:rsidR="00B7023C" w:rsidRPr="0078056B">
        <w:fldChar w:fldCharType="begin"/>
      </w:r>
      <w:r w:rsidR="00B7023C" w:rsidRPr="0078056B">
        <w:instrText xml:space="preserve"> REF _Ref162534718 \r \h </w:instrText>
      </w:r>
      <w:r w:rsidR="0078056B">
        <w:instrText xml:space="preserve"> \* MERGEFORMAT </w:instrText>
      </w:r>
      <w:r w:rsidR="00B7023C" w:rsidRPr="0078056B">
        <w:fldChar w:fldCharType="separate"/>
      </w:r>
      <w:r w:rsidR="00E33157">
        <w:t>2.2</w:t>
      </w:r>
      <w:r w:rsidR="00B7023C" w:rsidRPr="0078056B">
        <w:fldChar w:fldCharType="end"/>
      </w:r>
      <w:r w:rsidRPr="0078056B">
        <w:t xml:space="preserve">). Therefore, to avoid double counting, the analysis of the impact of the University of Birmingham’s research activities here is adjusted to deduct the </w:t>
      </w:r>
      <w:r w:rsidRPr="0078056B">
        <w:rPr>
          <w:b/>
          <w:bCs/>
          <w:color w:val="06357A"/>
        </w:rPr>
        <w:t>£109 million</w:t>
      </w:r>
      <w:r w:rsidRPr="0078056B">
        <w:t xml:space="preserve"> of contract research income from the above total research-related income (</w:t>
      </w:r>
      <w:r w:rsidRPr="0078056B">
        <w:rPr>
          <w:b/>
          <w:bCs/>
          <w:color w:val="06357A"/>
        </w:rPr>
        <w:t>£271 million</w:t>
      </w:r>
      <w:r w:rsidRPr="0078056B">
        <w:t xml:space="preserve">). We thus estimated that the gross </w:t>
      </w:r>
      <w:r w:rsidRPr="0078056B">
        <w:rPr>
          <w:b/>
          <w:bCs/>
          <w:color w:val="06357A"/>
        </w:rPr>
        <w:t>direct impact</w:t>
      </w:r>
      <w:r w:rsidRPr="0078056B">
        <w:t xml:space="preserve"> (before deducting public costs) associated with the University of Birmingham’s research activity in the 2021-22 academic year stands at </w:t>
      </w:r>
      <w:r w:rsidRPr="0078056B">
        <w:rPr>
          <w:b/>
          <w:bCs/>
          <w:color w:val="06357A"/>
        </w:rPr>
        <w:t>£162 million</w:t>
      </w:r>
      <w:r w:rsidRPr="0078056B">
        <w:t>.</w:t>
      </w:r>
    </w:p>
    <w:p w14:paraId="3431E9B1" w14:textId="570393E1" w:rsidR="009B693C" w:rsidRPr="0078056B" w:rsidRDefault="009B693C" w:rsidP="009B693C">
      <w:r w:rsidRPr="0078056B">
        <w:t xml:space="preserve">A schematic overview of the methodological approach adopted including the adjustments for double counting is provided in Annex </w:t>
      </w:r>
      <w:r w:rsidR="00974D3B" w:rsidRPr="0078056B">
        <w:fldChar w:fldCharType="begin"/>
      </w:r>
      <w:r w:rsidR="00974D3B" w:rsidRPr="0078056B">
        <w:instrText xml:space="preserve"> REF _Ref162517617 \r \h </w:instrText>
      </w:r>
      <w:r w:rsidR="0078056B">
        <w:instrText xml:space="preserve"> \* MERGEFORMAT </w:instrText>
      </w:r>
      <w:r w:rsidR="00974D3B" w:rsidRPr="0078056B">
        <w:fldChar w:fldCharType="separate"/>
      </w:r>
      <w:r w:rsidR="00E33157">
        <w:t>A2.2.1</w:t>
      </w:r>
      <w:r w:rsidR="00974D3B" w:rsidRPr="0078056B">
        <w:fldChar w:fldCharType="end"/>
      </w:r>
      <w:r w:rsidRPr="0078056B">
        <w:t>.</w:t>
      </w:r>
    </w:p>
    <w:p w14:paraId="79DEE91D" w14:textId="77777777" w:rsidR="009B693C" w:rsidRPr="0078056B" w:rsidRDefault="009B693C" w:rsidP="009B693C">
      <w:pPr>
        <w:pStyle w:val="Heading3"/>
      </w:pPr>
      <w:bookmarkStart w:id="67" w:name="_Ref148090628"/>
      <w:bookmarkStart w:id="68" w:name="_Ref160114268"/>
      <w:r w:rsidRPr="0078056B">
        <w:t>Total direct, indirect, and induced impact of the University of Birmingham’s research</w:t>
      </w:r>
      <w:bookmarkEnd w:id="67"/>
      <w:r w:rsidRPr="0078056B">
        <w:t xml:space="preserve"> activity</w:t>
      </w:r>
      <w:bookmarkEnd w:id="68"/>
    </w:p>
    <w:p w14:paraId="77A1F81D" w14:textId="77777777" w:rsidR="009B693C" w:rsidRPr="0078056B" w:rsidRDefault="009B693C" w:rsidP="009B693C">
      <w:r w:rsidRPr="0078056B">
        <w:t xml:space="preserve">The analysis assesses the </w:t>
      </w:r>
      <w:r w:rsidRPr="0078056B">
        <w:rPr>
          <w:b/>
          <w:bCs/>
          <w:color w:val="06357A"/>
        </w:rPr>
        <w:t>direct, indirect, and induced economic impacts</w:t>
      </w:r>
      <w:r w:rsidRPr="0078056B">
        <w:t xml:space="preserve"> associated with the University of Birmingham’s research activity in 2021-22 on the UK economy. While the direct impact reflects the </w:t>
      </w:r>
      <w:r w:rsidRPr="0078056B">
        <w:rPr>
          <w:b/>
          <w:bCs/>
          <w:color w:val="06357A"/>
        </w:rPr>
        <w:t>research income</w:t>
      </w:r>
      <w:r w:rsidRPr="0078056B">
        <w:t xml:space="preserve"> that the University of Birmingham received in the 2021-22 academic year, the indirect and induced effects reflect the chain reaction of subsequent rounds of spending throughout the economy, often referred to as a </w:t>
      </w:r>
      <w:r w:rsidRPr="0078056B">
        <w:rPr>
          <w:b/>
          <w:bCs/>
          <w:color w:val="06357A"/>
        </w:rPr>
        <w:t>‘ripple effect’</w:t>
      </w:r>
      <w:r w:rsidRPr="0078056B">
        <w:t>. These are defined as follows:</w:t>
      </w:r>
    </w:p>
    <w:p w14:paraId="1BB87709" w14:textId="72276199" w:rsidR="009B693C" w:rsidRPr="0078056B" w:rsidRDefault="009B693C" w:rsidP="003A6119">
      <w:pPr>
        <w:pStyle w:val="MinorBullet1"/>
        <w:numPr>
          <w:ilvl w:val="0"/>
          <w:numId w:val="21"/>
        </w:numPr>
      </w:pPr>
      <w:r w:rsidRPr="0078056B">
        <w:rPr>
          <w:b/>
          <w:bCs/>
          <w:color w:val="06357A"/>
        </w:rPr>
        <w:t>Indirect effect (‘supply chain impacts’)</w:t>
      </w:r>
      <w:r w:rsidRPr="0078056B">
        <w:t xml:space="preserve">: The University of Birmingham spends </w:t>
      </w:r>
      <w:r w:rsidR="00382E00" w:rsidRPr="0078056B">
        <w:t xml:space="preserve">its </w:t>
      </w:r>
      <w:r w:rsidRPr="0078056B">
        <w:t xml:space="preserve">research income on purchases of goods and services from suppliers, who in turn spend this revenue purchasing inputs to meet demand from the </w:t>
      </w:r>
      <w:r w:rsidR="003A0C66" w:rsidRPr="0078056B">
        <w:t>University</w:t>
      </w:r>
      <w:r w:rsidRPr="0078056B">
        <w:t>. This results in a chain reaction of subsequent rounds of spending across industries, often referred to as a ‘ripple effect’.</w:t>
      </w:r>
    </w:p>
    <w:p w14:paraId="0EBB498C" w14:textId="6BD80DA3" w:rsidR="009B693C" w:rsidRPr="0078056B" w:rsidRDefault="009B693C" w:rsidP="003A6119">
      <w:pPr>
        <w:pStyle w:val="MinorBullet1"/>
        <w:numPr>
          <w:ilvl w:val="0"/>
          <w:numId w:val="21"/>
        </w:numPr>
      </w:pPr>
      <w:r w:rsidRPr="0078056B">
        <w:rPr>
          <w:b/>
          <w:bCs/>
          <w:color w:val="06357A"/>
        </w:rPr>
        <w:t>Induced effect (‘wage spending impacts’)</w:t>
      </w:r>
      <w:r w:rsidRPr="0078056B">
        <w:t xml:space="preserve">: The employees of the University of Birmingham (supported by their research income) use their wages to </w:t>
      </w:r>
      <w:r w:rsidR="003A0C66" w:rsidRPr="0078056B">
        <w:t xml:space="preserve">purchase </w:t>
      </w:r>
      <w:r w:rsidRPr="0078056B">
        <w:t>consumer goods and services within the economy. This in turn generates wage income for employees within the industries producing these goods and services, again leading to subsequent rounds of spending, i.e. a further ‘ripple effect’ throughout the economy as a whole.</w:t>
      </w:r>
    </w:p>
    <w:p w14:paraId="420138F4" w14:textId="77777777" w:rsidR="009B693C" w:rsidRPr="0078056B" w:rsidRDefault="009B693C" w:rsidP="009B693C">
      <w:r w:rsidRPr="0078056B">
        <w:t xml:space="preserve">The total of the direct, indirect, and induced effects constitutes the </w:t>
      </w:r>
      <w:r w:rsidRPr="0078056B">
        <w:rPr>
          <w:i/>
          <w:iCs/>
        </w:rPr>
        <w:t>gross</w:t>
      </w:r>
      <w:r w:rsidRPr="0078056B">
        <w:t xml:space="preserve"> economic impact of the University of Birmingham’s research activities. An analysis of the </w:t>
      </w:r>
      <w:r w:rsidRPr="0078056B">
        <w:rPr>
          <w:i/>
          <w:iCs/>
        </w:rPr>
        <w:t>net</w:t>
      </w:r>
      <w:r w:rsidRPr="0078056B">
        <w:t xml:space="preserve"> economic impact ideally needs to account for two additional factors potentially reducing the size of any of the above effects: </w:t>
      </w:r>
    </w:p>
    <w:p w14:paraId="43F2D237" w14:textId="77777777" w:rsidR="009B693C" w:rsidRPr="0078056B" w:rsidRDefault="009B693C" w:rsidP="003A6119">
      <w:pPr>
        <w:pStyle w:val="MinorBullet1"/>
        <w:numPr>
          <w:ilvl w:val="0"/>
          <w:numId w:val="21"/>
        </w:numPr>
      </w:pPr>
      <w:r w:rsidRPr="0078056B">
        <w:rPr>
          <w:b/>
          <w:bCs/>
          <w:color w:val="06357A"/>
        </w:rPr>
        <w:t>Leakage</w:t>
      </w:r>
      <w:r w:rsidRPr="0078056B">
        <w:t xml:space="preserve"> into other geographical areas, by taking account of how much of the additional economic activity actually occurs in the area of consideration (i.e. the United Kingdom); and </w:t>
      </w:r>
    </w:p>
    <w:p w14:paraId="55775F32" w14:textId="77777777" w:rsidR="009B693C" w:rsidRPr="0078056B" w:rsidRDefault="009B693C" w:rsidP="003A6119">
      <w:pPr>
        <w:pStyle w:val="MinorBullet1"/>
        <w:numPr>
          <w:ilvl w:val="0"/>
          <w:numId w:val="27"/>
        </w:numPr>
        <w:rPr>
          <w:rFonts w:eastAsia="Calibri" w:cs="Arial"/>
        </w:rPr>
      </w:pPr>
      <w:r w:rsidRPr="0078056B">
        <w:rPr>
          <w:b/>
          <w:bCs/>
          <w:color w:val="06357A"/>
        </w:rPr>
        <w:t>Displacement</w:t>
      </w:r>
      <w:r w:rsidRPr="0078056B">
        <w:t xml:space="preserve"> of economic activity within the region of analysis, i.e. taking account of the possibility that the economic activity generated might result in the reduction of activity elsewhere within the </w:t>
      </w:r>
      <w:r w:rsidRPr="0078056B">
        <w:rPr>
          <w:rFonts w:eastAsia="Calibri" w:cs="Arial"/>
        </w:rPr>
        <w:t>region</w:t>
      </w:r>
      <w:r w:rsidRPr="0078056B">
        <w:rPr>
          <w:rFonts w:eastAsia="Calibri" w:cs="Times New Roman"/>
          <w:vertAlign w:val="superscript"/>
        </w:rPr>
        <w:footnoteReference w:id="17"/>
      </w:r>
      <w:r w:rsidRPr="0078056B">
        <w:rPr>
          <w:rFonts w:eastAsia="Calibri" w:cs="Arial"/>
        </w:rPr>
        <w:t>.</w:t>
      </w:r>
    </w:p>
    <w:p w14:paraId="5F8BEB7C" w14:textId="77777777" w:rsidR="009B693C" w:rsidRPr="0078056B" w:rsidRDefault="009B693C" w:rsidP="009B693C">
      <w:pPr>
        <w:spacing w:after="120"/>
        <w:rPr>
          <w:rFonts w:eastAsia="Calibri" w:cs="Arial"/>
        </w:rPr>
      </w:pPr>
      <w:r w:rsidRPr="0078056B">
        <w:rPr>
          <w:rFonts w:eastAsia="Calibri" w:cs="Arial"/>
        </w:rPr>
        <w:lastRenderedPageBreak/>
        <w:t>The direct, indirect, and induced impacts are measured in terms of monetary economic output</w:t>
      </w:r>
      <w:r w:rsidRPr="0078056B">
        <w:rPr>
          <w:rFonts w:eastAsia="Calibri" w:cs="Times New Roman"/>
          <w:vertAlign w:val="superscript"/>
        </w:rPr>
        <w:footnoteReference w:id="18"/>
      </w:r>
      <w:r w:rsidRPr="0078056B">
        <w:rPr>
          <w:rFonts w:eastAsia="Calibri" w:cs="Arial"/>
        </w:rPr>
        <w:t>, gross value added (GVA)</w:t>
      </w:r>
      <w:r w:rsidRPr="0078056B">
        <w:rPr>
          <w:rFonts w:eastAsia="Calibri" w:cs="Times New Roman"/>
          <w:vertAlign w:val="superscript"/>
        </w:rPr>
        <w:footnoteReference w:id="19"/>
      </w:r>
      <w:r w:rsidRPr="0078056B">
        <w:rPr>
          <w:rFonts w:eastAsia="Calibri" w:cs="Arial"/>
        </w:rPr>
        <w:t>, and full-time equivalent (FTE) employment supported.</w:t>
      </w:r>
      <w:r w:rsidRPr="0078056B">
        <w:rPr>
          <w:rStyle w:val="FootnoteReference"/>
          <w:rFonts w:eastAsia="Calibri" w:cs="Arial"/>
        </w:rPr>
        <w:footnoteReference w:id="20"/>
      </w:r>
      <w:r w:rsidRPr="0078056B">
        <w:rPr>
          <w:rFonts w:eastAsia="Calibri" w:cs="Arial"/>
        </w:rPr>
        <w:t xml:space="preserve"> In addition to measuring these impacts on the UK economy as a whole, the analysis is broken down by geographic region and sector.</w:t>
      </w:r>
    </w:p>
    <w:p w14:paraId="15D5EA96" w14:textId="77777777" w:rsidR="009B693C" w:rsidRPr="0078056B" w:rsidRDefault="009B693C" w:rsidP="009B693C">
      <w:r w:rsidRPr="0078056B">
        <w:t xml:space="preserve">These impacts of the University of Birmingham’s research activities were estimated using </w:t>
      </w:r>
      <w:r w:rsidRPr="0078056B">
        <w:rPr>
          <w:b/>
          <w:bCs/>
          <w:color w:val="06357A"/>
        </w:rPr>
        <w:t>economic multipliers</w:t>
      </w:r>
      <w:r w:rsidRPr="0078056B">
        <w:t xml:space="preserve"> derived from Input-Output tables,</w:t>
      </w:r>
      <w:r w:rsidRPr="0078056B">
        <w:rPr>
          <w:rStyle w:val="FootnoteReference"/>
        </w:rPr>
        <w:footnoteReference w:id="21"/>
      </w:r>
      <w:r w:rsidRPr="0078056B">
        <w:t xml:space="preserve"> which measure the total production output of each industry in the UK economy, and the inter-industry (and intra-industry) flows of goods and services consumed and produced by each sector</w:t>
      </w:r>
      <w:r w:rsidRPr="0078056B">
        <w:rPr>
          <w:rFonts w:cs="Times New Roman"/>
          <w:vertAlign w:val="superscript"/>
        </w:rPr>
        <w:footnoteReference w:id="22"/>
      </w:r>
      <w:r w:rsidRPr="0078056B">
        <w:t xml:space="preserve">. In other words, these tables capture the degree to which different sectors within the UK economy are connected, i.e. the extent to which changes in the demand for the output of any one sector impact all other sectors of the economy. To be able to achieve a breakdown of the analysis by region, we developed a </w:t>
      </w:r>
      <w:r w:rsidRPr="0078056B">
        <w:rPr>
          <w:b/>
          <w:bCs/>
          <w:color w:val="06357A"/>
        </w:rPr>
        <w:t>multi-regional Input-Output model</w:t>
      </w:r>
      <w:r w:rsidRPr="0078056B">
        <w:t>, combining UK-level Input-Output tables (published by the Office for National Statistics</w:t>
      </w:r>
      <w:r w:rsidRPr="0078056B">
        <w:rPr>
          <w:rStyle w:val="FootnoteReference"/>
        </w:rPr>
        <w:footnoteReference w:id="23"/>
      </w:r>
      <w:r w:rsidRPr="0078056B">
        <w:t xml:space="preserve">) with a range of regional-level data to achieve a granular breakdown by sector </w:t>
      </w:r>
      <w:r w:rsidRPr="0078056B">
        <w:rPr>
          <w:i/>
          <w:iCs/>
        </w:rPr>
        <w:t>and</w:t>
      </w:r>
      <w:r w:rsidRPr="0078056B">
        <w:t xml:space="preserve"> region.</w:t>
      </w:r>
      <w:r w:rsidRPr="0078056B">
        <w:rPr>
          <w:rStyle w:val="FootnoteReference"/>
        </w:rPr>
        <w:footnoteReference w:id="24"/>
      </w:r>
    </w:p>
    <w:p w14:paraId="4A953D9B" w14:textId="0650BE4C" w:rsidR="009B693C" w:rsidRPr="0078056B" w:rsidRDefault="009B693C" w:rsidP="009B693C">
      <w:r w:rsidRPr="0078056B">
        <w:t xml:space="preserve">To estimate the total direct, indirect, and induced impact, we apply the relevant economic multipliers (derived from our above-described Input-Output analysis) associated with organisations in the </w:t>
      </w:r>
      <w:r w:rsidRPr="0078056B">
        <w:rPr>
          <w:b/>
          <w:bCs/>
          <w:color w:val="06357A"/>
        </w:rPr>
        <w:t>government, health, and education sector</w:t>
      </w:r>
      <w:r w:rsidRPr="0078056B">
        <w:t xml:space="preserve"> in the </w:t>
      </w:r>
      <w:r w:rsidRPr="0078056B">
        <w:rPr>
          <w:b/>
          <w:bCs/>
          <w:color w:val="06357A"/>
        </w:rPr>
        <w:t>West Midlands</w:t>
      </w:r>
      <w:r w:rsidRPr="0078056B">
        <w:t>.</w:t>
      </w:r>
      <w:r w:rsidR="00307258" w:rsidRPr="0078056B">
        <w:rPr>
          <w:rStyle w:val="FootnoteReference"/>
        </w:rPr>
        <w:footnoteReference w:id="25"/>
      </w:r>
      <w:r w:rsidR="00307258" w:rsidRPr="0078056B">
        <w:t xml:space="preserve"> These multipliers (for the impact on the West Midlands and the UK economy as a whole) are presented in </w:t>
      </w:r>
      <w:r w:rsidR="00307258" w:rsidRPr="0078056B">
        <w:fldChar w:fldCharType="begin"/>
      </w:r>
      <w:r w:rsidR="00307258" w:rsidRPr="0078056B">
        <w:instrText xml:space="preserve"> REF _Ref162252529 \r \h  \* MERGEFORMAT </w:instrText>
      </w:r>
      <w:r w:rsidR="00307258" w:rsidRPr="0078056B">
        <w:fldChar w:fldCharType="separate"/>
      </w:r>
      <w:r w:rsidR="00E33157">
        <w:t>Table 3</w:t>
      </w:r>
      <w:r w:rsidR="00307258" w:rsidRPr="0078056B">
        <w:fldChar w:fldCharType="end"/>
      </w:r>
      <w:r w:rsidR="00307258" w:rsidRPr="0078056B">
        <w:t>.</w:t>
      </w:r>
    </w:p>
    <w:p w14:paraId="5A69373A" w14:textId="6AEDD65D" w:rsidR="009B693C" w:rsidRPr="0078056B" w:rsidRDefault="009B693C" w:rsidP="009B693C">
      <w:r w:rsidRPr="0078056B">
        <w:t xml:space="preserve">Based on these estimates, in terms of economic output, we assume that every </w:t>
      </w:r>
      <w:r w:rsidRPr="0078056B">
        <w:rPr>
          <w:b/>
          <w:bCs/>
          <w:color w:val="06357A"/>
        </w:rPr>
        <w:t>£1 million</w:t>
      </w:r>
      <w:r w:rsidRPr="0078056B">
        <w:t xml:space="preserve"> of research income accrued by the University of Birmingham generates a </w:t>
      </w:r>
      <w:r w:rsidRPr="0078056B">
        <w:rPr>
          <w:i/>
          <w:iCs/>
        </w:rPr>
        <w:t>total</w:t>
      </w:r>
      <w:r w:rsidRPr="0078056B">
        <w:t xml:space="preserve"> of </w:t>
      </w:r>
      <w:r w:rsidRPr="0078056B">
        <w:rPr>
          <w:b/>
          <w:bCs/>
          <w:color w:val="06357A"/>
        </w:rPr>
        <w:t>£2.28 million</w:t>
      </w:r>
      <w:r w:rsidRPr="0078056B">
        <w:t xml:space="preserve"> of impact throughout the UK economy on average, of which </w:t>
      </w:r>
      <w:r w:rsidRPr="0078056B">
        <w:rPr>
          <w:b/>
          <w:bCs/>
          <w:color w:val="06357A"/>
        </w:rPr>
        <w:t>£1.50 million</w:t>
      </w:r>
      <w:r w:rsidRPr="0078056B">
        <w:t xml:space="preserve"> is </w:t>
      </w:r>
      <w:r w:rsidR="00F628AD" w:rsidRPr="0078056B">
        <w:t xml:space="preserve">accrued </w:t>
      </w:r>
      <w:r w:rsidRPr="0078056B">
        <w:t>in the West Midlands.</w:t>
      </w:r>
      <w:r w:rsidRPr="0078056B">
        <w:rPr>
          <w:rStyle w:val="FootnoteReference"/>
        </w:rPr>
        <w:footnoteReference w:id="26"/>
      </w:r>
      <w:r w:rsidRPr="0078056B">
        <w:t xml:space="preserve"> In terms of employment, again we base our assumptions on the Input-Output tables. We therefore assume that, for every </w:t>
      </w:r>
      <w:r w:rsidRPr="0078056B">
        <w:rPr>
          <w:b/>
          <w:bCs/>
          <w:color w:val="06357A"/>
        </w:rPr>
        <w:t>1,000</w:t>
      </w:r>
      <w:r w:rsidRPr="0078056B">
        <w:t xml:space="preserve"> FTE staff employed directly by the University of Birmingham, a total of </w:t>
      </w:r>
      <w:r w:rsidRPr="0078056B">
        <w:rPr>
          <w:b/>
          <w:bCs/>
          <w:color w:val="06357A"/>
        </w:rPr>
        <w:t>1,790</w:t>
      </w:r>
      <w:r w:rsidRPr="0078056B">
        <w:t xml:space="preserve"> staff are supported throughout the UK, of which </w:t>
      </w:r>
      <w:r w:rsidRPr="0078056B">
        <w:rPr>
          <w:b/>
          <w:bCs/>
          <w:color w:val="06357A"/>
        </w:rPr>
        <w:t xml:space="preserve">1,330 </w:t>
      </w:r>
      <w:r w:rsidRPr="0078056B">
        <w:t xml:space="preserve">are supported </w:t>
      </w:r>
      <w:r w:rsidR="00B525CA" w:rsidRPr="0078056B">
        <w:t xml:space="preserve">in </w:t>
      </w:r>
      <w:r w:rsidRPr="0078056B">
        <w:t xml:space="preserve">the West Midlands. </w:t>
      </w:r>
    </w:p>
    <w:p w14:paraId="60C06C11" w14:textId="1D8833DC" w:rsidR="00307258" w:rsidRPr="0078056B" w:rsidRDefault="00307258" w:rsidP="00307258">
      <w:pPr>
        <w:pStyle w:val="TableTitle"/>
      </w:pPr>
      <w:bookmarkStart w:id="69" w:name="_Ref162252529"/>
      <w:bookmarkStart w:id="70" w:name="_Toc168652158"/>
      <w:r w:rsidRPr="0078056B">
        <w:t>Economic multipliers associated with the University of Birmingham’s research activities</w:t>
      </w:r>
      <w:bookmarkEnd w:id="69"/>
      <w:bookmarkEnd w:id="70"/>
    </w:p>
    <w:tbl>
      <w:tblPr>
        <w:tblW w:w="8874" w:type="dxa"/>
        <w:tblBorders>
          <w:top w:val="single" w:sz="4" w:space="0" w:color="BFBFBF"/>
          <w:bottom w:val="single" w:sz="4" w:space="0" w:color="BFBFBF"/>
          <w:insideH w:val="single" w:sz="4" w:space="0" w:color="BFBFBF"/>
          <w:insideV w:val="single" w:sz="4" w:space="0" w:color="BFBFBF"/>
        </w:tblBorders>
        <w:tblLayout w:type="fixed"/>
        <w:tblCellMar>
          <w:left w:w="0" w:type="dxa"/>
          <w:right w:w="0" w:type="dxa"/>
        </w:tblCellMar>
        <w:tblLook w:val="0000" w:firstRow="0" w:lastRow="0" w:firstColumn="0" w:lastColumn="0" w:noHBand="0" w:noVBand="0"/>
      </w:tblPr>
      <w:tblGrid>
        <w:gridCol w:w="2835"/>
        <w:gridCol w:w="2013"/>
        <w:gridCol w:w="2013"/>
        <w:gridCol w:w="2013"/>
      </w:tblGrid>
      <w:tr w:rsidR="00307258" w:rsidRPr="0078056B" w14:paraId="2675D437" w14:textId="77777777" w:rsidTr="00C042A1">
        <w:tc>
          <w:tcPr>
            <w:tcW w:w="2835" w:type="dxa"/>
            <w:tcBorders>
              <w:top w:val="single" w:sz="4" w:space="0" w:color="06357A"/>
              <w:bottom w:val="single" w:sz="4" w:space="0" w:color="06357A"/>
            </w:tcBorders>
            <w:shd w:val="clear" w:color="auto" w:fill="auto"/>
            <w:vAlign w:val="center"/>
          </w:tcPr>
          <w:p w14:paraId="50FEC2C2" w14:textId="77777777" w:rsidR="00307258" w:rsidRPr="0078056B" w:rsidRDefault="00307258" w:rsidP="00C042A1">
            <w:pPr>
              <w:pStyle w:val="TableHeading"/>
              <w:keepNext/>
              <w:jc w:val="both"/>
            </w:pPr>
            <w:r w:rsidRPr="0078056B">
              <w:t>Location of impact</w:t>
            </w:r>
          </w:p>
        </w:tc>
        <w:tc>
          <w:tcPr>
            <w:tcW w:w="2013" w:type="dxa"/>
            <w:tcBorders>
              <w:top w:val="single" w:sz="4" w:space="0" w:color="06357A"/>
              <w:bottom w:val="single" w:sz="4" w:space="0" w:color="06357A"/>
            </w:tcBorders>
            <w:shd w:val="clear" w:color="auto" w:fill="auto"/>
            <w:vAlign w:val="center"/>
          </w:tcPr>
          <w:p w14:paraId="58826C9C" w14:textId="77777777" w:rsidR="00307258" w:rsidRPr="0078056B" w:rsidRDefault="00307258" w:rsidP="00C042A1">
            <w:pPr>
              <w:pStyle w:val="TableHeading"/>
              <w:keepNext/>
              <w:jc w:val="center"/>
            </w:pPr>
            <w:r w:rsidRPr="0078056B">
              <w:t>Output</w:t>
            </w:r>
          </w:p>
        </w:tc>
        <w:tc>
          <w:tcPr>
            <w:tcW w:w="2013" w:type="dxa"/>
            <w:tcBorders>
              <w:top w:val="single" w:sz="4" w:space="0" w:color="06357A"/>
              <w:bottom w:val="single" w:sz="4" w:space="0" w:color="06357A"/>
            </w:tcBorders>
            <w:shd w:val="clear" w:color="auto" w:fill="auto"/>
            <w:vAlign w:val="center"/>
          </w:tcPr>
          <w:p w14:paraId="1E8D783D" w14:textId="77777777" w:rsidR="00307258" w:rsidRPr="0078056B" w:rsidRDefault="00307258" w:rsidP="00C042A1">
            <w:pPr>
              <w:pStyle w:val="TableHeading"/>
              <w:keepNext/>
              <w:jc w:val="center"/>
            </w:pPr>
            <w:r w:rsidRPr="0078056B">
              <w:t>GVA</w:t>
            </w:r>
          </w:p>
        </w:tc>
        <w:tc>
          <w:tcPr>
            <w:tcW w:w="2013" w:type="dxa"/>
            <w:tcBorders>
              <w:top w:val="single" w:sz="4" w:space="0" w:color="06357A"/>
              <w:bottom w:val="single" w:sz="4" w:space="0" w:color="06357A"/>
            </w:tcBorders>
            <w:shd w:val="clear" w:color="auto" w:fill="auto"/>
            <w:vAlign w:val="center"/>
          </w:tcPr>
          <w:p w14:paraId="344A6E4A" w14:textId="77777777" w:rsidR="00307258" w:rsidRPr="0078056B" w:rsidRDefault="00307258" w:rsidP="00C042A1">
            <w:pPr>
              <w:pStyle w:val="TableHeading"/>
              <w:keepNext/>
              <w:jc w:val="center"/>
            </w:pPr>
            <w:r w:rsidRPr="0078056B">
              <w:t>FTE employment</w:t>
            </w:r>
          </w:p>
        </w:tc>
      </w:tr>
      <w:tr w:rsidR="00307258" w:rsidRPr="0078056B" w14:paraId="7E08BC40" w14:textId="77777777" w:rsidTr="00C042A1">
        <w:tc>
          <w:tcPr>
            <w:tcW w:w="2835" w:type="dxa"/>
            <w:tcBorders>
              <w:top w:val="single" w:sz="4" w:space="0" w:color="06357A"/>
              <w:bottom w:val="single" w:sz="4" w:space="0" w:color="BFBFBF"/>
            </w:tcBorders>
            <w:shd w:val="clear" w:color="auto" w:fill="auto"/>
            <w:vAlign w:val="center"/>
          </w:tcPr>
          <w:p w14:paraId="115B18D3" w14:textId="77777777" w:rsidR="00307258" w:rsidRPr="0078056B" w:rsidRDefault="00307258" w:rsidP="00C042A1">
            <w:pPr>
              <w:pStyle w:val="TableText"/>
              <w:keepNext/>
              <w:jc w:val="both"/>
            </w:pPr>
            <w:r w:rsidRPr="0078056B">
              <w:t>West Midlands</w:t>
            </w:r>
          </w:p>
        </w:tc>
        <w:tc>
          <w:tcPr>
            <w:tcW w:w="2013" w:type="dxa"/>
            <w:tcBorders>
              <w:top w:val="single" w:sz="4" w:space="0" w:color="06357A"/>
              <w:bottom w:val="single" w:sz="4" w:space="0" w:color="BFBFBF"/>
            </w:tcBorders>
            <w:shd w:val="clear" w:color="auto" w:fill="auto"/>
          </w:tcPr>
          <w:p w14:paraId="6ED41E22" w14:textId="77777777" w:rsidR="00307258" w:rsidRPr="0078056B" w:rsidRDefault="00307258" w:rsidP="00C042A1">
            <w:pPr>
              <w:pStyle w:val="TableText"/>
              <w:keepNext/>
              <w:jc w:val="center"/>
              <w:rPr>
                <w:szCs w:val="20"/>
              </w:rPr>
            </w:pPr>
            <w:r w:rsidRPr="0078056B">
              <w:t>1.50</w:t>
            </w:r>
          </w:p>
        </w:tc>
        <w:tc>
          <w:tcPr>
            <w:tcW w:w="2013" w:type="dxa"/>
            <w:tcBorders>
              <w:top w:val="single" w:sz="4" w:space="0" w:color="06357A"/>
              <w:bottom w:val="single" w:sz="4" w:space="0" w:color="BFBFBF"/>
            </w:tcBorders>
            <w:shd w:val="clear" w:color="auto" w:fill="auto"/>
          </w:tcPr>
          <w:p w14:paraId="5A94E321" w14:textId="77777777" w:rsidR="00307258" w:rsidRPr="0078056B" w:rsidRDefault="00307258" w:rsidP="00C042A1">
            <w:pPr>
              <w:pStyle w:val="TableText"/>
              <w:keepNext/>
              <w:jc w:val="center"/>
              <w:rPr>
                <w:szCs w:val="20"/>
              </w:rPr>
            </w:pPr>
            <w:r w:rsidRPr="0078056B">
              <w:t>1.43</w:t>
            </w:r>
          </w:p>
        </w:tc>
        <w:tc>
          <w:tcPr>
            <w:tcW w:w="2013" w:type="dxa"/>
            <w:tcBorders>
              <w:top w:val="single" w:sz="4" w:space="0" w:color="06357A"/>
              <w:bottom w:val="single" w:sz="4" w:space="0" w:color="BFBFBF"/>
            </w:tcBorders>
            <w:shd w:val="clear" w:color="auto" w:fill="auto"/>
          </w:tcPr>
          <w:p w14:paraId="1CDA4EAB" w14:textId="77777777" w:rsidR="00307258" w:rsidRPr="0078056B" w:rsidRDefault="00307258" w:rsidP="00C042A1">
            <w:pPr>
              <w:pStyle w:val="TableText"/>
              <w:keepNext/>
              <w:jc w:val="center"/>
              <w:rPr>
                <w:szCs w:val="20"/>
              </w:rPr>
            </w:pPr>
            <w:r w:rsidRPr="0078056B">
              <w:t>1.33</w:t>
            </w:r>
          </w:p>
        </w:tc>
      </w:tr>
      <w:tr w:rsidR="00307258" w:rsidRPr="0078056B" w14:paraId="75B4774B" w14:textId="77777777" w:rsidTr="00C042A1">
        <w:tc>
          <w:tcPr>
            <w:tcW w:w="2835" w:type="dxa"/>
            <w:tcBorders>
              <w:bottom w:val="single" w:sz="4" w:space="0" w:color="06357A"/>
            </w:tcBorders>
            <w:shd w:val="clear" w:color="auto" w:fill="auto"/>
            <w:vAlign w:val="center"/>
          </w:tcPr>
          <w:p w14:paraId="302AE40E" w14:textId="77777777" w:rsidR="00307258" w:rsidRPr="0078056B" w:rsidRDefault="00307258" w:rsidP="00C042A1">
            <w:pPr>
              <w:pStyle w:val="TableText"/>
              <w:keepNext/>
              <w:jc w:val="both"/>
            </w:pPr>
            <w:r w:rsidRPr="0078056B">
              <w:t>Total UK</w:t>
            </w:r>
          </w:p>
        </w:tc>
        <w:tc>
          <w:tcPr>
            <w:tcW w:w="2013" w:type="dxa"/>
            <w:tcBorders>
              <w:bottom w:val="single" w:sz="4" w:space="0" w:color="06357A"/>
            </w:tcBorders>
            <w:shd w:val="clear" w:color="auto" w:fill="auto"/>
          </w:tcPr>
          <w:p w14:paraId="787BA9DA" w14:textId="77777777" w:rsidR="00307258" w:rsidRPr="0078056B" w:rsidRDefault="00307258" w:rsidP="00C042A1">
            <w:pPr>
              <w:pStyle w:val="TableText"/>
              <w:keepNext/>
              <w:jc w:val="center"/>
              <w:rPr>
                <w:szCs w:val="20"/>
              </w:rPr>
            </w:pPr>
            <w:r w:rsidRPr="0078056B">
              <w:t>2.28</w:t>
            </w:r>
          </w:p>
        </w:tc>
        <w:tc>
          <w:tcPr>
            <w:tcW w:w="2013" w:type="dxa"/>
            <w:tcBorders>
              <w:bottom w:val="single" w:sz="4" w:space="0" w:color="06357A"/>
            </w:tcBorders>
            <w:shd w:val="clear" w:color="auto" w:fill="auto"/>
          </w:tcPr>
          <w:p w14:paraId="3B2FF5F3" w14:textId="77777777" w:rsidR="00307258" w:rsidRPr="0078056B" w:rsidRDefault="00307258" w:rsidP="00C042A1">
            <w:pPr>
              <w:pStyle w:val="TableText"/>
              <w:keepNext/>
              <w:jc w:val="center"/>
              <w:rPr>
                <w:szCs w:val="20"/>
              </w:rPr>
            </w:pPr>
            <w:r w:rsidRPr="0078056B">
              <w:t>2.07</w:t>
            </w:r>
          </w:p>
        </w:tc>
        <w:tc>
          <w:tcPr>
            <w:tcW w:w="2013" w:type="dxa"/>
            <w:tcBorders>
              <w:bottom w:val="single" w:sz="4" w:space="0" w:color="06357A"/>
            </w:tcBorders>
            <w:shd w:val="clear" w:color="auto" w:fill="auto"/>
          </w:tcPr>
          <w:p w14:paraId="39FB3887" w14:textId="77777777" w:rsidR="00307258" w:rsidRPr="0078056B" w:rsidRDefault="00307258" w:rsidP="00C042A1">
            <w:pPr>
              <w:pStyle w:val="TableText"/>
              <w:keepNext/>
              <w:jc w:val="center"/>
              <w:rPr>
                <w:szCs w:val="20"/>
              </w:rPr>
            </w:pPr>
            <w:r w:rsidRPr="0078056B">
              <w:t>1.79</w:t>
            </w:r>
          </w:p>
        </w:tc>
      </w:tr>
    </w:tbl>
    <w:p w14:paraId="275179CD" w14:textId="77777777" w:rsidR="00307258" w:rsidRPr="0078056B" w:rsidRDefault="00307258" w:rsidP="00307258">
      <w:pPr>
        <w:pStyle w:val="TableNote"/>
        <w:jc w:val="both"/>
      </w:pPr>
      <w:r w:rsidRPr="0078056B">
        <w:t xml:space="preserve">Note: All multipliers constitute Type II multipliers, defined as [Direct + indirect + induced impact]/[Direct impact]. </w:t>
      </w:r>
    </w:p>
    <w:p w14:paraId="25356669" w14:textId="411555A6" w:rsidR="00307258" w:rsidRPr="0078056B" w:rsidRDefault="00307258" w:rsidP="00307258">
      <w:pPr>
        <w:pStyle w:val="TableSource"/>
        <w:jc w:val="both"/>
      </w:pPr>
      <w:r w:rsidRPr="0078056B">
        <w:t>Source: London Economics’ analysis</w:t>
      </w:r>
    </w:p>
    <w:p w14:paraId="117896B2" w14:textId="58111BBE" w:rsidR="009B693C" w:rsidRPr="0078056B" w:rsidRDefault="009B693C" w:rsidP="009B693C">
      <w:r w:rsidRPr="0078056B">
        <w:t xml:space="preserve">In addition to the impacts associated with the University of Birmingham’s research activity, a similar methodology is applied to estimate the direct, indirect, and induced economic effects associated </w:t>
      </w:r>
      <w:r w:rsidRPr="0078056B">
        <w:lastRenderedPageBreak/>
        <w:t xml:space="preserve">with the University’s knowledge exchange activities (see Section </w:t>
      </w:r>
      <w:r w:rsidR="00B7023C" w:rsidRPr="0078056B">
        <w:fldChar w:fldCharType="begin"/>
      </w:r>
      <w:r w:rsidR="00B7023C" w:rsidRPr="0078056B">
        <w:instrText xml:space="preserve"> REF _Ref162534636 \r \h </w:instrText>
      </w:r>
      <w:r w:rsidR="0078056B">
        <w:instrText xml:space="preserve"> \* MERGEFORMAT </w:instrText>
      </w:r>
      <w:r w:rsidR="00B7023C" w:rsidRPr="0078056B">
        <w:fldChar w:fldCharType="separate"/>
      </w:r>
      <w:r w:rsidR="00E33157">
        <w:t>2.2</w:t>
      </w:r>
      <w:r w:rsidR="00B7023C" w:rsidRPr="0078056B">
        <w:fldChar w:fldCharType="end"/>
      </w:r>
      <w:r w:rsidRPr="0078056B">
        <w:t>), export income (see Section 4), operational and capital expenditures (see Section 5) and tourism impact (see Section 6).</w:t>
      </w:r>
    </w:p>
    <w:p w14:paraId="5753B027" w14:textId="1ED5244A" w:rsidR="00974D3B" w:rsidRPr="0078056B" w:rsidRDefault="00974D3B" w:rsidP="00974D3B">
      <w:pPr>
        <w:pStyle w:val="Heading4"/>
        <w:rPr>
          <w:lang w:eastAsia="en-GB"/>
        </w:rPr>
      </w:pPr>
      <w:r w:rsidRPr="0078056B">
        <w:rPr>
          <w:lang w:eastAsia="en-GB"/>
        </w:rPr>
        <w:t>Adjusting for public costs</w:t>
      </w:r>
    </w:p>
    <w:p w14:paraId="7BC65D52" w14:textId="0996EBFC" w:rsidR="009B693C" w:rsidRPr="0078056B" w:rsidRDefault="0078056B" w:rsidP="009B693C">
      <w:r w:rsidRPr="0078056B">
        <w:rPr>
          <w:noProof/>
        </w:rPr>
        <mc:AlternateContent>
          <mc:Choice Requires="wps">
            <w:drawing>
              <wp:anchor distT="0" distB="0" distL="114300" distR="114300" simplePos="0" relativeHeight="251692032" behindDoc="0" locked="0" layoutInCell="1" allowOverlap="1" wp14:anchorId="26592D3D" wp14:editId="4DE31359">
                <wp:simplePos x="0" y="0"/>
                <wp:positionH relativeFrom="margin">
                  <wp:posOffset>3828415</wp:posOffset>
                </wp:positionH>
                <wp:positionV relativeFrom="paragraph">
                  <wp:posOffset>59690</wp:posOffset>
                </wp:positionV>
                <wp:extent cx="1763395" cy="1504315"/>
                <wp:effectExtent l="38100" t="38100" r="103505" b="95885"/>
                <wp:wrapSquare wrapText="bothSides"/>
                <wp:docPr id="9721245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504315"/>
                        </a:xfrm>
                        <a:prstGeom prst="rect">
                          <a:avLst/>
                        </a:prstGeom>
                        <a:solidFill>
                          <a:schemeClr val="accent1"/>
                        </a:solidFill>
                        <a:ln w="12700">
                          <a:noFill/>
                          <a:miter lim="800000"/>
                          <a:headEnd/>
                          <a:tailEnd/>
                        </a:ln>
                        <a:effectLst>
                          <a:outerShdw blurRad="50800" dist="38100" dir="2700000" algn="tl" rotWithShape="0">
                            <a:prstClr val="black">
                              <a:alpha val="40000"/>
                            </a:prstClr>
                          </a:outerShdw>
                        </a:effectLst>
                      </wps:spPr>
                      <wps:txbx>
                        <w:txbxContent>
                          <w:p w14:paraId="1F522B31" w14:textId="1B7A79C8" w:rsidR="009B693C" w:rsidRPr="003541E0" w:rsidRDefault="009B693C" w:rsidP="009B693C">
                            <w:pPr>
                              <w:spacing w:before="0" w:after="0"/>
                              <w:jc w:val="center"/>
                              <w:rPr>
                                <w:b/>
                                <w:color w:val="FFFFFF" w:themeColor="background1"/>
                                <w:sz w:val="28"/>
                                <w:szCs w:val="28"/>
                              </w:rPr>
                            </w:pPr>
                            <w:r w:rsidRPr="0078056B">
                              <w:rPr>
                                <w:b/>
                                <w:color w:val="FFFFFF" w:themeColor="background1"/>
                                <w:sz w:val="28"/>
                                <w:szCs w:val="28"/>
                              </w:rPr>
                              <w:t>The estimated impact of the University of Birmingham’s research activities in 2021-22 stood at £192 million</w:t>
                            </w:r>
                            <w:r w:rsidR="0078056B">
                              <w:rPr>
                                <w:b/>
                                <w:color w:val="FFFFFF" w:themeColor="background1"/>
                                <w:sz w:val="28"/>
                                <w:szCs w:val="28"/>
                              </w:rPr>
                              <w:t>.</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6592D3D" id="_x0000_s1035" type="#_x0000_t202" style="position:absolute;left:0;text-align:left;margin-left:301.45pt;margin-top:4.7pt;width:138.85pt;height:118.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rJcAIAAMUEAAAOAAAAZHJzL2Uyb0RvYy54bWysVMtu2zAQvBfoPxC8N5LiOA8hcpAmTVGg&#10;LzQtel6RlEWE4rIkbSn9+i4pxzHSW1EfBK1Jz87MzvryahoM2yofNNqGV0clZ8oKlNquG/7j+92b&#10;c85CBCvBoFUNf1SBX61ev7ocXa2OsUcjlWcEYkM9uob3Mbq6KILo1QDhCJ2ydNihHyBS6deF9DAS&#10;+mCK47I8LUb00nkUKgT69nY+5KuM33VKxC9dF1RkpuHELeanz882PYvVJdRrD67XYkcD/oHFANpS&#10;0z3ULURgG6//ghq08Biwi0cChwK7TguVNZCaqnyh5r4Hp7IWMie4vU3h/8GKz9t799WzOL3FiQaY&#10;RQT3EcVDYBZverBrde09jr0CSY2rZFkxulDvfpqsDnVIIO34CSUNGTYRM9DU+SG5QjoZodMAHvem&#10;qykykVqenS4WF0vOBJ1Vy/JkUS1zD6iffu58iO8VDiy9NNzTVDM8bD+GmOhA/XQldQtotLzTxuQi&#10;JUndGM+2QBkAIZSNs4gXN41lIzE4PivLjG4xYeSADDpSSo0eGn5eps+cm2TJOyvzlQjazO/ExtjU&#10;WuX8EcVswYYg7ns5stZs/DeQDV+WBMaZ1EnU4ryaCwpnopCaMDBr2qpoOPMYf+rY50QkCxNk0rwX&#10;1hoQD7MrxvUwqz3JMM8O0e3sFj6RydUBzzzYNMt5qnFqJ6aJ6kUSnObconykSROdPE7afHrp0f/m&#10;bKQtanj4tQGvODMfLKVlcZp1xFxUyTuScnjSHp6AFQTVcBE9ac/FTZyXdeO8XvfUa06oxWvKWKfz&#10;9J957ZJJu5KF7fY6LeNhnW89//us/gAAAP//AwBQSwMEFAAGAAgAAAAhAMazI/nfAAAACQEAAA8A&#10;AABkcnMvZG93bnJldi54bWxMj09Pg0AUxO8mfofNM/FmF7AhgDwa/6eN8VBqPG/ZJxDZt4Tdtuin&#10;dz3pcTKTmd+Uq9kM4kiT6y0jxIsIBHFjdc8twtvu6SoD4bxirQbLhPBFDlbV+VmpCm1PvKVj7VsR&#10;StgVCqHzfiykdE1HRrmFHYmD92Eno3yQUyv1pE6h3AwyiaJUGtVzWOjUSPcdNZ/1wSC0D16qx+9N&#10;fBe/r+vkee1f9GuOeHkx396A8DT7vzD84gd0qALT3h5YOzEgpFGShyhCvgQR/CyLUhB7hGSZXoOs&#10;Svn/QfUDAAD//wMAUEsBAi0AFAAGAAgAAAAhALaDOJL+AAAA4QEAABMAAAAAAAAAAAAAAAAAAAAA&#10;AFtDb250ZW50X1R5cGVzXS54bWxQSwECLQAUAAYACAAAACEAOP0h/9YAAACUAQAACwAAAAAAAAAA&#10;AAAAAAAvAQAAX3JlbHMvLnJlbHNQSwECLQAUAAYACAAAACEADKL6yXACAADFBAAADgAAAAAAAAAA&#10;AAAAAAAuAgAAZHJzL2Uyb0RvYy54bWxQSwECLQAUAAYACAAAACEAxrMj+d8AAAAJAQAADwAAAAAA&#10;AAAAAAAAAADKBAAAZHJzL2Rvd25yZXYueG1sUEsFBgAAAAAEAAQA8wAAANYFAAAAAA==&#10;" fillcolor="#06357a [3204]" stroked="f" strokeweight="1pt">
                <v:shadow on="t" color="black" opacity="26214f" origin="-.5,-.5" offset=".74836mm,.74836mm"/>
                <v:textbox inset="1mm,.5mm,1mm,.5mm">
                  <w:txbxContent>
                    <w:p w14:paraId="1F522B31" w14:textId="1B7A79C8" w:rsidR="009B693C" w:rsidRPr="003541E0" w:rsidRDefault="009B693C" w:rsidP="009B693C">
                      <w:pPr>
                        <w:spacing w:before="0" w:after="0"/>
                        <w:jc w:val="center"/>
                        <w:rPr>
                          <w:b/>
                          <w:color w:val="FFFFFF" w:themeColor="background1"/>
                          <w:sz w:val="28"/>
                          <w:szCs w:val="28"/>
                        </w:rPr>
                      </w:pPr>
                      <w:r w:rsidRPr="0078056B">
                        <w:rPr>
                          <w:b/>
                          <w:color w:val="FFFFFF" w:themeColor="background1"/>
                          <w:sz w:val="28"/>
                          <w:szCs w:val="28"/>
                        </w:rPr>
                        <w:t>The estimated impact of the University of Birmingham’s research activities in 2021-22 stood at £192 million</w:t>
                      </w:r>
                      <w:r w:rsidR="0078056B">
                        <w:rPr>
                          <w:b/>
                          <w:color w:val="FFFFFF" w:themeColor="background1"/>
                          <w:sz w:val="28"/>
                          <w:szCs w:val="28"/>
                        </w:rPr>
                        <w:t>.</w:t>
                      </w:r>
                    </w:p>
                  </w:txbxContent>
                </v:textbox>
                <w10:wrap type="square" anchorx="margin"/>
              </v:shape>
            </w:pict>
          </mc:Fallback>
        </mc:AlternateContent>
      </w:r>
      <w:r w:rsidR="009B693C" w:rsidRPr="0078056B">
        <w:t xml:space="preserve">To arrive at the </w:t>
      </w:r>
      <w:r w:rsidR="00974D3B" w:rsidRPr="0078056B">
        <w:rPr>
          <w:b/>
          <w:bCs/>
          <w:color w:val="06357A" w:themeColor="accent1"/>
        </w:rPr>
        <w:t>total</w:t>
      </w:r>
      <w:r w:rsidR="009B693C" w:rsidRPr="0078056B">
        <w:rPr>
          <w:b/>
          <w:bCs/>
          <w:color w:val="06357A" w:themeColor="accent1"/>
        </w:rPr>
        <w:t xml:space="preserve"> impact</w:t>
      </w:r>
      <w:r w:rsidR="009B693C" w:rsidRPr="0078056B">
        <w:t xml:space="preserve"> of the University of Birmingham’s research activities on the UK economy,</w:t>
      </w:r>
      <w:r w:rsidR="00974D3B" w:rsidRPr="0078056B">
        <w:t xml:space="preserve"> </w:t>
      </w:r>
      <w:r w:rsidR="00974D3B" w:rsidRPr="0078056B">
        <w:rPr>
          <w:b/>
          <w:bCs/>
          <w:color w:val="06357A" w:themeColor="text2"/>
        </w:rPr>
        <w:t>net of public costs</w:t>
      </w:r>
      <w:r w:rsidR="00974D3B" w:rsidRPr="0078056B">
        <w:t>,</w:t>
      </w:r>
      <w:r w:rsidR="009B693C" w:rsidRPr="0078056B">
        <w:t xml:space="preserve"> we deducted the </w:t>
      </w:r>
      <w:r w:rsidR="009B693C" w:rsidRPr="0078056B">
        <w:rPr>
          <w:b/>
          <w:bCs/>
          <w:color w:val="06357A" w:themeColor="accent1"/>
        </w:rPr>
        <w:t>costs to the public purse</w:t>
      </w:r>
      <w:r w:rsidR="009B693C" w:rsidRPr="0078056B">
        <w:rPr>
          <w:color w:val="06357A" w:themeColor="accent1"/>
        </w:rPr>
        <w:t xml:space="preserve"> </w:t>
      </w:r>
      <w:r w:rsidR="009B693C" w:rsidRPr="0078056B">
        <w:t>of funding the University of Birmingham’s research activities. These public costs include the funding provided by the UK Research Councils (</w:t>
      </w:r>
      <w:r w:rsidR="009B693C" w:rsidRPr="0078056B">
        <w:rPr>
          <w:b/>
          <w:bCs/>
          <w:color w:val="06357A" w:themeColor="accent1"/>
        </w:rPr>
        <w:t>£76 million</w:t>
      </w:r>
      <w:r w:rsidR="009B693C" w:rsidRPr="0078056B">
        <w:t>), recurrent research grants provided by Research England (</w:t>
      </w:r>
      <w:r w:rsidR="009B693C" w:rsidRPr="0078056B">
        <w:rPr>
          <w:b/>
          <w:bCs/>
          <w:color w:val="06357A" w:themeColor="accent1"/>
        </w:rPr>
        <w:t>£56 million</w:t>
      </w:r>
      <w:r w:rsidR="009B693C" w:rsidRPr="0078056B">
        <w:t>), and other research income from UK central government bodies</w:t>
      </w:r>
      <w:r w:rsidR="009B693C" w:rsidRPr="0078056B">
        <w:rPr>
          <w:color w:val="000000" w:themeColor="text1"/>
        </w:rPr>
        <w:t xml:space="preserve">, </w:t>
      </w:r>
      <w:r w:rsidR="009B693C" w:rsidRPr="0078056B">
        <w:t>local authorities</w:t>
      </w:r>
      <w:r w:rsidR="009B693C" w:rsidRPr="0078056B">
        <w:rPr>
          <w:color w:val="000000" w:themeColor="text1"/>
        </w:rPr>
        <w:t xml:space="preserve">, </w:t>
      </w:r>
      <w:r w:rsidR="009B693C" w:rsidRPr="0078056B">
        <w:t>and health and hospital authorities (</w:t>
      </w:r>
      <w:r w:rsidR="009B693C" w:rsidRPr="0078056B">
        <w:rPr>
          <w:b/>
          <w:bCs/>
          <w:color w:val="06357A" w:themeColor="accent1"/>
        </w:rPr>
        <w:t>£46 million</w:t>
      </w:r>
      <w:r w:rsidR="009B693C" w:rsidRPr="0078056B">
        <w:t>). These total public purse costs (</w:t>
      </w:r>
      <w:r w:rsidR="009B693C" w:rsidRPr="0078056B">
        <w:rPr>
          <w:b/>
          <w:bCs/>
          <w:color w:val="06357A" w:themeColor="accent1"/>
        </w:rPr>
        <w:t>£177 million</w:t>
      </w:r>
      <w:r w:rsidR="009B693C" w:rsidRPr="0078056B">
        <w:rPr>
          <w:color w:val="000000" w:themeColor="text1"/>
        </w:rPr>
        <w:t>)</w:t>
      </w:r>
      <w:r w:rsidR="009B693C" w:rsidRPr="0078056B">
        <w:t xml:space="preserve"> are deduc</w:t>
      </w:r>
      <w:r w:rsidR="00307258" w:rsidRPr="0078056B">
        <w:t>t</w:t>
      </w:r>
      <w:r w:rsidR="009B693C" w:rsidRPr="0078056B">
        <w:t>ed from the</w:t>
      </w:r>
      <w:r w:rsidR="00AC6483" w:rsidRPr="0078056B">
        <w:t xml:space="preserve"> </w:t>
      </w:r>
      <w:r w:rsidR="009B693C" w:rsidRPr="0078056B">
        <w:t xml:space="preserve">direct, indirect, and induced impacts of research activity estimated using the multipliers outlined above. We estimated that the resulting </w:t>
      </w:r>
      <w:r w:rsidR="009B693C" w:rsidRPr="0078056B">
        <w:rPr>
          <w:b/>
          <w:bCs/>
          <w:color w:val="06357A" w:themeColor="accent1"/>
        </w:rPr>
        <w:t>direct, indirect, and induced impact</w:t>
      </w:r>
      <w:r w:rsidR="009B693C" w:rsidRPr="0078056B">
        <w:t xml:space="preserve"> </w:t>
      </w:r>
      <w:r w:rsidR="00AC6483" w:rsidRPr="0078056B">
        <w:t xml:space="preserve">(net of public costs) </w:t>
      </w:r>
      <w:r w:rsidR="009B693C" w:rsidRPr="0078056B">
        <w:t xml:space="preserve">associated with the University of Birmingham’s research activity in the 2021-22 academic year stood at </w:t>
      </w:r>
      <w:r w:rsidR="009B693C" w:rsidRPr="0078056B">
        <w:rPr>
          <w:b/>
          <w:bCs/>
          <w:color w:val="06357A" w:themeColor="accent1"/>
        </w:rPr>
        <w:t>£192 million</w:t>
      </w:r>
      <w:r w:rsidR="009B693C" w:rsidRPr="0078056B">
        <w:t xml:space="preserve">, where the direct research impact stood at </w:t>
      </w:r>
      <w:r w:rsidR="009B693C" w:rsidRPr="0078056B">
        <w:rPr>
          <w:b/>
          <w:bCs/>
          <w:color w:val="06357A" w:themeColor="accent1"/>
        </w:rPr>
        <w:t>£84 million</w:t>
      </w:r>
      <w:r w:rsidR="009B693C" w:rsidRPr="0078056B">
        <w:t xml:space="preserve"> (see </w:t>
      </w:r>
      <w:r w:rsidR="009B693C" w:rsidRPr="0078056B">
        <w:fldChar w:fldCharType="begin"/>
      </w:r>
      <w:r w:rsidR="009B693C" w:rsidRPr="0078056B">
        <w:instrText xml:space="preserve"> REF _Ref147485608 \r \h  \* MERGEFORMAT </w:instrText>
      </w:r>
      <w:r w:rsidR="009B693C" w:rsidRPr="0078056B">
        <w:fldChar w:fldCharType="separate"/>
      </w:r>
      <w:r w:rsidR="00E33157">
        <w:t>Figure 6</w:t>
      </w:r>
      <w:r w:rsidR="009B693C" w:rsidRPr="0078056B">
        <w:fldChar w:fldCharType="end"/>
      </w:r>
      <w:r w:rsidR="009B693C" w:rsidRPr="0078056B">
        <w:t>).</w:t>
      </w:r>
    </w:p>
    <w:p w14:paraId="03F70E93" w14:textId="77777777" w:rsidR="009B693C" w:rsidRPr="0078056B" w:rsidRDefault="009B693C" w:rsidP="009B693C">
      <w:r w:rsidRPr="0078056B">
        <w:t xml:space="preserve">In terms of GVA and FTE employment, the total direct, indirect, and induced impact associated with the University of Birmingham’s research was estimated at </w:t>
      </w:r>
      <w:r w:rsidRPr="0078056B">
        <w:rPr>
          <w:b/>
          <w:bCs/>
          <w:color w:val="06357A"/>
        </w:rPr>
        <w:t>£118 million</w:t>
      </w:r>
      <w:r w:rsidRPr="0078056B">
        <w:t xml:space="preserve"> and </w:t>
      </w:r>
      <w:r w:rsidRPr="0078056B">
        <w:rPr>
          <w:b/>
          <w:bCs/>
          <w:color w:val="06357A"/>
        </w:rPr>
        <w:t>1,965</w:t>
      </w:r>
      <w:r w:rsidRPr="0078056B">
        <w:t xml:space="preserve"> FTE jobs, respectively.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9B693C" w:rsidRPr="0078056B" w14:paraId="131F94C2" w14:textId="77777777" w:rsidTr="000A186C">
        <w:trPr>
          <w:cantSplit/>
        </w:trPr>
        <w:tc>
          <w:tcPr>
            <w:tcW w:w="0" w:type="auto"/>
          </w:tcPr>
          <w:p w14:paraId="37F6D394" w14:textId="77777777" w:rsidR="009B693C" w:rsidRPr="0078056B" w:rsidRDefault="009B693C" w:rsidP="000A186C">
            <w:pPr>
              <w:pStyle w:val="FigureTitle"/>
            </w:pPr>
            <w:bookmarkStart w:id="71" w:name="_Toc153291648"/>
            <w:bookmarkStart w:id="72" w:name="_Ref147485608"/>
            <w:bookmarkStart w:id="73" w:name="_Toc155603359"/>
            <w:bookmarkStart w:id="74" w:name="_Toc160803968"/>
            <w:bookmarkStart w:id="75" w:name="_Toc168652187"/>
            <w:bookmarkEnd w:id="71"/>
            <w:r w:rsidRPr="0078056B">
              <w:t>Net direct, indirect, and induced impacts associated with University of Birmingham research income in 2021-22 by activity, £m</w:t>
            </w:r>
            <w:bookmarkEnd w:id="72"/>
            <w:bookmarkEnd w:id="73"/>
            <w:bookmarkEnd w:id="74"/>
            <w:bookmarkEnd w:id="75"/>
          </w:p>
        </w:tc>
      </w:tr>
      <w:tr w:rsidR="009B693C" w:rsidRPr="0078056B" w14:paraId="6D5D5F4B" w14:textId="77777777" w:rsidTr="000A186C">
        <w:trPr>
          <w:cantSplit/>
        </w:trPr>
        <w:tc>
          <w:tcPr>
            <w:tcW w:w="0" w:type="auto"/>
          </w:tcPr>
          <w:p w14:paraId="3D9A8E99" w14:textId="77777777" w:rsidR="009B693C" w:rsidRPr="0078056B" w:rsidRDefault="009B693C" w:rsidP="000A186C">
            <w:pPr>
              <w:pStyle w:val="PlaceholderText"/>
            </w:pPr>
            <w:r w:rsidRPr="0078056B">
              <w:rPr>
                <w:noProof/>
              </w:rPr>
              <w:drawing>
                <wp:inline distT="0" distB="0" distL="0" distR="0" wp14:anchorId="39A27C31" wp14:editId="298338FF">
                  <wp:extent cx="5352082" cy="1331797"/>
                  <wp:effectExtent l="0" t="0" r="1270" b="0"/>
                  <wp:docPr id="1931224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24459" name="Picture 1"/>
                          <pic:cNvPicPr>
                            <a:picLocks noChangeAspect="1" noChangeArrowheads="1"/>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bwMode="auto">
                          <a:xfrm>
                            <a:off x="0" y="0"/>
                            <a:ext cx="5352082" cy="1331797"/>
                          </a:xfrm>
                          <a:prstGeom prst="rect">
                            <a:avLst/>
                          </a:prstGeom>
                        </pic:spPr>
                      </pic:pic>
                    </a:graphicData>
                  </a:graphic>
                </wp:inline>
              </w:drawing>
            </w:r>
          </w:p>
        </w:tc>
      </w:tr>
      <w:tr w:rsidR="009B693C" w:rsidRPr="0078056B" w14:paraId="4C7723A6" w14:textId="77777777" w:rsidTr="000A186C">
        <w:trPr>
          <w:cantSplit/>
        </w:trPr>
        <w:tc>
          <w:tcPr>
            <w:tcW w:w="0" w:type="auto"/>
          </w:tcPr>
          <w:p w14:paraId="321DA6AD" w14:textId="77777777" w:rsidR="009B693C" w:rsidRPr="0078056B" w:rsidRDefault="009B693C" w:rsidP="000A186C">
            <w:pPr>
              <w:pStyle w:val="TableNote"/>
            </w:pPr>
            <w:r w:rsidRPr="0078056B">
              <w:t>Note: Monetary estimates are presented in 2021/22 prices, rounded to the nearest £1 million, and may not add up precisely to the totals indicated.</w:t>
            </w:r>
          </w:p>
          <w:p w14:paraId="368FFA03" w14:textId="77777777" w:rsidR="009B693C" w:rsidRPr="0078056B" w:rsidRDefault="009B693C" w:rsidP="000A186C">
            <w:pPr>
              <w:pStyle w:val="TableSource"/>
            </w:pPr>
            <w:r w:rsidRPr="0078056B">
              <w:t>Source: London Economics’ analysis</w:t>
            </w:r>
          </w:p>
        </w:tc>
      </w:tr>
    </w:tbl>
    <w:p w14:paraId="119F79FD" w14:textId="77777777" w:rsidR="009B693C" w:rsidRPr="0078056B" w:rsidRDefault="009B693C" w:rsidP="009B693C">
      <w:pPr>
        <w:pStyle w:val="Heading3"/>
      </w:pPr>
      <w:bookmarkStart w:id="76" w:name="_Toc137205865"/>
      <w:bookmarkStart w:id="77" w:name="_Toc137205744"/>
      <w:bookmarkStart w:id="78" w:name="_Toc137205618"/>
      <w:bookmarkStart w:id="79" w:name="_Toc137205433"/>
      <w:bookmarkStart w:id="80" w:name="_Toc137205310"/>
      <w:bookmarkStart w:id="81" w:name="_Toc137205170"/>
      <w:bookmarkStart w:id="82" w:name="_Toc137205048"/>
      <w:bookmarkStart w:id="83" w:name="_Toc137204910"/>
      <w:bookmarkStart w:id="84" w:name="_Toc137204787"/>
      <w:bookmarkStart w:id="85" w:name="_Toc137204601"/>
      <w:bookmarkStart w:id="86" w:name="_Toc137201199"/>
      <w:bookmarkStart w:id="87" w:name="_Toc137200946"/>
      <w:bookmarkStart w:id="88" w:name="_Toc137200427"/>
      <w:bookmarkStart w:id="89" w:name="_Toc137199997"/>
      <w:bookmarkStart w:id="90" w:name="_Toc137205864"/>
      <w:bookmarkStart w:id="91" w:name="_Toc137205743"/>
      <w:bookmarkStart w:id="92" w:name="_Toc137205617"/>
      <w:bookmarkStart w:id="93" w:name="_Toc137205432"/>
      <w:bookmarkStart w:id="94" w:name="_Toc137205309"/>
      <w:bookmarkStart w:id="95" w:name="_Toc137205169"/>
      <w:bookmarkStart w:id="96" w:name="_Toc137205047"/>
      <w:bookmarkStart w:id="97" w:name="_Toc137204909"/>
      <w:bookmarkStart w:id="98" w:name="_Toc137204786"/>
      <w:bookmarkStart w:id="99" w:name="_Toc137204600"/>
      <w:bookmarkStart w:id="100" w:name="_Toc137201198"/>
      <w:bookmarkStart w:id="101" w:name="_Toc137200945"/>
      <w:bookmarkStart w:id="102" w:name="_Toc137200426"/>
      <w:bookmarkStart w:id="103" w:name="_Toc137199996"/>
      <w:bookmarkStart w:id="104" w:name="_Toc137205860"/>
      <w:bookmarkStart w:id="105" w:name="_Toc137205739"/>
      <w:bookmarkStart w:id="106" w:name="_Toc137205613"/>
      <w:bookmarkStart w:id="107" w:name="_Toc137205428"/>
      <w:bookmarkStart w:id="108" w:name="_Toc137205305"/>
      <w:bookmarkStart w:id="109" w:name="_Toc137205165"/>
      <w:bookmarkStart w:id="110" w:name="_Toc137205043"/>
      <w:bookmarkStart w:id="111" w:name="_Toc137204905"/>
      <w:bookmarkStart w:id="112" w:name="_Toc137204782"/>
      <w:bookmarkStart w:id="113" w:name="_Toc137204596"/>
      <w:bookmarkStart w:id="114" w:name="_Toc137201194"/>
      <w:bookmarkStart w:id="115" w:name="_Toc137200941"/>
      <w:bookmarkStart w:id="116" w:name="_Toc137200422"/>
      <w:bookmarkStart w:id="117" w:name="_Toc137199992"/>
      <w:bookmarkStart w:id="118" w:name="_Ref160114284"/>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78056B">
        <w:t>Productivity spillovers</w:t>
      </w:r>
      <w:bookmarkEnd w:id="61"/>
      <w:bookmarkEnd w:id="118"/>
    </w:p>
    <w:p w14:paraId="2E179ADB" w14:textId="77777777" w:rsidR="009B693C" w:rsidRPr="0078056B" w:rsidRDefault="009B693C" w:rsidP="009B693C">
      <w:pPr>
        <w:shd w:val="clear" w:color="auto" w:fill="FFFFFF"/>
        <w:spacing w:before="0" w:after="120"/>
        <w:rPr>
          <w:rFonts w:eastAsia="Calibri" w:cs="Times New Roman"/>
        </w:rPr>
      </w:pPr>
      <w:r w:rsidRPr="0078056B">
        <w:rPr>
          <w:rFonts w:eastAsia="Calibri" w:cs="Times New Roman"/>
        </w:rPr>
        <w:t xml:space="preserve">In addition to the direct, indirect, and induced impact of research, the wider academic literature indicates that investments in research &amp; development (R&amp;D) and other intangible assets may induce positive </w:t>
      </w:r>
      <w:r w:rsidRPr="0078056B">
        <w:rPr>
          <w:rFonts w:eastAsia="Calibri" w:cs="Times New Roman"/>
          <w:b/>
          <w:color w:val="06357A" w:themeColor="accent1"/>
        </w:rPr>
        <w:t>externalities</w:t>
      </w:r>
      <w:r w:rsidRPr="0078056B">
        <w:rPr>
          <w:rFonts w:eastAsia="Calibri" w:cs="Times New Roman"/>
          <w:color w:val="000000"/>
        </w:rPr>
        <w:t xml:space="preserve">. Economists refer to the term ‘externality’ to describe situations in which the activities of one ‘agent’ in the market induces (positive or negative) external effects on other agents in that market (which are not reflected in the price mechanism). In the context of the economic impact of research activities, existing academic literature assesses the existence and size of </w:t>
      </w:r>
      <w:r w:rsidRPr="0078056B">
        <w:rPr>
          <w:rFonts w:eastAsia="Calibri" w:cs="Times New Roman"/>
          <w:b/>
          <w:color w:val="06357A" w:themeColor="accent1"/>
        </w:rPr>
        <w:t>positive</w:t>
      </w:r>
      <w:r w:rsidRPr="0078056B">
        <w:rPr>
          <w:rFonts w:eastAsia="Calibri" w:cs="Times New Roman"/>
          <w:color w:val="06357A" w:themeColor="accent1"/>
        </w:rPr>
        <w:t xml:space="preserve"> </w:t>
      </w:r>
      <w:r w:rsidRPr="0078056B">
        <w:rPr>
          <w:rFonts w:eastAsia="Calibri" w:cs="Times New Roman"/>
          <w:b/>
          <w:color w:val="06357A" w:themeColor="accent1"/>
        </w:rPr>
        <w:t>productivity and knowledge spillovers</w:t>
      </w:r>
      <w:r w:rsidRPr="0078056B">
        <w:rPr>
          <w:rFonts w:eastAsia="Calibri" w:cs="Times New Roman"/>
        </w:rPr>
        <w:t>, where knowledge generated through the research activities of one agent enhances the productivity of other organisations.</w:t>
      </w:r>
    </w:p>
    <w:p w14:paraId="5A9C8306" w14:textId="66728B5E" w:rsidR="009B693C" w:rsidRPr="0078056B" w:rsidRDefault="009B693C" w:rsidP="009B693C">
      <w:pPr>
        <w:rPr>
          <w:rFonts w:eastAsia="Calibri" w:cs="Times New Roman"/>
        </w:rPr>
      </w:pPr>
      <w:r w:rsidRPr="0078056B">
        <w:rPr>
          <w:rFonts w:eastAsia="Calibri" w:cs="Times New Roman"/>
        </w:rPr>
        <w:lastRenderedPageBreak/>
        <w:t>There are many ways in which research generated at universities can induce such positive spillover effects to the private sector</w:t>
      </w:r>
      <w:r w:rsidRPr="0078056B">
        <w:rPr>
          <w:rFonts w:eastAsia="Calibri" w:cs="Times New Roman"/>
          <w:vertAlign w:val="superscript"/>
        </w:rPr>
        <w:footnoteReference w:id="27"/>
      </w:r>
      <w:r w:rsidRPr="0078056B">
        <w:rPr>
          <w:rFonts w:eastAsia="Calibri" w:cs="Times New Roman"/>
        </w:rPr>
        <w:t xml:space="preserve">. For example, spillovers are enabled through direct R&amp;D collaborations between universities and firms (such as Knowledge </w:t>
      </w:r>
      <w:r w:rsidR="00307258" w:rsidRPr="0078056B">
        <w:rPr>
          <w:rFonts w:eastAsia="Calibri" w:cs="Times New Roman"/>
        </w:rPr>
        <w:t>Transfer</w:t>
      </w:r>
      <w:r w:rsidRPr="0078056B">
        <w:rPr>
          <w:rFonts w:eastAsia="Calibri" w:cs="Times New Roman"/>
        </w:rPr>
        <w:t xml:space="preserve"> Partnerships), the publication and dissemination of research findings, or through university graduates entering the labour market and passing on their knowledge to their employers.</w:t>
      </w:r>
    </w:p>
    <w:p w14:paraId="415B5140" w14:textId="77777777" w:rsidR="009B693C" w:rsidRPr="0078056B" w:rsidRDefault="009B693C" w:rsidP="009B693C">
      <w:pPr>
        <w:pStyle w:val="Heading4"/>
      </w:pPr>
      <w:r w:rsidRPr="0078056B">
        <w:t>What are the estimates of the productivity spillovers?</w:t>
      </w:r>
    </w:p>
    <w:p w14:paraId="6748D672" w14:textId="7CB1848F" w:rsidR="009B693C" w:rsidRPr="0078056B" w:rsidRDefault="009B693C" w:rsidP="009B693C">
      <w:r w:rsidRPr="0078056B">
        <w:t xml:space="preserve">In order to estimate the productivity spillovers associated with the University of Birmingham’s research activities, we apply these productivity spillover multipliers from the existing literature to the different types of research-related income received by the University in 2021-22 (again see </w:t>
      </w:r>
      <w:r w:rsidRPr="0078056B">
        <w:fldChar w:fldCharType="begin"/>
      </w:r>
      <w:r w:rsidRPr="0078056B">
        <w:instrText xml:space="preserve"> REF _Ref142660759 \r \h  \* MERGEFORMAT </w:instrText>
      </w:r>
      <w:r w:rsidRPr="0078056B">
        <w:fldChar w:fldCharType="separate"/>
      </w:r>
      <w:r w:rsidR="00E33157">
        <w:t>Figure 5</w:t>
      </w:r>
      <w:r w:rsidRPr="0078056B">
        <w:fldChar w:fldCharType="end"/>
      </w:r>
      <w:r w:rsidRPr="0078056B">
        <w:t xml:space="preserve">). Specifically, assigning the multiplier of </w:t>
      </w:r>
      <w:r w:rsidRPr="0078056B">
        <w:rPr>
          <w:b/>
          <w:color w:val="06357A" w:themeColor="accent1"/>
        </w:rPr>
        <w:t>12.7</w:t>
      </w:r>
      <w:r w:rsidRPr="0078056B">
        <w:rPr>
          <w:color w:val="06357A" w:themeColor="accent1"/>
        </w:rPr>
        <w:t xml:space="preserve"> </w:t>
      </w:r>
      <w:r w:rsidRPr="0078056B">
        <w:t xml:space="preserve">to the research funding that the University of Birmingham received from </w:t>
      </w:r>
      <w:r w:rsidRPr="0078056B">
        <w:rPr>
          <w:b/>
          <w:bCs/>
          <w:color w:val="06357A" w:themeColor="accent1"/>
        </w:rPr>
        <w:t>UK Research Councils and UK charities</w:t>
      </w:r>
      <w:r w:rsidRPr="0078056B">
        <w:rPr>
          <w:rStyle w:val="FootnoteReference"/>
        </w:rPr>
        <w:footnoteReference w:id="28"/>
      </w:r>
      <w:r w:rsidRPr="0078056B">
        <w:t xml:space="preserve"> in 2021-22 (amounting to </w:t>
      </w:r>
      <w:r w:rsidRPr="0078056B">
        <w:rPr>
          <w:b/>
          <w:color w:val="06357A" w:themeColor="accent1"/>
        </w:rPr>
        <w:t>£110 million</w:t>
      </w:r>
      <w:r w:rsidRPr="0078056B">
        <w:t xml:space="preserve">), and assigning the multiplier of </w:t>
      </w:r>
      <w:r w:rsidRPr="0078056B">
        <w:rPr>
          <w:b/>
          <w:color w:val="06357A" w:themeColor="accent1"/>
        </w:rPr>
        <w:t>0.2</w:t>
      </w:r>
      <w:r w:rsidRPr="0078056B">
        <w:rPr>
          <w:color w:val="06357A" w:themeColor="accent1"/>
        </w:rPr>
        <w:t xml:space="preserve"> </w:t>
      </w:r>
      <w:r w:rsidRPr="0078056B">
        <w:t xml:space="preserve">to </w:t>
      </w:r>
      <w:r w:rsidRPr="0078056B">
        <w:rPr>
          <w:b/>
          <w:bCs/>
          <w:color w:val="06357A" w:themeColor="accent1"/>
        </w:rPr>
        <w:t>all other research funding</w:t>
      </w:r>
      <w:r w:rsidRPr="0078056B">
        <w:rPr>
          <w:color w:val="06357A" w:themeColor="accent1"/>
        </w:rPr>
        <w:t xml:space="preserve"> </w:t>
      </w:r>
      <w:r w:rsidRPr="0078056B">
        <w:t xml:space="preserve">received by the University in that academic year (amounting to </w:t>
      </w:r>
      <w:r w:rsidRPr="0078056B">
        <w:rPr>
          <w:b/>
          <w:color w:val="06357A" w:themeColor="accent1"/>
        </w:rPr>
        <w:t>£160 million</w:t>
      </w:r>
      <w:r w:rsidRPr="0078056B">
        <w:t>)</w:t>
      </w:r>
      <w:r w:rsidRPr="0078056B">
        <w:rPr>
          <w:rStyle w:val="FootnoteReference"/>
        </w:rPr>
        <w:footnoteReference w:id="29"/>
      </w:r>
      <w:r w:rsidRPr="0078056B">
        <w:t xml:space="preserve">. More detailed summaries of these papers and further studies on this topic are presented in Annex </w:t>
      </w:r>
      <w:r w:rsidRPr="0078056B">
        <w:fldChar w:fldCharType="begin"/>
      </w:r>
      <w:r w:rsidRPr="0078056B">
        <w:instrText xml:space="preserve"> REF _Ref148097192 \r \h  \* MERGEFORMAT </w:instrText>
      </w:r>
      <w:r w:rsidRPr="0078056B">
        <w:fldChar w:fldCharType="separate"/>
      </w:r>
      <w:r w:rsidR="00E33157">
        <w:t>A2.2.2</w:t>
      </w:r>
      <w:r w:rsidRPr="0078056B">
        <w:fldChar w:fldCharType="end"/>
      </w:r>
      <w:r w:rsidRPr="0078056B">
        <w:t xml:space="preserve">. </w:t>
      </w:r>
    </w:p>
    <w:p w14:paraId="7057B737" w14:textId="2A64CD19" w:rsidR="009B693C" w:rsidRPr="0078056B" w:rsidRDefault="009B693C" w:rsidP="009B693C">
      <w:pPr>
        <w:rPr>
          <w:bCs/>
        </w:rPr>
      </w:pPr>
      <w:r w:rsidRPr="0078056B">
        <w:t xml:space="preserve">Therefore, we infer a weighted average spillover multiplier associated with the University of Birmingham’s research activities of approximately </w:t>
      </w:r>
      <w:r w:rsidRPr="0078056B">
        <w:rPr>
          <w:b/>
          <w:color w:val="06357A" w:themeColor="accent1"/>
        </w:rPr>
        <w:t>5.30</w:t>
      </w:r>
      <w:r w:rsidRPr="0078056B">
        <w:rPr>
          <w:color w:val="06357A" w:themeColor="accent1"/>
        </w:rPr>
        <w:t xml:space="preserve"> </w:t>
      </w:r>
      <w:r w:rsidRPr="0078056B">
        <w:t xml:space="preserve">– i.e. </w:t>
      </w:r>
      <w:r w:rsidRPr="0078056B">
        <w:rPr>
          <w:b/>
          <w:color w:val="06357A" w:themeColor="accent1"/>
        </w:rPr>
        <w:t xml:space="preserve">every £1 invested in </w:t>
      </w:r>
      <w:r w:rsidR="001279B4" w:rsidRPr="0078056B">
        <w:rPr>
          <w:b/>
          <w:color w:val="06357A" w:themeColor="accent1"/>
        </w:rPr>
        <w:t>the University’s</w:t>
      </w:r>
      <w:r w:rsidRPr="0078056B">
        <w:rPr>
          <w:b/>
          <w:color w:val="06357A" w:themeColor="accent1"/>
        </w:rPr>
        <w:t xml:space="preserve"> research activities generates additional annual economic output of £5.30 across the UK economy</w:t>
      </w:r>
      <w:r w:rsidRPr="0078056B">
        <w:rPr>
          <w:bCs/>
        </w:rPr>
        <w:t>. This captures the impact of the research undertaken by the University in 2021-22 within that same academic year (but excludes any additional (and likely substantial) impacts in subsequent years).</w:t>
      </w:r>
      <w:r w:rsidRPr="0078056B">
        <w:rPr>
          <w:rStyle w:val="FootnoteReference"/>
          <w:bCs/>
        </w:rPr>
        <w:footnoteReference w:id="30"/>
      </w:r>
    </w:p>
    <w:p w14:paraId="701CB715" w14:textId="256D1E54" w:rsidR="009B693C" w:rsidRPr="0078056B" w:rsidRDefault="009B693C" w:rsidP="009B693C">
      <w:pPr>
        <w:rPr>
          <w:bCs/>
        </w:rPr>
      </w:pPr>
      <w:r w:rsidRPr="0078056B">
        <w:t xml:space="preserve">Applying this weighted average multiplier to the direct impact of research (i.e. excluding contract research, which is </w:t>
      </w:r>
      <w:r w:rsidRPr="0078056B">
        <w:rPr>
          <w:b/>
          <w:bCs/>
          <w:color w:val="06357A"/>
        </w:rPr>
        <w:t>£109 million</w:t>
      </w:r>
      <w:r w:rsidRPr="0078056B">
        <w:t>)</w:t>
      </w:r>
      <w:r w:rsidRPr="0078056B">
        <w:rPr>
          <w:rStyle w:val="FootnoteReference"/>
        </w:rPr>
        <w:footnoteReference w:id="31"/>
      </w:r>
      <w:r w:rsidRPr="0078056B">
        <w:t xml:space="preserve">, we estimate that the research conducted by the University of Birmingham in 2021-22 resulted in </w:t>
      </w:r>
      <w:r w:rsidRPr="0078056B">
        <w:rPr>
          <w:b/>
          <w:bCs/>
          <w:color w:val="06357A"/>
        </w:rPr>
        <w:t>total market sector productivity spillovers</w:t>
      </w:r>
      <w:r w:rsidRPr="0078056B">
        <w:rPr>
          <w:bCs/>
        </w:rPr>
        <w:t xml:space="preserve"> of </w:t>
      </w:r>
      <w:r w:rsidRPr="0078056B">
        <w:rPr>
          <w:b/>
          <w:bCs/>
          <w:color w:val="06357A"/>
        </w:rPr>
        <w:t>£</w:t>
      </w:r>
      <w:r w:rsidR="00B525CA" w:rsidRPr="0078056B">
        <w:rPr>
          <w:b/>
          <w:color w:val="06357A" w:themeColor="accent1"/>
        </w:rPr>
        <w:t xml:space="preserve">858 </w:t>
      </w:r>
      <w:r w:rsidRPr="0078056B">
        <w:rPr>
          <w:b/>
          <w:bCs/>
          <w:color w:val="06357A"/>
        </w:rPr>
        <w:t>million</w:t>
      </w:r>
      <w:r w:rsidRPr="0078056B">
        <w:rPr>
          <w:bCs/>
        </w:rPr>
        <w:t xml:space="preserve">. </w:t>
      </w:r>
    </w:p>
    <w:p w14:paraId="18A89572" w14:textId="5914A56B" w:rsidR="009B693C" w:rsidRPr="0078056B" w:rsidRDefault="009B693C" w:rsidP="009B693C">
      <w:pPr>
        <w:pStyle w:val="Heading3"/>
      </w:pPr>
      <w:bookmarkStart w:id="119" w:name="_Ref77678877"/>
      <w:r w:rsidRPr="0078056B">
        <w:t>Aggregate impact of the University of Birmingham’s research</w:t>
      </w:r>
      <w:bookmarkEnd w:id="119"/>
    </w:p>
    <w:p w14:paraId="1679F0C9" w14:textId="03AC3021" w:rsidR="009B693C" w:rsidRPr="0078056B" w:rsidRDefault="00935E7D" w:rsidP="009B693C">
      <w:r w:rsidRPr="0078056B">
        <w:rPr>
          <w:noProof/>
        </w:rPr>
        <mc:AlternateContent>
          <mc:Choice Requires="wps">
            <w:drawing>
              <wp:anchor distT="0" distB="0" distL="114300" distR="114300" simplePos="0" relativeHeight="251691008" behindDoc="0" locked="0" layoutInCell="1" allowOverlap="1" wp14:anchorId="2A2E5645" wp14:editId="749B1044">
                <wp:simplePos x="0" y="0"/>
                <wp:positionH relativeFrom="margin">
                  <wp:posOffset>38100</wp:posOffset>
                </wp:positionH>
                <wp:positionV relativeFrom="paragraph">
                  <wp:posOffset>30810</wp:posOffset>
                </wp:positionV>
                <wp:extent cx="2040890" cy="1168400"/>
                <wp:effectExtent l="38100" t="38100" r="92710" b="88900"/>
                <wp:wrapSquare wrapText="bothSides"/>
                <wp:docPr id="1052437886" name="Rectangle 7"/>
                <wp:cNvGraphicFramePr/>
                <a:graphic xmlns:a="http://schemas.openxmlformats.org/drawingml/2006/main">
                  <a:graphicData uri="http://schemas.microsoft.com/office/word/2010/wordprocessingShape">
                    <wps:wsp>
                      <wps:cNvSpPr/>
                      <wps:spPr>
                        <a:xfrm>
                          <a:off x="0" y="0"/>
                          <a:ext cx="2040890" cy="1168400"/>
                        </a:xfrm>
                        <a:prstGeom prst="rect">
                          <a:avLst/>
                        </a:prstGeom>
                        <a:solidFill>
                          <a:schemeClr val="accent1"/>
                        </a:solidFill>
                        <a:ln w="12700">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E4FB73E" w14:textId="77777777" w:rsidR="009B693C" w:rsidRPr="003541E0" w:rsidRDefault="009B693C" w:rsidP="009B693C">
                            <w:pPr>
                              <w:spacing w:before="0" w:after="0"/>
                              <w:jc w:val="center"/>
                              <w:rPr>
                                <w:b/>
                                <w:bCs/>
                                <w:sz w:val="28"/>
                                <w:szCs w:val="28"/>
                              </w:rPr>
                            </w:pPr>
                            <w:r w:rsidRPr="0078056B">
                              <w:rPr>
                                <w:b/>
                                <w:bCs/>
                                <w:sz w:val="28"/>
                                <w:szCs w:val="28"/>
                              </w:rPr>
                              <w:t>The estimated impact of University of Birmingham’s research activities in 2021-22 stood at £1.05 billion.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A2E5645" id="Rectangle 7" o:spid="_x0000_s1036" style="position:absolute;left:0;text-align:left;margin-left:3pt;margin-top:2.45pt;width:160.7pt;height:9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mx3QIAADUGAAAOAAAAZHJzL2Uyb0RvYy54bWysVEtv2zAMvg/YfxB0X21naZsGdYqgRYcB&#10;RVs0HXpWZCkWJkuapMTOfv1IOXHSB3YYloMjSuRH8uPj8qprNNkIH5Q1JS1OckqE4bZSZlXSH8+3&#10;XyaUhMhMxbQ1oqRbEejV7POny9ZNxcjWVlfCEwAxYdq6ktYxummWBV6LhoUT64SBR2l9wyKIfpVV&#10;nrWA3uhslOdnWWt95bzlIgS4vekf6SzhSyl4fJAyiEh0SSG2mL4+fZf4zWaXbLryzNWK78Jg/xBF&#10;w5QBpwPUDYuMrL16B9Uo7m2wMp5w22RWSsVFygGyKfI32Sxq5kTKBcgJbqAp/D9Yfr9ZuEcPNLQu&#10;TAMcMYtO+gb/IT7SJbK2A1mii4TD5Sgf55ML4JTDW1GcTcZ5ojM7mDsf4jdhG4KHknqoRiKJbe5C&#10;BJeguldBb8FqVd0qrZOAHSCutScbBrVjnAsTC6wXWL3S1Ia0EMHoHPyjpbGI0StqgzciNQL4RMGu&#10;o/CLumrJUq/9E6tKeppPwJZUCqP8Oil6AboEMeFHCdMraO+oKfE2vqhYp9IgJwiJSQyRLjXjP/s0&#10;tatZHz5wAzCHlEE7JTIEk6SjOLNDOdIpbrVAV9o8CUlUhQVITtKkvOcJdUPNKtH7L04P/geL5DMB&#10;orYE0gbs4m/YfRo7fTTt4x6Me1IGNx8VcLBInq2Jg3GjjPUfeddD9WWvD+EfUYPH2C074AaaIXGN&#10;V0tbbR89Vi21cXD8VkG17liIj8zDqENxYX3FB/hIbaGR7O5ESW3974/uUR8mEF4paWF1lDT8WjMv&#10;KNHfDczmRTEeA2xMwvj0fASCP35ZHr+YdXNtocMLWJSOpyPqR70/Sm+bF9hyc/QKT8xw8F1SHv1e&#10;uI79SoM9ycV8ntRgvzgW78zCcQRHorFPn7sX5t1uIiMM873drxk2fTOYvS5aGjtfRytVmtoDr7sS&#10;wG5KvbTbo7j8juWkddj2sz8AAAD//wMAUEsDBBQABgAIAAAAIQAOTPLS3AAAAAcBAAAPAAAAZHJz&#10;L2Rvd25yZXYueG1sTI9BT8JAFITvJv6HzTPhJluxYqndEiMhmnAC9b7tPtqN3belu0D59z5PcpzM&#10;ZOabYjm6TpxwCNaTgodpAgKp9sZSo+Drc32fgQhRk9GdJ1RwwQDL8vam0LnxZ9riaRcbwSUUcq2g&#10;jbHPpQx1i06Hqe+R2Nv7wenIcmikGfSZy10nZ0kyl05b4oVW9/jWYv2zOzoF79XhaSXTzF4sefqo&#10;Dt9xv1krNbkbX19ARBzjfxj+8BkdSmaq/JFMEJ2COT+JCtIFCHYfZ88piIpjWbYAWRbymr/8BQAA&#10;//8DAFBLAQItABQABgAIAAAAIQC2gziS/gAAAOEBAAATAAAAAAAAAAAAAAAAAAAAAABbQ29udGVu&#10;dF9UeXBlc10ueG1sUEsBAi0AFAAGAAgAAAAhADj9If/WAAAAlAEAAAsAAAAAAAAAAAAAAAAALwEA&#10;AF9yZWxzLy5yZWxzUEsBAi0AFAAGAAgAAAAhAGvHebHdAgAANQYAAA4AAAAAAAAAAAAAAAAALgIA&#10;AGRycy9lMm9Eb2MueG1sUEsBAi0AFAAGAAgAAAAhAA5M8tLcAAAABwEAAA8AAAAAAAAAAAAAAAAA&#10;NwUAAGRycy9kb3ducmV2LnhtbFBLBQYAAAAABAAEAPMAAABABgAAAAA=&#10;" fillcolor="#06357a [3204]" stroked="f" strokeweight="1pt">
                <v:shadow on="t" color="black" opacity="26214f" origin="-.5,-.5" offset=".74836mm,.74836mm"/>
                <v:textbox>
                  <w:txbxContent>
                    <w:p w14:paraId="2E4FB73E" w14:textId="77777777" w:rsidR="009B693C" w:rsidRPr="003541E0" w:rsidRDefault="009B693C" w:rsidP="009B693C">
                      <w:pPr>
                        <w:spacing w:before="0" w:after="0"/>
                        <w:jc w:val="center"/>
                        <w:rPr>
                          <w:b/>
                          <w:bCs/>
                          <w:sz w:val="28"/>
                          <w:szCs w:val="28"/>
                        </w:rPr>
                      </w:pPr>
                      <w:r w:rsidRPr="0078056B">
                        <w:rPr>
                          <w:b/>
                          <w:bCs/>
                          <w:sz w:val="28"/>
                          <w:szCs w:val="28"/>
                        </w:rPr>
                        <w:t>The estimated impact of University of Birmingham’s research activities in 2021-22 stood at £1.05 billion.</w:t>
                      </w:r>
                    </w:p>
                  </w:txbxContent>
                </v:textbox>
                <w10:wrap type="square" anchorx="margin"/>
              </v:rect>
            </w:pict>
          </mc:Fallback>
        </mc:AlternateContent>
      </w:r>
      <w:r w:rsidR="009B693C" w:rsidRPr="0078056B">
        <w:t xml:space="preserve">Combining the </w:t>
      </w:r>
      <w:r w:rsidR="009B693C" w:rsidRPr="0078056B">
        <w:rPr>
          <w:b/>
          <w:color w:val="06357A" w:themeColor="accent1"/>
        </w:rPr>
        <w:t>direct, indirect, and induced economic impact</w:t>
      </w:r>
      <w:r w:rsidR="009B693C" w:rsidRPr="0078056B">
        <w:t xml:space="preserve"> of the University of Birmingham’s research (</w:t>
      </w:r>
      <w:r w:rsidR="009B693C" w:rsidRPr="0078056B">
        <w:rPr>
          <w:b/>
          <w:color w:val="06357A" w:themeColor="accent1"/>
        </w:rPr>
        <w:t>£192 million</w:t>
      </w:r>
      <w:r w:rsidR="009B693C" w:rsidRPr="0078056B">
        <w:t xml:space="preserve">) with the estimated </w:t>
      </w:r>
      <w:r w:rsidR="009B693C" w:rsidRPr="0078056B">
        <w:rPr>
          <w:b/>
          <w:color w:val="06357A" w:themeColor="accent1"/>
        </w:rPr>
        <w:t>productivity spillovers</w:t>
      </w:r>
      <w:r w:rsidR="009B693C" w:rsidRPr="0078056B">
        <w:t xml:space="preserve"> associated with this research (</w:t>
      </w:r>
      <w:r w:rsidR="009B693C" w:rsidRPr="0078056B">
        <w:rPr>
          <w:b/>
          <w:color w:val="06357A" w:themeColor="accent1"/>
        </w:rPr>
        <w:t>£858 million</w:t>
      </w:r>
      <w:r w:rsidR="009B693C" w:rsidRPr="0078056B">
        <w:t xml:space="preserve">), we estimate that the total economic impact associated with </w:t>
      </w:r>
      <w:r w:rsidR="001279B4" w:rsidRPr="0078056B">
        <w:t>the University’s</w:t>
      </w:r>
      <w:r w:rsidR="009B693C" w:rsidRPr="0078056B">
        <w:t xml:space="preserve"> research activities in 2021-22 stands at approximately </w:t>
      </w:r>
      <w:r w:rsidR="009B693C" w:rsidRPr="0078056B">
        <w:rPr>
          <w:b/>
          <w:color w:val="06357A" w:themeColor="accent1"/>
        </w:rPr>
        <w:t xml:space="preserve">£1,051 million </w:t>
      </w:r>
      <w:r w:rsidR="009B693C" w:rsidRPr="0078056B">
        <w:t xml:space="preserve">(see </w:t>
      </w:r>
      <w:r w:rsidR="009B693C" w:rsidRPr="0078056B">
        <w:fldChar w:fldCharType="begin"/>
      </w:r>
      <w:r w:rsidR="009B693C" w:rsidRPr="0078056B">
        <w:instrText xml:space="preserve"> REF _Ref142660856 \r \h  \* MERGEFORMAT </w:instrText>
      </w:r>
      <w:r w:rsidR="009B693C" w:rsidRPr="0078056B">
        <w:fldChar w:fldCharType="separate"/>
      </w:r>
      <w:r w:rsidR="00E33157">
        <w:t>Figure 7</w:t>
      </w:r>
      <w:r w:rsidR="009B693C" w:rsidRPr="0078056B">
        <w:fldChar w:fldCharType="end"/>
      </w:r>
      <w:r w:rsidR="009B693C" w:rsidRPr="0078056B">
        <w:rPr>
          <w:rFonts w:asciiTheme="minorHAnsi" w:hAnsiTheme="minorHAnsi"/>
        </w:rPr>
        <w:t>)</w:t>
      </w:r>
      <w:r w:rsidR="009B693C" w:rsidRPr="0078056B">
        <w:t xml:space="preserve">. </w:t>
      </w:r>
    </w:p>
    <w:p w14:paraId="5F17159A" w14:textId="77777777" w:rsidR="009B693C" w:rsidRPr="0078056B" w:rsidRDefault="009B693C" w:rsidP="009B693C">
      <w:pPr>
        <w:rPr>
          <w:b/>
          <w:bCs/>
          <w:color w:val="06357A" w:themeColor="accent1"/>
        </w:rPr>
      </w:pPr>
      <w:r w:rsidRPr="0078056B">
        <w:t xml:space="preserve">Comparing the </w:t>
      </w:r>
      <w:r w:rsidRPr="0078056B">
        <w:rPr>
          <w:b/>
          <w:bCs/>
          <w:color w:val="06357A" w:themeColor="accent1"/>
        </w:rPr>
        <w:t>£177 million</w:t>
      </w:r>
      <w:r w:rsidRPr="0078056B">
        <w:rPr>
          <w:color w:val="06357A" w:themeColor="accent1"/>
        </w:rPr>
        <w:t xml:space="preserve"> </w:t>
      </w:r>
      <w:r w:rsidRPr="0078056B">
        <w:t xml:space="preserve">of </w:t>
      </w:r>
      <w:r w:rsidRPr="0078056B">
        <w:rPr>
          <w:rFonts w:eastAsia="Times New Roman" w:cs="Times New Roman"/>
        </w:rPr>
        <w:t>publicly funded</w:t>
      </w:r>
      <w:r w:rsidRPr="0078056B">
        <w:t xml:space="preserve"> research income received by the University of Birmingham in 2021-22 to the </w:t>
      </w:r>
      <w:r w:rsidRPr="0078056B">
        <w:rPr>
          <w:b/>
          <w:bCs/>
          <w:color w:val="06357A" w:themeColor="accent1"/>
        </w:rPr>
        <w:t xml:space="preserve">£1,051 million </w:t>
      </w:r>
      <w:r w:rsidRPr="0078056B">
        <w:t xml:space="preserve">impact from research activities, this suggests that </w:t>
      </w:r>
      <w:r w:rsidRPr="0078056B">
        <w:rPr>
          <w:b/>
          <w:bCs/>
          <w:color w:val="06357A" w:themeColor="accent1"/>
        </w:rPr>
        <w:t xml:space="preserve">for </w:t>
      </w:r>
      <w:r w:rsidRPr="0078056B">
        <w:rPr>
          <w:b/>
          <w:bCs/>
          <w:color w:val="06357A" w:themeColor="accent1"/>
        </w:rPr>
        <w:lastRenderedPageBreak/>
        <w:t xml:space="preserve">each £1 million of </w:t>
      </w:r>
      <w:r w:rsidRPr="0078056B">
        <w:rPr>
          <w:rFonts w:eastAsia="Times New Roman" w:cs="Times New Roman"/>
          <w:b/>
          <w:bCs/>
          <w:color w:val="06357A"/>
          <w:u w:val="single"/>
        </w:rPr>
        <w:t>publicly</w:t>
      </w:r>
      <w:r w:rsidRPr="0078056B">
        <w:rPr>
          <w:rFonts w:eastAsia="Times New Roman" w:cs="Times New Roman"/>
          <w:b/>
          <w:bCs/>
          <w:color w:val="06357A"/>
        </w:rPr>
        <w:t xml:space="preserve"> funded </w:t>
      </w:r>
      <w:r w:rsidRPr="0078056B">
        <w:rPr>
          <w:b/>
          <w:bCs/>
          <w:color w:val="06357A" w:themeColor="accent1"/>
        </w:rPr>
        <w:t>research income, the University of Birmingham’s research activities generated an estimated total of £5.93 million in economic impact across the UK.</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9B693C" w:rsidRPr="0078056B" w14:paraId="2BA1BFB6" w14:textId="77777777" w:rsidTr="000A186C">
        <w:trPr>
          <w:cantSplit/>
        </w:trPr>
        <w:tc>
          <w:tcPr>
            <w:tcW w:w="0" w:type="auto"/>
          </w:tcPr>
          <w:p w14:paraId="13A492D5" w14:textId="77777777" w:rsidR="009B693C" w:rsidRPr="0078056B" w:rsidRDefault="009B693C" w:rsidP="000A186C">
            <w:pPr>
              <w:pStyle w:val="FigureTitle"/>
            </w:pPr>
            <w:bookmarkStart w:id="120" w:name="_Ref142660856"/>
            <w:bookmarkStart w:id="121" w:name="_Toc143772701"/>
            <w:bookmarkStart w:id="122" w:name="_Toc160803969"/>
            <w:bookmarkStart w:id="123" w:name="_Toc168652188"/>
            <w:r w:rsidRPr="0078056B">
              <w:t>Total impact of the University of Birmingham’s research activities in 2021-22, £m</w:t>
            </w:r>
            <w:bookmarkEnd w:id="120"/>
            <w:bookmarkEnd w:id="121"/>
            <w:bookmarkEnd w:id="122"/>
            <w:bookmarkEnd w:id="123"/>
          </w:p>
        </w:tc>
      </w:tr>
      <w:tr w:rsidR="009B693C" w:rsidRPr="0078056B" w14:paraId="15B4F87A" w14:textId="77777777" w:rsidTr="000A186C">
        <w:trPr>
          <w:cantSplit/>
        </w:trPr>
        <w:tc>
          <w:tcPr>
            <w:tcW w:w="0" w:type="auto"/>
          </w:tcPr>
          <w:p w14:paraId="774463C8" w14:textId="77777777" w:rsidR="009B693C" w:rsidRPr="0078056B" w:rsidRDefault="009B693C" w:rsidP="000A186C">
            <w:pPr>
              <w:pStyle w:val="PlaceholderText"/>
            </w:pPr>
            <w:r w:rsidRPr="0078056B">
              <w:rPr>
                <w:noProof/>
              </w:rPr>
              <w:drawing>
                <wp:inline distT="0" distB="0" distL="0" distR="0" wp14:anchorId="5F96233B" wp14:editId="1DD274B7">
                  <wp:extent cx="5509882" cy="1304520"/>
                  <wp:effectExtent l="0" t="0" r="0" b="0"/>
                  <wp:docPr id="2598777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77795" name="Picture 6"/>
                          <pic:cNvPicPr>
                            <a:picLocks noChangeAspect="1" noChangeArrowheads="1"/>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bwMode="auto">
                          <a:xfrm>
                            <a:off x="0" y="0"/>
                            <a:ext cx="5509882" cy="1304520"/>
                          </a:xfrm>
                          <a:prstGeom prst="rect">
                            <a:avLst/>
                          </a:prstGeom>
                        </pic:spPr>
                      </pic:pic>
                    </a:graphicData>
                  </a:graphic>
                </wp:inline>
              </w:drawing>
            </w:r>
          </w:p>
        </w:tc>
      </w:tr>
      <w:tr w:rsidR="009B693C" w:rsidRPr="0078056B" w14:paraId="7842A5FE" w14:textId="77777777" w:rsidTr="000A186C">
        <w:trPr>
          <w:cantSplit/>
        </w:trPr>
        <w:tc>
          <w:tcPr>
            <w:tcW w:w="0" w:type="auto"/>
          </w:tcPr>
          <w:p w14:paraId="5AAD2DDF" w14:textId="77777777" w:rsidR="009B693C" w:rsidRPr="0078056B" w:rsidRDefault="009B693C" w:rsidP="000A186C">
            <w:pPr>
              <w:pStyle w:val="TableNote"/>
            </w:pPr>
            <w:r w:rsidRPr="0078056B">
              <w:t>Note: All values are presented in 2021-22 prices, rounded to the nearest £1 million, and may not add up precisely to the total indicated</w:t>
            </w:r>
          </w:p>
          <w:p w14:paraId="40C59DC7" w14:textId="77777777" w:rsidR="009B693C" w:rsidRPr="0078056B" w:rsidRDefault="009B693C" w:rsidP="000A186C">
            <w:pPr>
              <w:pStyle w:val="TableSource"/>
            </w:pPr>
            <w:r w:rsidRPr="0078056B">
              <w:t>Source: London Economics’ analysis</w:t>
            </w:r>
          </w:p>
        </w:tc>
      </w:tr>
    </w:tbl>
    <w:p w14:paraId="005DEDAE" w14:textId="37DB539A" w:rsidR="00696693" w:rsidRPr="0078056B" w:rsidRDefault="00195FB7" w:rsidP="00195FB7">
      <w:pPr>
        <w:pStyle w:val="BoxTitle"/>
      </w:pPr>
      <w:bookmarkStart w:id="124" w:name="_Toc168652226"/>
      <w:bookmarkStart w:id="125" w:name="_Toc110612578"/>
      <w:bookmarkStart w:id="126" w:name="_Ref113971380"/>
      <w:bookmarkStart w:id="127" w:name="_Ref113978506"/>
      <w:bookmarkStart w:id="128" w:name="_Ref115857106"/>
      <w:bookmarkStart w:id="129" w:name="_Ref115859462"/>
      <w:bookmarkStart w:id="130" w:name="_Ref116913275"/>
      <w:bookmarkStart w:id="131" w:name="_Ref117678128"/>
      <w:bookmarkStart w:id="132" w:name="_Ref134531520"/>
      <w:bookmarkStart w:id="133" w:name="_Ref134791766"/>
      <w:bookmarkStart w:id="134" w:name="_Ref134803123"/>
      <w:bookmarkStart w:id="135" w:name="_Ref135038693"/>
      <w:bookmarkStart w:id="136" w:name="_Toc138171527"/>
      <w:bookmarkStart w:id="137" w:name="_Toc143772682"/>
      <w:bookmarkStart w:id="138" w:name="_Ref160114295"/>
      <w:bookmarkStart w:id="139" w:name="_Ref160115840"/>
      <w:bookmarkStart w:id="140" w:name="_Ref160115899"/>
      <w:bookmarkStart w:id="141" w:name="_Ref160115913"/>
      <w:bookmarkStart w:id="142" w:name="_Ref160117549"/>
      <w:bookmarkStart w:id="143" w:name="_Toc160803940"/>
      <w:bookmarkStart w:id="144" w:name="_Ref162263189"/>
      <w:bookmarkStart w:id="145" w:name="_Ref162268779"/>
      <w:bookmarkStart w:id="146" w:name="_Ref162517697"/>
      <w:r w:rsidRPr="0078056B">
        <w:t>The University of Birmingham’s performance in the 2021 Research Excellence Framework</w:t>
      </w:r>
      <w:bookmarkEnd w:id="124"/>
      <w:r w:rsidRPr="0078056B">
        <w:t xml:space="preserve"> </w:t>
      </w:r>
    </w:p>
    <w:tbl>
      <w:tblPr>
        <w:tblW w:w="0" w:type="auto"/>
        <w:shd w:val="clear" w:color="auto" w:fill="D9D9D9"/>
        <w:tblLayout w:type="fixed"/>
        <w:tblLook w:val="0000" w:firstRow="0" w:lastRow="0" w:firstColumn="0" w:lastColumn="0" w:noHBand="0" w:noVBand="0"/>
      </w:tblPr>
      <w:tblGrid>
        <w:gridCol w:w="8844"/>
      </w:tblGrid>
      <w:tr w:rsidR="00195FB7" w:rsidRPr="0078056B" w14:paraId="7310ADFF" w14:textId="77777777" w:rsidTr="00195FB7">
        <w:tc>
          <w:tcPr>
            <w:tcW w:w="8844" w:type="dxa"/>
            <w:shd w:val="clear" w:color="auto" w:fill="DBE9FD"/>
          </w:tcPr>
          <w:p w14:paraId="4DD3305F" w14:textId="5F420ED4" w:rsidR="00195FB7" w:rsidRPr="0078056B" w:rsidRDefault="00195FB7" w:rsidP="00195FB7">
            <w:pPr>
              <w:spacing w:before="60"/>
            </w:pPr>
            <w:r w:rsidRPr="0078056B">
              <w:t>In addition to the monetary estimates of the impact of the University of Birmingham’s research activities, the results from the 2021 Research Excellence Framework further highlight the University’s world-leading research. Overall, over half (</w:t>
            </w:r>
            <w:r w:rsidRPr="0078056B">
              <w:rPr>
                <w:b/>
                <w:bCs/>
                <w:color w:val="06357A" w:themeColor="text2"/>
              </w:rPr>
              <w:t>52%</w:t>
            </w:r>
            <w:r w:rsidRPr="0078056B">
              <w:t xml:space="preserve">) of the University’s submissions were rated as 4* (world-leading) and </w:t>
            </w:r>
            <w:r w:rsidRPr="0078056B">
              <w:rPr>
                <w:b/>
                <w:bCs/>
                <w:color w:val="06357A" w:themeColor="text2"/>
              </w:rPr>
              <w:t>41%</w:t>
            </w:r>
            <w:r w:rsidRPr="0078056B">
              <w:rPr>
                <w:b/>
                <w:bCs/>
              </w:rPr>
              <w:t xml:space="preserve"> </w:t>
            </w:r>
            <w:r w:rsidRPr="0078056B">
              <w:t xml:space="preserve">were rated as 3* (internationally excellent), compared to the average of </w:t>
            </w:r>
            <w:r w:rsidRPr="0078056B">
              <w:rPr>
                <w:b/>
                <w:bCs/>
                <w:color w:val="06357A" w:themeColor="text2"/>
              </w:rPr>
              <w:t>41%</w:t>
            </w:r>
            <w:r w:rsidRPr="0078056B">
              <w:rPr>
                <w:b/>
                <w:bCs/>
              </w:rPr>
              <w:t xml:space="preserve"> </w:t>
            </w:r>
            <w:r w:rsidRPr="0078056B">
              <w:t xml:space="preserve">and </w:t>
            </w:r>
            <w:r w:rsidRPr="0078056B">
              <w:rPr>
                <w:b/>
                <w:bCs/>
                <w:color w:val="06357A" w:themeColor="text2"/>
              </w:rPr>
              <w:t>43%</w:t>
            </w:r>
            <w:r w:rsidRPr="0078056B">
              <w:rPr>
                <w:b/>
                <w:bCs/>
              </w:rPr>
              <w:t xml:space="preserve"> </w:t>
            </w:r>
            <w:r w:rsidRPr="0078056B">
              <w:t>respectively across all UK institutions.</w:t>
            </w:r>
          </w:p>
          <w:p w14:paraId="26D05948" w14:textId="34B902B6" w:rsidR="00195FB7" w:rsidRPr="0078056B" w:rsidRDefault="00195FB7" w:rsidP="00195FB7">
            <w:pPr>
              <w:spacing w:before="60"/>
            </w:pPr>
            <w:r w:rsidRPr="0078056B">
              <w:t xml:space="preserve">The University’s strength in certain areas was highlighted by being ranked in the top 5 in the UK in </w:t>
            </w:r>
            <w:r w:rsidRPr="0078056B">
              <w:rPr>
                <w:b/>
                <w:bCs/>
                <w:color w:val="06357A" w:themeColor="text2"/>
              </w:rPr>
              <w:t>9</w:t>
            </w:r>
            <w:r w:rsidRPr="0078056B">
              <w:rPr>
                <w:b/>
                <w:bCs/>
              </w:rPr>
              <w:t xml:space="preserve"> </w:t>
            </w:r>
            <w:r w:rsidRPr="0078056B">
              <w:t>units of assessment</w:t>
            </w:r>
            <w:r w:rsidR="00960FC6" w:rsidRPr="0078056B">
              <w:t xml:space="preserve"> (based on the proportion of 4* submissions)</w:t>
            </w:r>
            <w:r w:rsidRPr="0078056B">
              <w:t xml:space="preserve">. The University ranked </w:t>
            </w:r>
            <w:r w:rsidRPr="0078056B">
              <w:rPr>
                <w:b/>
                <w:bCs/>
                <w:color w:val="06357A" w:themeColor="text2"/>
              </w:rPr>
              <w:t>1</w:t>
            </w:r>
            <w:r w:rsidRPr="0078056B">
              <w:rPr>
                <w:b/>
                <w:bCs/>
                <w:color w:val="06357A" w:themeColor="text2"/>
                <w:vertAlign w:val="superscript"/>
              </w:rPr>
              <w:t>st</w:t>
            </w:r>
            <w:r w:rsidRPr="0078056B">
              <w:rPr>
                <w:b/>
                <w:bCs/>
                <w:color w:val="06357A" w:themeColor="text2"/>
              </w:rPr>
              <w:t xml:space="preserve"> </w:t>
            </w:r>
            <w:r w:rsidRPr="0078056B">
              <w:t xml:space="preserve">for Physics; </w:t>
            </w:r>
            <w:r w:rsidRPr="0078056B">
              <w:rPr>
                <w:b/>
                <w:bCs/>
                <w:color w:val="06357A" w:themeColor="text2"/>
              </w:rPr>
              <w:t>2</w:t>
            </w:r>
            <w:r w:rsidRPr="0078056B">
              <w:rPr>
                <w:b/>
                <w:bCs/>
                <w:color w:val="06357A" w:themeColor="text2"/>
                <w:vertAlign w:val="superscript"/>
              </w:rPr>
              <w:t>nd</w:t>
            </w:r>
            <w:r w:rsidRPr="0078056B">
              <w:rPr>
                <w:b/>
                <w:bCs/>
              </w:rPr>
              <w:t xml:space="preserve"> </w:t>
            </w:r>
            <w:r w:rsidRPr="0078056B">
              <w:t xml:space="preserve">for Earth Systems and Environmental Sciences; </w:t>
            </w:r>
            <w:r w:rsidRPr="0078056B">
              <w:rPr>
                <w:b/>
                <w:bCs/>
                <w:color w:val="06357A" w:themeColor="text2"/>
              </w:rPr>
              <w:t>3</w:t>
            </w:r>
            <w:r w:rsidRPr="0078056B">
              <w:rPr>
                <w:b/>
                <w:bCs/>
                <w:color w:val="06357A" w:themeColor="text2"/>
                <w:vertAlign w:val="superscript"/>
              </w:rPr>
              <w:t>rd</w:t>
            </w:r>
            <w:r w:rsidRPr="0078056B">
              <w:rPr>
                <w:b/>
                <w:bCs/>
                <w:color w:val="06357A" w:themeColor="text2"/>
              </w:rPr>
              <w:t xml:space="preserve"> </w:t>
            </w:r>
            <w:r w:rsidRPr="0078056B">
              <w:t xml:space="preserve">for Computer Science and Informatics; Philosophy; Theology and Religious Studies; Area Studies; </w:t>
            </w:r>
            <w:r w:rsidRPr="0078056B">
              <w:rPr>
                <w:b/>
                <w:bCs/>
                <w:color w:val="06357A" w:themeColor="text2"/>
              </w:rPr>
              <w:t>4</w:t>
            </w:r>
            <w:r w:rsidRPr="0078056B">
              <w:rPr>
                <w:b/>
                <w:bCs/>
                <w:color w:val="06357A" w:themeColor="text2"/>
                <w:vertAlign w:val="superscript"/>
              </w:rPr>
              <w:t>th</w:t>
            </w:r>
            <w:r w:rsidRPr="0078056B">
              <w:rPr>
                <w:b/>
                <w:bCs/>
              </w:rPr>
              <w:t xml:space="preserve"> </w:t>
            </w:r>
            <w:r w:rsidRPr="0078056B">
              <w:t xml:space="preserve">for Education; and </w:t>
            </w:r>
            <w:r w:rsidRPr="0078056B">
              <w:rPr>
                <w:b/>
                <w:bCs/>
                <w:color w:val="06357A" w:themeColor="text2"/>
              </w:rPr>
              <w:t>5</w:t>
            </w:r>
            <w:r w:rsidRPr="0078056B">
              <w:rPr>
                <w:b/>
                <w:bCs/>
                <w:color w:val="06357A" w:themeColor="text2"/>
                <w:vertAlign w:val="superscript"/>
              </w:rPr>
              <w:t>th</w:t>
            </w:r>
            <w:r w:rsidRPr="0078056B">
              <w:rPr>
                <w:b/>
                <w:bCs/>
              </w:rPr>
              <w:t xml:space="preserve"> </w:t>
            </w:r>
            <w:r w:rsidRPr="0078056B">
              <w:t>for Public Health, Health Services and Primary Care; Sport and Exercise Sciences, Leisure and Tourism.</w:t>
            </w:r>
          </w:p>
          <w:p w14:paraId="2C7DD993" w14:textId="5601A64B" w:rsidR="00960FC6" w:rsidRPr="0078056B" w:rsidRDefault="00960FC6" w:rsidP="00B32115">
            <w:pPr>
              <w:spacing w:before="60" w:after="60"/>
            </w:pPr>
            <w:r w:rsidRPr="0078056B">
              <w:t xml:space="preserve">In addition, the University was ranked </w:t>
            </w:r>
            <w:r w:rsidRPr="0078056B">
              <w:rPr>
                <w:b/>
                <w:bCs/>
                <w:color w:val="06357A" w:themeColor="text2"/>
              </w:rPr>
              <w:t xml:space="preserve">top in the UK for research impact </w:t>
            </w:r>
            <w:r w:rsidRPr="0078056B">
              <w:t xml:space="preserve">(again, based on the proportion of 4* submissions) for </w:t>
            </w:r>
            <w:r w:rsidRPr="0078056B">
              <w:rPr>
                <w:b/>
                <w:bCs/>
                <w:color w:val="06357A" w:themeColor="text2"/>
              </w:rPr>
              <w:t>4</w:t>
            </w:r>
            <w:r w:rsidRPr="0078056B">
              <w:rPr>
                <w:b/>
                <w:bCs/>
              </w:rPr>
              <w:t xml:space="preserve"> </w:t>
            </w:r>
            <w:r w:rsidRPr="0078056B">
              <w:t>units of assessment: Computer Science and Informatics; Public Health, Health Services and Primary Care; Education; and Theology and Religious Studies.</w:t>
            </w:r>
          </w:p>
        </w:tc>
      </w:tr>
    </w:tbl>
    <w:p w14:paraId="2FE70526" w14:textId="5BC349E8" w:rsidR="009B693C" w:rsidRPr="0078056B" w:rsidRDefault="009B693C" w:rsidP="009B693C">
      <w:pPr>
        <w:pStyle w:val="Heading2"/>
        <w:numPr>
          <w:ilvl w:val="1"/>
          <w:numId w:val="13"/>
        </w:numPr>
      </w:pPr>
      <w:bookmarkStart w:id="147" w:name="_Ref162533067"/>
      <w:bookmarkStart w:id="148" w:name="_Ref162534636"/>
      <w:bookmarkStart w:id="149" w:name="_Ref162534718"/>
      <w:bookmarkStart w:id="150" w:name="_Toc168652120"/>
      <w:r w:rsidRPr="0078056B">
        <w:t>Economic impact of the University of Birmingham’s knowledge exchange activities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4CBD50A8" w14:textId="55493D8B" w:rsidR="009B693C" w:rsidRPr="0078056B" w:rsidRDefault="009B693C" w:rsidP="009B693C">
      <w:r w:rsidRPr="0078056B">
        <w:t xml:space="preserve">In addition to its research activities, the University of Birmingham generates significant economic impacts through a range of knowledge exchange activities. </w:t>
      </w:r>
      <w:r w:rsidRPr="0078056B">
        <w:rPr>
          <w:rFonts w:asciiTheme="minorHAnsi" w:hAnsiTheme="minorHAnsi" w:cstheme="minorHAnsi"/>
        </w:rPr>
        <w:t xml:space="preserve">The methodology of this section focuses on the impact of </w:t>
      </w:r>
      <w:r w:rsidRPr="0078056B">
        <w:rPr>
          <w:b/>
          <w:bCs/>
          <w:color w:val="06357A"/>
        </w:rPr>
        <w:t>spinout and start-up companies</w:t>
      </w:r>
      <w:r w:rsidRPr="0078056B">
        <w:t xml:space="preserve"> linked to the University of Birmingham and the </w:t>
      </w:r>
      <w:r w:rsidRPr="0078056B">
        <w:rPr>
          <w:b/>
          <w:bCs/>
          <w:color w:val="06357A"/>
        </w:rPr>
        <w:t>wider knowledge exchange activities</w:t>
      </w:r>
      <w:r w:rsidRPr="0078056B">
        <w:t xml:space="preserve"> </w:t>
      </w:r>
      <w:r w:rsidR="009477CD" w:rsidRPr="0078056B">
        <w:t xml:space="preserve">undertaken </w:t>
      </w:r>
      <w:r w:rsidRPr="0078056B">
        <w:t>at the University, including:</w:t>
      </w:r>
    </w:p>
    <w:p w14:paraId="15CC0C4F" w14:textId="77777777" w:rsidR="009B693C" w:rsidRPr="0078056B" w:rsidRDefault="009B693C" w:rsidP="003A6119">
      <w:pPr>
        <w:pStyle w:val="MinorBullet1"/>
        <w:numPr>
          <w:ilvl w:val="0"/>
          <w:numId w:val="25"/>
        </w:numPr>
      </w:pPr>
      <w:r w:rsidRPr="0078056B">
        <w:rPr>
          <w:b/>
          <w:bCs/>
          <w:color w:val="06357A"/>
        </w:rPr>
        <w:t xml:space="preserve">Contract research </w:t>
      </w:r>
      <w:r w:rsidRPr="0078056B">
        <w:t>provided by the University of Birmingham;</w:t>
      </w:r>
    </w:p>
    <w:p w14:paraId="5000ECEB" w14:textId="77777777" w:rsidR="009B693C" w:rsidRPr="0078056B" w:rsidRDefault="009B693C" w:rsidP="003A6119">
      <w:pPr>
        <w:pStyle w:val="MinorBullet1"/>
        <w:numPr>
          <w:ilvl w:val="0"/>
          <w:numId w:val="25"/>
        </w:numPr>
      </w:pPr>
      <w:r w:rsidRPr="0078056B">
        <w:rPr>
          <w:b/>
          <w:bCs/>
          <w:color w:val="06357A"/>
        </w:rPr>
        <w:t xml:space="preserve">Consultancy services </w:t>
      </w:r>
      <w:r w:rsidRPr="0078056B">
        <w:t>provided by the University of Birmingham;</w:t>
      </w:r>
    </w:p>
    <w:p w14:paraId="4E8DD261" w14:textId="77777777" w:rsidR="009B693C" w:rsidRPr="0078056B" w:rsidRDefault="009B693C" w:rsidP="003A6119">
      <w:pPr>
        <w:pStyle w:val="MinorBullet1"/>
        <w:numPr>
          <w:ilvl w:val="0"/>
          <w:numId w:val="25"/>
        </w:numPr>
      </w:pPr>
      <w:r w:rsidRPr="0078056B">
        <w:rPr>
          <w:b/>
          <w:bCs/>
          <w:color w:val="06357A"/>
        </w:rPr>
        <w:t xml:space="preserve">Licensing of University IP </w:t>
      </w:r>
      <w:r w:rsidRPr="0078056B">
        <w:t>to other organisations;</w:t>
      </w:r>
    </w:p>
    <w:p w14:paraId="31CCB95E" w14:textId="77777777" w:rsidR="009B693C" w:rsidRPr="0078056B" w:rsidRDefault="009B693C" w:rsidP="003A6119">
      <w:pPr>
        <w:pStyle w:val="MinorBullet1"/>
        <w:numPr>
          <w:ilvl w:val="0"/>
          <w:numId w:val="25"/>
        </w:numPr>
      </w:pPr>
      <w:r w:rsidRPr="0078056B">
        <w:t xml:space="preserve">The </w:t>
      </w:r>
      <w:r w:rsidRPr="0078056B">
        <w:rPr>
          <w:b/>
          <w:bCs/>
          <w:color w:val="06357A"/>
        </w:rPr>
        <w:t>business and community courses</w:t>
      </w:r>
      <w:r w:rsidRPr="0078056B">
        <w:t xml:space="preserve"> provided by the University of Birmingham; and</w:t>
      </w:r>
    </w:p>
    <w:p w14:paraId="15F014BB" w14:textId="77777777" w:rsidR="009B693C" w:rsidRPr="0078056B" w:rsidRDefault="009B693C" w:rsidP="003A6119">
      <w:pPr>
        <w:pStyle w:val="MinorBullet1"/>
        <w:numPr>
          <w:ilvl w:val="0"/>
          <w:numId w:val="25"/>
        </w:numPr>
      </w:pPr>
      <w:r w:rsidRPr="0078056B">
        <w:rPr>
          <w:b/>
          <w:bCs/>
          <w:color w:val="06357A"/>
        </w:rPr>
        <w:t>Facilities and equipment hire</w:t>
      </w:r>
      <w:r w:rsidRPr="0078056B">
        <w:t>, and related activities.</w:t>
      </w:r>
    </w:p>
    <w:p w14:paraId="36580BA6" w14:textId="61C3DB19" w:rsidR="009B693C" w:rsidRPr="0078056B" w:rsidRDefault="009B693C" w:rsidP="009B693C">
      <w:r w:rsidRPr="0078056B">
        <w:lastRenderedPageBreak/>
        <w:t xml:space="preserve">Specifically, the analysis captures the direct, indirect, and induced economic impacts associated with a range of these knowledge exchange activities using </w:t>
      </w:r>
      <w:r w:rsidRPr="0078056B">
        <w:rPr>
          <w:b/>
          <w:bCs/>
          <w:color w:val="06357A"/>
        </w:rPr>
        <w:t>economic multipliers</w:t>
      </w:r>
      <w:r w:rsidRPr="0078056B">
        <w:t xml:space="preserve"> derived from Input-Output tables, as described in Section </w:t>
      </w:r>
      <w:r w:rsidRPr="0078056B">
        <w:fldChar w:fldCharType="begin"/>
      </w:r>
      <w:r w:rsidRPr="0078056B">
        <w:instrText xml:space="preserve"> REF _Ref160114268 \r \h  \* MERGEFORMAT </w:instrText>
      </w:r>
      <w:r w:rsidRPr="0078056B">
        <w:fldChar w:fldCharType="separate"/>
      </w:r>
      <w:r w:rsidR="00E33157">
        <w:t>2.1.3</w:t>
      </w:r>
      <w:r w:rsidRPr="0078056B">
        <w:fldChar w:fldCharType="end"/>
      </w:r>
      <w:r w:rsidRPr="0078056B">
        <w:t>.</w:t>
      </w:r>
    </w:p>
    <w:p w14:paraId="6AC39E3E" w14:textId="77777777" w:rsidR="009B693C" w:rsidRPr="0078056B" w:rsidRDefault="009B693C" w:rsidP="009B693C">
      <w:pPr>
        <w:pStyle w:val="Heading3"/>
      </w:pPr>
      <w:r w:rsidRPr="0078056B">
        <w:t>Economic impact of the University of Birmingham’s spinout and start-up companies</w:t>
      </w:r>
    </w:p>
    <w:p w14:paraId="6D9AA08A" w14:textId="77777777" w:rsidR="009B693C" w:rsidRPr="0078056B" w:rsidRDefault="009B693C" w:rsidP="009B693C">
      <w:pPr>
        <w:spacing w:before="120" w:after="120"/>
      </w:pPr>
      <w:r w:rsidRPr="0078056B">
        <w:t xml:space="preserve">To assess the </w:t>
      </w:r>
      <w:r w:rsidRPr="0078056B">
        <w:rPr>
          <w:b/>
          <w:bCs/>
          <w:color w:val="06357A" w:themeColor="accent1"/>
        </w:rPr>
        <w:t>direct impact</w:t>
      </w:r>
      <w:r w:rsidRPr="0078056B">
        <w:t xml:space="preserve"> associated with the University of Birmingham’s UK-based spinout and start-up companies, we made use of information on </w:t>
      </w:r>
      <w:r w:rsidRPr="0078056B">
        <w:rPr>
          <w:b/>
          <w:bCs/>
          <w:color w:val="06357A" w:themeColor="accent1"/>
        </w:rPr>
        <w:t>turnover</w:t>
      </w:r>
      <w:r w:rsidRPr="0078056B">
        <w:t xml:space="preserve"> or </w:t>
      </w:r>
      <w:r w:rsidRPr="0078056B">
        <w:rPr>
          <w:b/>
          <w:bCs/>
          <w:color w:val="06357A" w:themeColor="accent1"/>
        </w:rPr>
        <w:t>investment funding</w:t>
      </w:r>
      <w:r w:rsidRPr="0078056B">
        <w:rPr>
          <w:color w:val="06357A"/>
        </w:rPr>
        <w:t xml:space="preserve"> </w:t>
      </w:r>
      <w:r w:rsidRPr="0078056B">
        <w:t xml:space="preserve">data (as a measure of economic output) and </w:t>
      </w:r>
      <w:r w:rsidRPr="0078056B">
        <w:rPr>
          <w:b/>
          <w:bCs/>
          <w:color w:val="06357A" w:themeColor="accent1"/>
        </w:rPr>
        <w:t>FTE</w:t>
      </w:r>
      <w:r w:rsidRPr="0078056B">
        <w:t xml:space="preserve"> </w:t>
      </w:r>
      <w:r w:rsidRPr="0078056B">
        <w:rPr>
          <w:b/>
          <w:bCs/>
          <w:color w:val="06357A" w:themeColor="accent1"/>
        </w:rPr>
        <w:t>employment</w:t>
      </w:r>
      <w:r w:rsidRPr="0078056B">
        <w:t xml:space="preserve"> associated with a total of </w:t>
      </w:r>
      <w:r w:rsidRPr="0078056B">
        <w:rPr>
          <w:b/>
          <w:bCs/>
          <w:color w:val="06357A" w:themeColor="accent1"/>
        </w:rPr>
        <w:t>41</w:t>
      </w:r>
      <w:r w:rsidRPr="0078056B">
        <w:t xml:space="preserve"> spinout companies and </w:t>
      </w:r>
      <w:r w:rsidRPr="0078056B">
        <w:rPr>
          <w:b/>
          <w:bCs/>
          <w:color w:val="06357A" w:themeColor="accent1"/>
        </w:rPr>
        <w:t>310</w:t>
      </w:r>
      <w:r w:rsidRPr="0078056B">
        <w:t xml:space="preserve"> start-ups that were active and based in the UK in 2021-22, where available</w:t>
      </w:r>
      <w:r w:rsidRPr="0078056B">
        <w:rPr>
          <w:rStyle w:val="FootnoteReference"/>
        </w:rPr>
        <w:footnoteReference w:id="32"/>
      </w:r>
      <w:r w:rsidRPr="0078056B">
        <w:t>. The information on each company’s turnover and employment was based on data from Bureau van Dijk’s FAME database (based on Companies House information)</w:t>
      </w:r>
      <w:bookmarkStart w:id="151" w:name="_Ref135126199"/>
      <w:r w:rsidRPr="0078056B">
        <w:rPr>
          <w:rStyle w:val="FootnoteReference"/>
        </w:rPr>
        <w:footnoteReference w:id="33"/>
      </w:r>
      <w:bookmarkEnd w:id="151"/>
      <w:r w:rsidRPr="0078056B">
        <w:t xml:space="preserve">. The </w:t>
      </w:r>
      <w:r w:rsidRPr="0078056B">
        <w:rPr>
          <w:b/>
          <w:bCs/>
          <w:color w:val="06357A" w:themeColor="accent1"/>
        </w:rPr>
        <w:t>direct</w:t>
      </w:r>
      <w:r w:rsidRPr="0078056B">
        <w:t xml:space="preserve"> </w:t>
      </w:r>
      <w:r w:rsidRPr="0078056B">
        <w:rPr>
          <w:b/>
          <w:bCs/>
          <w:color w:val="06357A" w:themeColor="accent1"/>
        </w:rPr>
        <w:t>GVA</w:t>
      </w:r>
      <w:r w:rsidRPr="0078056B">
        <w:t xml:space="preserve"> generated was estimated by multiplying the </w:t>
      </w:r>
      <w:r w:rsidRPr="0078056B">
        <w:rPr>
          <w:b/>
          <w:bCs/>
          <w:color w:val="06357A" w:themeColor="accent1"/>
        </w:rPr>
        <w:t>turnover</w:t>
      </w:r>
      <w:r w:rsidRPr="0078056B">
        <w:t xml:space="preserve"> of each firm by the </w:t>
      </w:r>
      <w:r w:rsidRPr="0078056B">
        <w:rPr>
          <w:b/>
          <w:bCs/>
          <w:color w:val="06357A" w:themeColor="accent1"/>
        </w:rPr>
        <w:t>average</w:t>
      </w:r>
      <w:r w:rsidRPr="0078056B">
        <w:t xml:space="preserve"> </w:t>
      </w:r>
      <w:r w:rsidRPr="0078056B">
        <w:rPr>
          <w:b/>
          <w:bCs/>
          <w:color w:val="06357A" w:themeColor="accent1"/>
        </w:rPr>
        <w:t>ratio</w:t>
      </w:r>
      <w:r w:rsidRPr="0078056B">
        <w:t xml:space="preserve"> of </w:t>
      </w:r>
      <w:r w:rsidRPr="0078056B">
        <w:rPr>
          <w:b/>
          <w:bCs/>
          <w:color w:val="06357A" w:themeColor="accent1"/>
        </w:rPr>
        <w:t>GVA</w:t>
      </w:r>
      <w:r w:rsidRPr="0078056B">
        <w:t xml:space="preserve"> to </w:t>
      </w:r>
      <w:r w:rsidRPr="0078056B">
        <w:rPr>
          <w:b/>
          <w:bCs/>
          <w:color w:val="06357A" w:themeColor="accent1"/>
        </w:rPr>
        <w:t>output</w:t>
      </w:r>
      <w:r w:rsidRPr="0078056B">
        <w:t xml:space="preserve"> among organisations within the given company’s industry and region</w:t>
      </w:r>
      <w:r w:rsidRPr="0078056B">
        <w:rPr>
          <w:rStyle w:val="FootnoteReference"/>
        </w:rPr>
        <w:footnoteReference w:id="34"/>
      </w:r>
      <w:r w:rsidRPr="0078056B">
        <w:rPr>
          <w:vertAlign w:val="superscript"/>
        </w:rPr>
        <w:t>,</w:t>
      </w:r>
      <w:r w:rsidRPr="0078056B">
        <w:rPr>
          <w:rStyle w:val="FootnoteReference"/>
        </w:rPr>
        <w:footnoteReference w:id="35"/>
      </w:r>
      <w:r w:rsidRPr="0078056B">
        <w:t>.</w:t>
      </w:r>
    </w:p>
    <w:p w14:paraId="600DBD2D" w14:textId="61C6D7C1" w:rsidR="009B693C" w:rsidRPr="0078056B" w:rsidRDefault="009B693C" w:rsidP="009B693C">
      <w:r w:rsidRPr="0078056B">
        <w:t xml:space="preserve">Considering spinout and start-up companies in turn, we adopt the approach outlined above to estimate the direct impact associated with the activities of all the University of Birmingham </w:t>
      </w:r>
      <w:r w:rsidRPr="0078056B">
        <w:rPr>
          <w:b/>
          <w:bCs/>
          <w:color w:val="06357A" w:themeColor="accent1"/>
        </w:rPr>
        <w:t>spinout companies</w:t>
      </w:r>
      <w:r w:rsidRPr="0078056B">
        <w:t xml:space="preserve"> for which data was available. For the academic year 2021-22, the </w:t>
      </w:r>
      <w:r w:rsidRPr="0078056B">
        <w:rPr>
          <w:b/>
          <w:bCs/>
          <w:color w:val="06357A" w:themeColor="accent1"/>
        </w:rPr>
        <w:t>total direct impact</w:t>
      </w:r>
      <w:r w:rsidRPr="0078056B">
        <w:t xml:space="preserve"> of the University of Birmingham’s spinout companies was estimated at </w:t>
      </w:r>
      <w:r w:rsidRPr="0078056B">
        <w:rPr>
          <w:b/>
          <w:bCs/>
          <w:color w:val="06357A" w:themeColor="accent1"/>
        </w:rPr>
        <w:t>£13 million</w:t>
      </w:r>
      <w:r w:rsidRPr="0078056B">
        <w:t xml:space="preserve"> in economic output (i.e. turnover) terms, </w:t>
      </w:r>
      <w:r w:rsidRPr="0078056B">
        <w:rPr>
          <w:b/>
          <w:bCs/>
          <w:color w:val="06357A" w:themeColor="accent1"/>
        </w:rPr>
        <w:t>455 FTE staff</w:t>
      </w:r>
      <w:r w:rsidRPr="0078056B">
        <w:t xml:space="preserve">, and </w:t>
      </w:r>
      <w:r w:rsidRPr="0078056B">
        <w:rPr>
          <w:b/>
          <w:bCs/>
          <w:color w:val="06357A" w:themeColor="accent1"/>
        </w:rPr>
        <w:t>£7 million</w:t>
      </w:r>
      <w:r w:rsidRPr="0078056B">
        <w:rPr>
          <w:color w:val="06357A" w:themeColor="accent1"/>
        </w:rPr>
        <w:t xml:space="preserve"> </w:t>
      </w:r>
      <w:r w:rsidRPr="0078056B">
        <w:t xml:space="preserve">of GVA. </w:t>
      </w:r>
      <w:r w:rsidR="007F2A6E" w:rsidRPr="0078056B">
        <w:t>Similarly</w:t>
      </w:r>
      <w:r w:rsidRPr="0078056B">
        <w:t xml:space="preserve">, the direct impact associated with the activities of the University of Birmingham’s </w:t>
      </w:r>
      <w:r w:rsidRPr="0078056B">
        <w:rPr>
          <w:b/>
          <w:bCs/>
          <w:color w:val="06357A" w:themeColor="accent1"/>
        </w:rPr>
        <w:t>start-up companies</w:t>
      </w:r>
      <w:r w:rsidRPr="0078056B">
        <w:t xml:space="preserve"> in 2021-22 was estimated at </w:t>
      </w:r>
      <w:r w:rsidRPr="0078056B">
        <w:rPr>
          <w:b/>
          <w:bCs/>
          <w:color w:val="06357A" w:themeColor="accent1"/>
        </w:rPr>
        <w:t>£17 million</w:t>
      </w:r>
      <w:r w:rsidRPr="0078056B">
        <w:t xml:space="preserve"> in economic output terms, </w:t>
      </w:r>
      <w:r w:rsidRPr="0078056B">
        <w:rPr>
          <w:b/>
          <w:bCs/>
          <w:color w:val="06357A" w:themeColor="accent1"/>
        </w:rPr>
        <w:t>360 FTE staff</w:t>
      </w:r>
      <w:r w:rsidRPr="0078056B">
        <w:t xml:space="preserve">, and </w:t>
      </w:r>
      <w:r w:rsidRPr="0078056B">
        <w:rPr>
          <w:b/>
          <w:bCs/>
          <w:color w:val="06357A" w:themeColor="accent1"/>
        </w:rPr>
        <w:t>£9 million</w:t>
      </w:r>
      <w:r w:rsidRPr="0078056B">
        <w:rPr>
          <w:color w:val="06357A" w:themeColor="accent1"/>
        </w:rPr>
        <w:t xml:space="preserve"> </w:t>
      </w:r>
      <w:r w:rsidRPr="0078056B">
        <w:t>of GVA.</w:t>
      </w:r>
    </w:p>
    <w:p w14:paraId="0A1F48AF" w14:textId="45F5EE46" w:rsidR="009B693C" w:rsidRPr="0078056B" w:rsidRDefault="009B693C" w:rsidP="009B693C">
      <w:r w:rsidRPr="0078056B">
        <w:t xml:space="preserve">We applied relevant </w:t>
      </w:r>
      <w:r w:rsidRPr="0078056B">
        <w:rPr>
          <w:b/>
          <w:bCs/>
          <w:color w:val="06357A" w:themeColor="accent1"/>
        </w:rPr>
        <w:t>economic</w:t>
      </w:r>
      <w:r w:rsidRPr="0078056B">
        <w:t xml:space="preserve"> </w:t>
      </w:r>
      <w:r w:rsidRPr="0078056B">
        <w:rPr>
          <w:b/>
          <w:bCs/>
          <w:color w:val="06357A" w:themeColor="accent1"/>
        </w:rPr>
        <w:t>multipliers</w:t>
      </w:r>
      <w:r w:rsidRPr="0078056B">
        <w:t xml:space="preserve"> (derived from our above-described Input-Output analysis) to estimate the </w:t>
      </w:r>
      <w:r w:rsidRPr="0078056B">
        <w:rPr>
          <w:b/>
          <w:bCs/>
          <w:color w:val="06357A" w:themeColor="accent1"/>
        </w:rPr>
        <w:t>total</w:t>
      </w:r>
      <w:r w:rsidRPr="0078056B">
        <w:t xml:space="preserve"> </w:t>
      </w:r>
      <w:r w:rsidRPr="0078056B">
        <w:rPr>
          <w:b/>
          <w:bCs/>
          <w:color w:val="06357A" w:themeColor="accent1"/>
        </w:rPr>
        <w:t>direct, indirect, and induced</w:t>
      </w:r>
      <w:r w:rsidRPr="0078056B">
        <w:t xml:space="preserve"> economic impacts of spinout and start-up companies associated with the University of Birmingham. Specifically, we assigned relevant economic multipliers to each active spinout and start-up company in 2021-22, based on each firm’s industry classification and the region of its main registered office address.</w:t>
      </w:r>
    </w:p>
    <w:p w14:paraId="6D34132D" w14:textId="294882DF" w:rsidR="009B693C" w:rsidRPr="0078056B" w:rsidRDefault="009B693C" w:rsidP="009B693C">
      <w:r w:rsidRPr="0078056B">
        <w:t xml:space="preserve">Applying these multipliers to the above direct impacts, the total economic impact associated with the activities of </w:t>
      </w:r>
      <w:r w:rsidR="001279B4" w:rsidRPr="0078056B">
        <w:t>the University’s</w:t>
      </w:r>
      <w:r w:rsidRPr="0078056B">
        <w:t xml:space="preserve"> </w:t>
      </w:r>
      <w:r w:rsidRPr="0078056B">
        <w:rPr>
          <w:b/>
          <w:bCs/>
          <w:color w:val="06357A" w:themeColor="accent1"/>
        </w:rPr>
        <w:t>spinout companies</w:t>
      </w:r>
      <w:r w:rsidRPr="0078056B">
        <w:t xml:space="preserve"> in the 2021-22 academic year was estimated to be </w:t>
      </w:r>
      <w:r w:rsidRPr="0078056B">
        <w:rPr>
          <w:b/>
          <w:bCs/>
          <w:color w:val="06357A" w:themeColor="accent1"/>
        </w:rPr>
        <w:t>£33 million</w:t>
      </w:r>
      <w:r w:rsidRPr="0078056B">
        <w:t xml:space="preserve"> across the UK economy, of which </w:t>
      </w:r>
      <w:r w:rsidRPr="0078056B">
        <w:rPr>
          <w:b/>
          <w:bCs/>
          <w:color w:val="06357A" w:themeColor="accent1"/>
        </w:rPr>
        <w:t>£1.4 million</w:t>
      </w:r>
      <w:r w:rsidRPr="0078056B">
        <w:t xml:space="preserve"> (</w:t>
      </w:r>
      <w:r w:rsidRPr="0078056B">
        <w:rPr>
          <w:b/>
          <w:bCs/>
          <w:color w:val="06357A" w:themeColor="accent1"/>
        </w:rPr>
        <w:t>4%</w:t>
      </w:r>
      <w:r w:rsidRPr="0078056B">
        <w:t xml:space="preserve">) occurred in the West Midlands (see </w:t>
      </w:r>
      <w:r w:rsidRPr="0078056B">
        <w:fldChar w:fldCharType="begin"/>
      </w:r>
      <w:r w:rsidRPr="0078056B">
        <w:instrText xml:space="preserve"> REF _Ref69121530 \r \h  \* MERGEFORMAT </w:instrText>
      </w:r>
      <w:r w:rsidRPr="0078056B">
        <w:fldChar w:fldCharType="separate"/>
      </w:r>
      <w:r w:rsidR="00E33157">
        <w:t>Table 4</w:t>
      </w:r>
      <w:r w:rsidRPr="0078056B">
        <w:fldChar w:fldCharType="end"/>
      </w:r>
      <w:r w:rsidRPr="0078056B">
        <w:t xml:space="preserve">). The estimated total number of FTE jobs supported stood at </w:t>
      </w:r>
      <w:r w:rsidRPr="0078056B">
        <w:rPr>
          <w:b/>
          <w:bCs/>
          <w:color w:val="06357A" w:themeColor="accent1"/>
        </w:rPr>
        <w:t>1,275</w:t>
      </w:r>
      <w:r w:rsidRPr="0078056B">
        <w:t xml:space="preserve"> (of which </w:t>
      </w:r>
      <w:r w:rsidRPr="0078056B">
        <w:rPr>
          <w:b/>
          <w:bCs/>
          <w:color w:val="06357A" w:themeColor="accent1"/>
        </w:rPr>
        <w:t>205</w:t>
      </w:r>
      <w:r w:rsidRPr="0078056B">
        <w:t xml:space="preserve"> (or </w:t>
      </w:r>
      <w:r w:rsidRPr="0078056B">
        <w:rPr>
          <w:b/>
          <w:bCs/>
          <w:color w:val="06357A" w:themeColor="accent1"/>
        </w:rPr>
        <w:t>16%</w:t>
      </w:r>
      <w:r w:rsidRPr="0078056B">
        <w:t xml:space="preserve">) were located in the West Midlands). The corresponding estimate in terms of GVA stood at </w:t>
      </w:r>
      <w:r w:rsidRPr="0078056B">
        <w:rPr>
          <w:b/>
          <w:bCs/>
          <w:color w:val="06357A" w:themeColor="accent1"/>
        </w:rPr>
        <w:t>£18 million</w:t>
      </w:r>
      <w:r w:rsidRPr="0078056B">
        <w:t xml:space="preserve"> (of which </w:t>
      </w:r>
      <w:r w:rsidRPr="0078056B">
        <w:rPr>
          <w:b/>
          <w:bCs/>
          <w:color w:val="06357A" w:themeColor="accent1"/>
        </w:rPr>
        <w:t>£0.7 million</w:t>
      </w:r>
      <w:r w:rsidRPr="0078056B">
        <w:t xml:space="preserve"> (or </w:t>
      </w:r>
      <w:r w:rsidRPr="0078056B">
        <w:rPr>
          <w:b/>
          <w:bCs/>
          <w:color w:val="06357A" w:themeColor="accent1"/>
        </w:rPr>
        <w:t>4%</w:t>
      </w:r>
      <w:r w:rsidRPr="0078056B">
        <w:t xml:space="preserve">) occurred in the West Midlands). </w:t>
      </w:r>
    </w:p>
    <w:p w14:paraId="01D088A2" w14:textId="77777777" w:rsidR="009B693C" w:rsidRPr="0078056B" w:rsidRDefault="009B693C" w:rsidP="009B693C">
      <w:pPr>
        <w:pStyle w:val="TableTitle"/>
      </w:pPr>
      <w:bookmarkStart w:id="152" w:name="_Ref69121530"/>
      <w:bookmarkStart w:id="153" w:name="_Toc78355883"/>
      <w:bookmarkStart w:id="154" w:name="_Toc110610476"/>
      <w:bookmarkStart w:id="155" w:name="_Toc119925090"/>
      <w:bookmarkStart w:id="156" w:name="_Ref134625170"/>
      <w:bookmarkStart w:id="157" w:name="_Toc138171565"/>
      <w:bookmarkStart w:id="158" w:name="_Toc143772689"/>
      <w:bookmarkStart w:id="159" w:name="_Toc160803954"/>
      <w:bookmarkStart w:id="160" w:name="_Toc168652159"/>
      <w:r w:rsidRPr="0078056B">
        <w:lastRenderedPageBreak/>
        <w:t xml:space="preserve">Economic impact associated with the University of Birmingham’s spinout companies in </w:t>
      </w:r>
      <w:bookmarkEnd w:id="152"/>
      <w:bookmarkEnd w:id="153"/>
      <w:r w:rsidRPr="0078056B">
        <w:t>2021-2</w:t>
      </w:r>
      <w:bookmarkEnd w:id="154"/>
      <w:bookmarkEnd w:id="155"/>
      <w:r w:rsidRPr="0078056B">
        <w:t>2</w:t>
      </w:r>
      <w:bookmarkEnd w:id="156"/>
      <w:bookmarkEnd w:id="157"/>
      <w:bookmarkEnd w:id="158"/>
      <w:bookmarkEnd w:id="159"/>
      <w:bookmarkEnd w:id="160"/>
    </w:p>
    <w:tbl>
      <w:tblPr>
        <w:tblW w:w="8844" w:type="dxa"/>
        <w:tblBorders>
          <w:top w:val="single" w:sz="4" w:space="0" w:color="BFBFBF"/>
          <w:bottom w:val="single" w:sz="4" w:space="0" w:color="BFBFBF"/>
          <w:insideH w:val="single" w:sz="4" w:space="0" w:color="BFBFBF"/>
          <w:insideV w:val="single" w:sz="4" w:space="0" w:color="BFBFBF"/>
        </w:tblBorders>
        <w:tblLayout w:type="fixed"/>
        <w:tblCellMar>
          <w:left w:w="0" w:type="dxa"/>
          <w:right w:w="0" w:type="dxa"/>
        </w:tblCellMar>
        <w:tblLook w:val="0620" w:firstRow="1" w:lastRow="0" w:firstColumn="0" w:lastColumn="0" w:noHBand="1" w:noVBand="1"/>
      </w:tblPr>
      <w:tblGrid>
        <w:gridCol w:w="2640"/>
        <w:gridCol w:w="2068"/>
        <w:gridCol w:w="2068"/>
        <w:gridCol w:w="2068"/>
      </w:tblGrid>
      <w:tr w:rsidR="009B693C" w:rsidRPr="0078056B" w14:paraId="32CFB675" w14:textId="77777777" w:rsidTr="000A186C">
        <w:trPr>
          <w:tblHeader/>
        </w:trPr>
        <w:tc>
          <w:tcPr>
            <w:tcW w:w="2835" w:type="dxa"/>
            <w:tcBorders>
              <w:top w:val="single" w:sz="4" w:space="0" w:color="06357A"/>
              <w:bottom w:val="single" w:sz="4" w:space="0" w:color="06357A"/>
            </w:tcBorders>
            <w:shd w:val="clear" w:color="auto" w:fill="auto"/>
            <w:vAlign w:val="center"/>
            <w:hideMark/>
          </w:tcPr>
          <w:p w14:paraId="381655E4" w14:textId="77777777" w:rsidR="009B693C" w:rsidRPr="0078056B" w:rsidRDefault="009B693C" w:rsidP="000A186C">
            <w:pPr>
              <w:pStyle w:val="TableHeading"/>
            </w:pPr>
            <w:r w:rsidRPr="0078056B">
              <w:t>Location of impact</w:t>
            </w:r>
          </w:p>
        </w:tc>
        <w:tc>
          <w:tcPr>
            <w:tcW w:w="2221" w:type="dxa"/>
            <w:tcBorders>
              <w:top w:val="single" w:sz="4" w:space="0" w:color="06357A"/>
              <w:bottom w:val="single" w:sz="4" w:space="0" w:color="06357A"/>
            </w:tcBorders>
            <w:shd w:val="clear" w:color="auto" w:fill="auto"/>
            <w:vAlign w:val="center"/>
            <w:hideMark/>
          </w:tcPr>
          <w:p w14:paraId="4BE9D7A8" w14:textId="77777777" w:rsidR="009B693C" w:rsidRPr="0078056B" w:rsidRDefault="009B693C" w:rsidP="000A186C">
            <w:pPr>
              <w:pStyle w:val="TableHeading"/>
              <w:jc w:val="center"/>
            </w:pPr>
            <w:r w:rsidRPr="0078056B">
              <w:t>Output, £m</w:t>
            </w:r>
          </w:p>
        </w:tc>
        <w:tc>
          <w:tcPr>
            <w:tcW w:w="2221" w:type="dxa"/>
            <w:tcBorders>
              <w:top w:val="single" w:sz="4" w:space="0" w:color="06357A"/>
              <w:bottom w:val="single" w:sz="4" w:space="0" w:color="06357A"/>
            </w:tcBorders>
            <w:shd w:val="clear" w:color="auto" w:fill="auto"/>
            <w:vAlign w:val="center"/>
            <w:hideMark/>
          </w:tcPr>
          <w:p w14:paraId="650331FA" w14:textId="77777777" w:rsidR="009B693C" w:rsidRPr="0078056B" w:rsidRDefault="009B693C" w:rsidP="000A186C">
            <w:pPr>
              <w:pStyle w:val="TableHeading"/>
              <w:jc w:val="center"/>
            </w:pPr>
            <w:r w:rsidRPr="0078056B">
              <w:t>GVA, £m</w:t>
            </w:r>
          </w:p>
        </w:tc>
        <w:tc>
          <w:tcPr>
            <w:tcW w:w="2221" w:type="dxa"/>
            <w:tcBorders>
              <w:top w:val="single" w:sz="4" w:space="0" w:color="06357A"/>
              <w:bottom w:val="single" w:sz="4" w:space="0" w:color="06357A"/>
            </w:tcBorders>
            <w:shd w:val="clear" w:color="auto" w:fill="auto"/>
            <w:vAlign w:val="center"/>
            <w:hideMark/>
          </w:tcPr>
          <w:p w14:paraId="46A13DE1" w14:textId="77777777" w:rsidR="009B693C" w:rsidRPr="0078056B" w:rsidRDefault="009B693C" w:rsidP="000A186C">
            <w:pPr>
              <w:pStyle w:val="TableHeading"/>
              <w:jc w:val="center"/>
            </w:pPr>
            <w:r w:rsidRPr="0078056B">
              <w:t># of FTE employees</w:t>
            </w:r>
          </w:p>
        </w:tc>
      </w:tr>
      <w:tr w:rsidR="009B693C" w:rsidRPr="0078056B" w14:paraId="4B52E009" w14:textId="77777777" w:rsidTr="000A186C">
        <w:tc>
          <w:tcPr>
            <w:tcW w:w="2835" w:type="dxa"/>
            <w:tcBorders>
              <w:top w:val="single" w:sz="4" w:space="0" w:color="06357A"/>
            </w:tcBorders>
            <w:shd w:val="clear" w:color="auto" w:fill="auto"/>
            <w:vAlign w:val="center"/>
            <w:hideMark/>
          </w:tcPr>
          <w:p w14:paraId="6597788C" w14:textId="77777777" w:rsidR="009B693C" w:rsidRPr="0078056B" w:rsidRDefault="009B693C" w:rsidP="000A186C">
            <w:pPr>
              <w:pStyle w:val="TableText"/>
            </w:pPr>
            <w:r w:rsidRPr="0078056B">
              <w:t>West Midlands</w:t>
            </w:r>
          </w:p>
        </w:tc>
        <w:tc>
          <w:tcPr>
            <w:tcW w:w="2221" w:type="dxa"/>
            <w:tcBorders>
              <w:top w:val="single" w:sz="4" w:space="0" w:color="06357A"/>
            </w:tcBorders>
            <w:shd w:val="clear" w:color="auto" w:fill="auto"/>
            <w:vAlign w:val="center"/>
            <w:hideMark/>
          </w:tcPr>
          <w:p w14:paraId="7EF88F16" w14:textId="77777777" w:rsidR="009B693C" w:rsidRPr="0078056B" w:rsidRDefault="009B693C" w:rsidP="000A186C">
            <w:pPr>
              <w:pStyle w:val="TableText"/>
              <w:jc w:val="center"/>
              <w:rPr>
                <w:szCs w:val="20"/>
              </w:rPr>
            </w:pPr>
            <w:r w:rsidRPr="0078056B">
              <w:rPr>
                <w:rFonts w:cs="Calibri"/>
                <w:color w:val="000000"/>
              </w:rPr>
              <w:t>£1.4m</w:t>
            </w:r>
          </w:p>
        </w:tc>
        <w:tc>
          <w:tcPr>
            <w:tcW w:w="2221" w:type="dxa"/>
            <w:tcBorders>
              <w:top w:val="single" w:sz="4" w:space="0" w:color="06357A"/>
            </w:tcBorders>
            <w:shd w:val="clear" w:color="auto" w:fill="auto"/>
            <w:vAlign w:val="center"/>
            <w:hideMark/>
          </w:tcPr>
          <w:p w14:paraId="20964557" w14:textId="77777777" w:rsidR="009B693C" w:rsidRPr="0078056B" w:rsidRDefault="009B693C" w:rsidP="000A186C">
            <w:pPr>
              <w:pStyle w:val="TableText"/>
              <w:jc w:val="center"/>
              <w:rPr>
                <w:szCs w:val="20"/>
              </w:rPr>
            </w:pPr>
            <w:r w:rsidRPr="0078056B">
              <w:rPr>
                <w:rFonts w:cs="Calibri"/>
                <w:color w:val="000000"/>
              </w:rPr>
              <w:t>£0.7m</w:t>
            </w:r>
          </w:p>
        </w:tc>
        <w:tc>
          <w:tcPr>
            <w:tcW w:w="2221" w:type="dxa"/>
            <w:tcBorders>
              <w:top w:val="single" w:sz="4" w:space="0" w:color="06357A"/>
            </w:tcBorders>
            <w:shd w:val="clear" w:color="auto" w:fill="auto"/>
            <w:vAlign w:val="center"/>
            <w:hideMark/>
          </w:tcPr>
          <w:p w14:paraId="3FEEE84E" w14:textId="77777777" w:rsidR="009B693C" w:rsidRPr="0078056B" w:rsidRDefault="009B693C" w:rsidP="000A186C">
            <w:pPr>
              <w:pStyle w:val="TableText"/>
              <w:jc w:val="center"/>
              <w:rPr>
                <w:szCs w:val="20"/>
              </w:rPr>
            </w:pPr>
            <w:r w:rsidRPr="0078056B">
              <w:rPr>
                <w:rFonts w:cs="Calibri"/>
                <w:color w:val="000000"/>
              </w:rPr>
              <w:t>205</w:t>
            </w:r>
          </w:p>
        </w:tc>
      </w:tr>
      <w:tr w:rsidR="009B693C" w:rsidRPr="0078056B" w14:paraId="04DDF9D3" w14:textId="77777777" w:rsidTr="000A186C">
        <w:tc>
          <w:tcPr>
            <w:tcW w:w="2835" w:type="dxa"/>
            <w:tcBorders>
              <w:bottom w:val="single" w:sz="4" w:space="0" w:color="06357A"/>
            </w:tcBorders>
            <w:shd w:val="clear" w:color="auto" w:fill="auto"/>
            <w:vAlign w:val="center"/>
            <w:hideMark/>
          </w:tcPr>
          <w:p w14:paraId="4569A218" w14:textId="77777777" w:rsidR="009B693C" w:rsidRPr="0078056B" w:rsidRDefault="009B693C" w:rsidP="000A186C">
            <w:pPr>
              <w:pStyle w:val="TableText"/>
            </w:pPr>
            <w:r w:rsidRPr="0078056B">
              <w:t>Total UK</w:t>
            </w:r>
          </w:p>
        </w:tc>
        <w:tc>
          <w:tcPr>
            <w:tcW w:w="2221" w:type="dxa"/>
            <w:tcBorders>
              <w:bottom w:val="single" w:sz="4" w:space="0" w:color="06357A"/>
            </w:tcBorders>
            <w:shd w:val="clear" w:color="auto" w:fill="auto"/>
            <w:vAlign w:val="center"/>
            <w:hideMark/>
          </w:tcPr>
          <w:p w14:paraId="007C50FC" w14:textId="77777777" w:rsidR="009B693C" w:rsidRPr="0078056B" w:rsidRDefault="009B693C" w:rsidP="000A186C">
            <w:pPr>
              <w:pStyle w:val="TableText"/>
              <w:jc w:val="center"/>
              <w:rPr>
                <w:szCs w:val="20"/>
              </w:rPr>
            </w:pPr>
            <w:r w:rsidRPr="0078056B">
              <w:rPr>
                <w:rFonts w:cs="Calibri"/>
                <w:color w:val="000000"/>
              </w:rPr>
              <w:t>£33m</w:t>
            </w:r>
          </w:p>
        </w:tc>
        <w:tc>
          <w:tcPr>
            <w:tcW w:w="2221" w:type="dxa"/>
            <w:tcBorders>
              <w:bottom w:val="single" w:sz="4" w:space="0" w:color="06357A"/>
            </w:tcBorders>
            <w:shd w:val="clear" w:color="auto" w:fill="auto"/>
            <w:vAlign w:val="center"/>
            <w:hideMark/>
          </w:tcPr>
          <w:p w14:paraId="3C3B73FE" w14:textId="77777777" w:rsidR="009B693C" w:rsidRPr="0078056B" w:rsidRDefault="009B693C" w:rsidP="000A186C">
            <w:pPr>
              <w:pStyle w:val="TableText"/>
              <w:jc w:val="center"/>
              <w:rPr>
                <w:szCs w:val="20"/>
              </w:rPr>
            </w:pPr>
            <w:r w:rsidRPr="0078056B">
              <w:rPr>
                <w:rFonts w:cs="Calibri"/>
                <w:color w:val="000000"/>
              </w:rPr>
              <w:t>£18m</w:t>
            </w:r>
          </w:p>
        </w:tc>
        <w:tc>
          <w:tcPr>
            <w:tcW w:w="2221" w:type="dxa"/>
            <w:tcBorders>
              <w:bottom w:val="single" w:sz="4" w:space="0" w:color="06357A"/>
            </w:tcBorders>
            <w:shd w:val="clear" w:color="auto" w:fill="auto"/>
            <w:vAlign w:val="center"/>
            <w:hideMark/>
          </w:tcPr>
          <w:p w14:paraId="4FDDA3B3" w14:textId="77777777" w:rsidR="009B693C" w:rsidRPr="0078056B" w:rsidRDefault="009B693C" w:rsidP="000A186C">
            <w:pPr>
              <w:pStyle w:val="TableText"/>
              <w:jc w:val="center"/>
              <w:rPr>
                <w:szCs w:val="20"/>
              </w:rPr>
            </w:pPr>
            <w:r w:rsidRPr="0078056B">
              <w:rPr>
                <w:rFonts w:cs="Calibri"/>
                <w:color w:val="000000"/>
              </w:rPr>
              <w:t>1,275</w:t>
            </w:r>
          </w:p>
        </w:tc>
      </w:tr>
    </w:tbl>
    <w:p w14:paraId="52C5C76D" w14:textId="77777777" w:rsidR="009B693C" w:rsidRPr="0078056B" w:rsidRDefault="009B693C" w:rsidP="009B693C">
      <w:pPr>
        <w:pStyle w:val="TableNote"/>
      </w:pPr>
      <w:r w:rsidRPr="0078056B">
        <w:t>Note: All monetary values are presented in 2021-22 prices and rounded to the nearest £1 million. The employment figures are rounded to the nearest 5.</w:t>
      </w:r>
    </w:p>
    <w:p w14:paraId="08808E26" w14:textId="77777777" w:rsidR="009B693C" w:rsidRPr="0078056B" w:rsidRDefault="009B693C" w:rsidP="009B693C">
      <w:pPr>
        <w:pStyle w:val="TableSource"/>
      </w:pPr>
      <w:r w:rsidRPr="0078056B">
        <w:t>Source: London Economics’ analysis</w:t>
      </w:r>
    </w:p>
    <w:p w14:paraId="46D9EA59" w14:textId="45C0681D" w:rsidR="009B693C" w:rsidRPr="0078056B" w:rsidRDefault="009B693C" w:rsidP="009B693C">
      <w:bookmarkStart w:id="161" w:name="_Ref115858504"/>
      <w:r w:rsidRPr="0078056B">
        <w:t xml:space="preserve">The total economic impact associated with the activities of </w:t>
      </w:r>
      <w:r w:rsidR="001279B4" w:rsidRPr="0078056B">
        <w:t>the University’s</w:t>
      </w:r>
      <w:r w:rsidRPr="0078056B">
        <w:t xml:space="preserve"> </w:t>
      </w:r>
      <w:r w:rsidRPr="0078056B">
        <w:rPr>
          <w:b/>
          <w:bCs/>
          <w:color w:val="06357A" w:themeColor="accent1"/>
        </w:rPr>
        <w:t>start-up companies</w:t>
      </w:r>
      <w:r w:rsidRPr="0078056B">
        <w:t xml:space="preserve"> was estimated to be </w:t>
      </w:r>
      <w:r w:rsidRPr="0078056B">
        <w:rPr>
          <w:b/>
          <w:bCs/>
          <w:color w:val="06357A" w:themeColor="accent1"/>
        </w:rPr>
        <w:t>£49 million</w:t>
      </w:r>
      <w:r w:rsidRPr="0078056B">
        <w:t xml:space="preserve"> across the UK economy, of which </w:t>
      </w:r>
      <w:r w:rsidRPr="0078056B">
        <w:rPr>
          <w:b/>
          <w:bCs/>
          <w:color w:val="06357A" w:themeColor="accent1"/>
        </w:rPr>
        <w:t>£1.5 million</w:t>
      </w:r>
      <w:r w:rsidRPr="0078056B">
        <w:t xml:space="preserve"> (</w:t>
      </w:r>
      <w:r w:rsidRPr="0078056B">
        <w:rPr>
          <w:b/>
          <w:bCs/>
          <w:color w:val="06357A" w:themeColor="accent1"/>
        </w:rPr>
        <w:t>3%</w:t>
      </w:r>
      <w:r w:rsidRPr="0078056B">
        <w:t xml:space="preserve">) </w:t>
      </w:r>
      <w:r w:rsidR="00F56CFC" w:rsidRPr="0078056B">
        <w:t>occurred</w:t>
      </w:r>
      <w:r w:rsidRPr="0078056B">
        <w:t xml:space="preserve"> in the West Midlands (see </w:t>
      </w:r>
      <w:r w:rsidRPr="0078056B">
        <w:fldChar w:fldCharType="begin"/>
      </w:r>
      <w:r w:rsidRPr="0078056B">
        <w:instrText xml:space="preserve"> REF _Ref115964085 \r \h  \* MERGEFORMAT </w:instrText>
      </w:r>
      <w:r w:rsidRPr="0078056B">
        <w:fldChar w:fldCharType="separate"/>
      </w:r>
      <w:r w:rsidR="00E33157">
        <w:t>Table 5</w:t>
      </w:r>
      <w:r w:rsidRPr="0078056B">
        <w:fldChar w:fldCharType="end"/>
      </w:r>
      <w:r w:rsidRPr="0078056B">
        <w:t xml:space="preserve">). The estimated total number of FTE jobs supported stood at </w:t>
      </w:r>
      <w:r w:rsidRPr="0078056B">
        <w:rPr>
          <w:b/>
          <w:bCs/>
          <w:color w:val="06357A" w:themeColor="accent1"/>
        </w:rPr>
        <w:t>915</w:t>
      </w:r>
      <w:r w:rsidRPr="0078056B">
        <w:t xml:space="preserve"> (of which </w:t>
      </w:r>
      <w:r w:rsidRPr="0078056B">
        <w:rPr>
          <w:b/>
          <w:bCs/>
          <w:color w:val="06357A" w:themeColor="accent1"/>
        </w:rPr>
        <w:t>175</w:t>
      </w:r>
      <w:r w:rsidRPr="0078056B">
        <w:t xml:space="preserve"> or </w:t>
      </w:r>
      <w:r w:rsidRPr="0078056B">
        <w:rPr>
          <w:b/>
          <w:bCs/>
          <w:color w:val="06357A" w:themeColor="accent1"/>
        </w:rPr>
        <w:t>19%</w:t>
      </w:r>
      <w:r w:rsidRPr="0078056B">
        <w:t xml:space="preserve"> were located in the West Midlands). The corresponding estimate in terms of GVA stood at </w:t>
      </w:r>
      <w:r w:rsidRPr="0078056B">
        <w:rPr>
          <w:b/>
          <w:bCs/>
          <w:color w:val="06357A" w:themeColor="accent1"/>
        </w:rPr>
        <w:t>£24 million</w:t>
      </w:r>
      <w:r w:rsidRPr="0078056B">
        <w:t xml:space="preserve"> (of which </w:t>
      </w:r>
      <w:r w:rsidRPr="0078056B">
        <w:rPr>
          <w:b/>
          <w:bCs/>
          <w:color w:val="06357A" w:themeColor="accent1"/>
        </w:rPr>
        <w:t>£0.8 million</w:t>
      </w:r>
      <w:r w:rsidRPr="0078056B">
        <w:t xml:space="preserve"> or </w:t>
      </w:r>
      <w:r w:rsidRPr="0078056B">
        <w:rPr>
          <w:b/>
          <w:bCs/>
          <w:color w:val="06357A" w:themeColor="accent1"/>
        </w:rPr>
        <w:t>3%</w:t>
      </w:r>
      <w:r w:rsidRPr="0078056B">
        <w:t xml:space="preserve"> occurred in the West Midlands).</w:t>
      </w:r>
    </w:p>
    <w:p w14:paraId="3100280F" w14:textId="77777777" w:rsidR="009B693C" w:rsidRPr="0078056B" w:rsidRDefault="009B693C" w:rsidP="009B693C">
      <w:pPr>
        <w:pStyle w:val="TableTitle"/>
      </w:pPr>
      <w:bookmarkStart w:id="162" w:name="_Ref115964085"/>
      <w:bookmarkStart w:id="163" w:name="_Toc119925092"/>
      <w:bookmarkStart w:id="164" w:name="_Toc143772691"/>
      <w:bookmarkStart w:id="165" w:name="_Toc160803955"/>
      <w:bookmarkStart w:id="166" w:name="_Toc168652160"/>
      <w:r w:rsidRPr="0078056B">
        <w:t>Economic impact associated with the University of Birmingham’s start-ups in 2021-22</w:t>
      </w:r>
      <w:bookmarkEnd w:id="162"/>
      <w:bookmarkEnd w:id="163"/>
      <w:bookmarkEnd w:id="164"/>
      <w:bookmarkEnd w:id="165"/>
      <w:bookmarkEnd w:id="166"/>
    </w:p>
    <w:tbl>
      <w:tblPr>
        <w:tblW w:w="8874" w:type="dxa"/>
        <w:tblBorders>
          <w:top w:val="single" w:sz="4" w:space="0" w:color="BFBFBF"/>
          <w:bottom w:val="single" w:sz="4" w:space="0" w:color="BFBFBF"/>
          <w:insideH w:val="single" w:sz="4" w:space="0" w:color="BFBFBF"/>
          <w:insideV w:val="single" w:sz="4" w:space="0" w:color="BFBFBF"/>
        </w:tblBorders>
        <w:tblLayout w:type="fixed"/>
        <w:tblCellMar>
          <w:left w:w="0" w:type="dxa"/>
          <w:right w:w="0" w:type="dxa"/>
        </w:tblCellMar>
        <w:tblLook w:val="0000" w:firstRow="0" w:lastRow="0" w:firstColumn="0" w:lastColumn="0" w:noHBand="0" w:noVBand="0"/>
      </w:tblPr>
      <w:tblGrid>
        <w:gridCol w:w="2835"/>
        <w:gridCol w:w="2013"/>
        <w:gridCol w:w="2013"/>
        <w:gridCol w:w="2013"/>
      </w:tblGrid>
      <w:tr w:rsidR="009B693C" w:rsidRPr="0078056B" w14:paraId="53EA4326" w14:textId="77777777" w:rsidTr="000A186C">
        <w:tc>
          <w:tcPr>
            <w:tcW w:w="2835" w:type="dxa"/>
            <w:tcBorders>
              <w:top w:val="single" w:sz="4" w:space="0" w:color="06357A"/>
              <w:bottom w:val="single" w:sz="4" w:space="0" w:color="06357A"/>
            </w:tcBorders>
            <w:shd w:val="clear" w:color="auto" w:fill="auto"/>
          </w:tcPr>
          <w:p w14:paraId="6E0D851D" w14:textId="77777777" w:rsidR="009B693C" w:rsidRPr="0078056B" w:rsidRDefault="009B693C" w:rsidP="000A186C">
            <w:pPr>
              <w:pStyle w:val="TableHeading"/>
              <w:keepNext/>
            </w:pPr>
            <w:r w:rsidRPr="0078056B">
              <w:t>Location of impact</w:t>
            </w:r>
          </w:p>
        </w:tc>
        <w:tc>
          <w:tcPr>
            <w:tcW w:w="2013" w:type="dxa"/>
            <w:tcBorders>
              <w:top w:val="single" w:sz="4" w:space="0" w:color="06357A"/>
              <w:bottom w:val="single" w:sz="4" w:space="0" w:color="06357A"/>
            </w:tcBorders>
            <w:shd w:val="clear" w:color="auto" w:fill="auto"/>
            <w:vAlign w:val="center"/>
          </w:tcPr>
          <w:p w14:paraId="17B8962F" w14:textId="77777777" w:rsidR="009B693C" w:rsidRPr="0078056B" w:rsidRDefault="009B693C" w:rsidP="000A186C">
            <w:pPr>
              <w:pStyle w:val="TableHeading"/>
              <w:keepNext/>
              <w:jc w:val="center"/>
            </w:pPr>
            <w:r w:rsidRPr="0078056B">
              <w:t>Output, £m</w:t>
            </w:r>
          </w:p>
        </w:tc>
        <w:tc>
          <w:tcPr>
            <w:tcW w:w="2013" w:type="dxa"/>
            <w:tcBorders>
              <w:top w:val="single" w:sz="4" w:space="0" w:color="06357A"/>
              <w:bottom w:val="single" w:sz="4" w:space="0" w:color="06357A"/>
            </w:tcBorders>
            <w:shd w:val="clear" w:color="auto" w:fill="auto"/>
            <w:vAlign w:val="center"/>
          </w:tcPr>
          <w:p w14:paraId="1F664B3D" w14:textId="77777777" w:rsidR="009B693C" w:rsidRPr="0078056B" w:rsidRDefault="009B693C" w:rsidP="000A186C">
            <w:pPr>
              <w:pStyle w:val="TableHeading"/>
              <w:keepNext/>
              <w:jc w:val="center"/>
            </w:pPr>
            <w:r w:rsidRPr="0078056B">
              <w:t>GVA, £m</w:t>
            </w:r>
          </w:p>
        </w:tc>
        <w:tc>
          <w:tcPr>
            <w:tcW w:w="2013" w:type="dxa"/>
            <w:tcBorders>
              <w:top w:val="single" w:sz="4" w:space="0" w:color="06357A"/>
              <w:bottom w:val="single" w:sz="4" w:space="0" w:color="06357A"/>
            </w:tcBorders>
            <w:shd w:val="clear" w:color="auto" w:fill="auto"/>
            <w:vAlign w:val="center"/>
          </w:tcPr>
          <w:p w14:paraId="3261258C" w14:textId="77777777" w:rsidR="009B693C" w:rsidRPr="0078056B" w:rsidRDefault="009B693C" w:rsidP="000A186C">
            <w:pPr>
              <w:pStyle w:val="TableHeading"/>
              <w:keepNext/>
              <w:jc w:val="center"/>
            </w:pPr>
            <w:r w:rsidRPr="0078056B">
              <w:t># of FTE employees</w:t>
            </w:r>
          </w:p>
        </w:tc>
      </w:tr>
      <w:tr w:rsidR="009B693C" w:rsidRPr="0078056B" w14:paraId="4D830CE6" w14:textId="77777777" w:rsidTr="000A186C">
        <w:tc>
          <w:tcPr>
            <w:tcW w:w="2835" w:type="dxa"/>
            <w:tcBorders>
              <w:top w:val="single" w:sz="4" w:space="0" w:color="06357A"/>
              <w:bottom w:val="single" w:sz="4" w:space="0" w:color="BFBFBF"/>
            </w:tcBorders>
            <w:shd w:val="clear" w:color="auto" w:fill="auto"/>
          </w:tcPr>
          <w:p w14:paraId="5D1EFA18" w14:textId="77777777" w:rsidR="009B693C" w:rsidRPr="0078056B" w:rsidRDefault="009B693C" w:rsidP="000A186C">
            <w:pPr>
              <w:pStyle w:val="TableText"/>
              <w:keepNext/>
            </w:pPr>
            <w:r w:rsidRPr="0078056B">
              <w:t>West Midlands</w:t>
            </w:r>
          </w:p>
        </w:tc>
        <w:tc>
          <w:tcPr>
            <w:tcW w:w="2013" w:type="dxa"/>
            <w:tcBorders>
              <w:top w:val="single" w:sz="4" w:space="0" w:color="06357A"/>
              <w:bottom w:val="single" w:sz="4" w:space="0" w:color="BFBFBF"/>
            </w:tcBorders>
            <w:shd w:val="clear" w:color="auto" w:fill="auto"/>
          </w:tcPr>
          <w:p w14:paraId="086D5D23" w14:textId="77777777" w:rsidR="009B693C" w:rsidRPr="0078056B" w:rsidRDefault="009B693C" w:rsidP="000A186C">
            <w:pPr>
              <w:pStyle w:val="TableText"/>
              <w:keepNext/>
              <w:jc w:val="center"/>
              <w:rPr>
                <w:szCs w:val="20"/>
              </w:rPr>
            </w:pPr>
            <w:r w:rsidRPr="0078056B">
              <w:t>£1.5m</w:t>
            </w:r>
          </w:p>
        </w:tc>
        <w:tc>
          <w:tcPr>
            <w:tcW w:w="2013" w:type="dxa"/>
            <w:tcBorders>
              <w:top w:val="single" w:sz="4" w:space="0" w:color="06357A"/>
              <w:bottom w:val="single" w:sz="4" w:space="0" w:color="BFBFBF"/>
            </w:tcBorders>
            <w:shd w:val="clear" w:color="auto" w:fill="auto"/>
          </w:tcPr>
          <w:p w14:paraId="669AC933" w14:textId="77777777" w:rsidR="009B693C" w:rsidRPr="0078056B" w:rsidRDefault="009B693C" w:rsidP="000A186C">
            <w:pPr>
              <w:pStyle w:val="TableText"/>
              <w:keepNext/>
              <w:jc w:val="center"/>
              <w:rPr>
                <w:szCs w:val="20"/>
              </w:rPr>
            </w:pPr>
            <w:r w:rsidRPr="0078056B">
              <w:t xml:space="preserve">£0.8m </w:t>
            </w:r>
          </w:p>
        </w:tc>
        <w:tc>
          <w:tcPr>
            <w:tcW w:w="2013" w:type="dxa"/>
            <w:tcBorders>
              <w:top w:val="single" w:sz="4" w:space="0" w:color="06357A"/>
              <w:bottom w:val="single" w:sz="4" w:space="0" w:color="BFBFBF"/>
            </w:tcBorders>
            <w:shd w:val="clear" w:color="auto" w:fill="auto"/>
          </w:tcPr>
          <w:p w14:paraId="5B25A04A" w14:textId="77777777" w:rsidR="009B693C" w:rsidRPr="0078056B" w:rsidRDefault="009B693C" w:rsidP="000A186C">
            <w:pPr>
              <w:pStyle w:val="TableText"/>
              <w:keepNext/>
              <w:jc w:val="center"/>
              <w:rPr>
                <w:szCs w:val="20"/>
              </w:rPr>
            </w:pPr>
            <w:r w:rsidRPr="0078056B">
              <w:rPr>
                <w:szCs w:val="20"/>
              </w:rPr>
              <w:t>175</w:t>
            </w:r>
          </w:p>
        </w:tc>
      </w:tr>
      <w:tr w:rsidR="009B693C" w:rsidRPr="0078056B" w14:paraId="4A58F80C" w14:textId="77777777" w:rsidTr="000A186C">
        <w:tc>
          <w:tcPr>
            <w:tcW w:w="2835" w:type="dxa"/>
            <w:tcBorders>
              <w:bottom w:val="single" w:sz="4" w:space="0" w:color="06357A"/>
            </w:tcBorders>
            <w:shd w:val="clear" w:color="auto" w:fill="auto"/>
          </w:tcPr>
          <w:p w14:paraId="3792C17A" w14:textId="77777777" w:rsidR="009B693C" w:rsidRPr="0078056B" w:rsidRDefault="009B693C" w:rsidP="000A186C">
            <w:pPr>
              <w:pStyle w:val="TableText"/>
              <w:keepNext/>
            </w:pPr>
            <w:r w:rsidRPr="0078056B">
              <w:t>Total UK</w:t>
            </w:r>
          </w:p>
        </w:tc>
        <w:tc>
          <w:tcPr>
            <w:tcW w:w="2013" w:type="dxa"/>
            <w:tcBorders>
              <w:bottom w:val="single" w:sz="4" w:space="0" w:color="06357A"/>
            </w:tcBorders>
            <w:shd w:val="clear" w:color="auto" w:fill="auto"/>
          </w:tcPr>
          <w:p w14:paraId="14152AB5" w14:textId="77777777" w:rsidR="009B693C" w:rsidRPr="0078056B" w:rsidRDefault="009B693C" w:rsidP="000A186C">
            <w:pPr>
              <w:pStyle w:val="TableText"/>
              <w:keepNext/>
              <w:jc w:val="center"/>
              <w:rPr>
                <w:szCs w:val="20"/>
              </w:rPr>
            </w:pPr>
            <w:r w:rsidRPr="0078056B">
              <w:t xml:space="preserve">£49m </w:t>
            </w:r>
          </w:p>
        </w:tc>
        <w:tc>
          <w:tcPr>
            <w:tcW w:w="2013" w:type="dxa"/>
            <w:tcBorders>
              <w:bottom w:val="single" w:sz="4" w:space="0" w:color="06357A"/>
            </w:tcBorders>
            <w:shd w:val="clear" w:color="auto" w:fill="auto"/>
          </w:tcPr>
          <w:p w14:paraId="0B141CE0" w14:textId="77777777" w:rsidR="009B693C" w:rsidRPr="0078056B" w:rsidRDefault="009B693C" w:rsidP="000A186C">
            <w:pPr>
              <w:pStyle w:val="TableText"/>
              <w:keepNext/>
              <w:jc w:val="center"/>
              <w:rPr>
                <w:szCs w:val="20"/>
              </w:rPr>
            </w:pPr>
            <w:r w:rsidRPr="0078056B">
              <w:t xml:space="preserve">£24m </w:t>
            </w:r>
          </w:p>
        </w:tc>
        <w:tc>
          <w:tcPr>
            <w:tcW w:w="2013" w:type="dxa"/>
            <w:tcBorders>
              <w:bottom w:val="single" w:sz="4" w:space="0" w:color="06357A"/>
            </w:tcBorders>
            <w:shd w:val="clear" w:color="auto" w:fill="auto"/>
          </w:tcPr>
          <w:p w14:paraId="1DA47CEB" w14:textId="77777777" w:rsidR="009B693C" w:rsidRPr="0078056B" w:rsidRDefault="009B693C" w:rsidP="000A186C">
            <w:pPr>
              <w:pStyle w:val="TableText"/>
              <w:keepNext/>
              <w:jc w:val="center"/>
              <w:rPr>
                <w:szCs w:val="20"/>
              </w:rPr>
            </w:pPr>
            <w:r w:rsidRPr="0078056B">
              <w:rPr>
                <w:szCs w:val="20"/>
              </w:rPr>
              <w:t>915</w:t>
            </w:r>
          </w:p>
        </w:tc>
      </w:tr>
    </w:tbl>
    <w:p w14:paraId="5230B26F" w14:textId="77777777" w:rsidR="009B693C" w:rsidRPr="0078056B" w:rsidRDefault="009B693C" w:rsidP="009B693C">
      <w:pPr>
        <w:pStyle w:val="TableNote"/>
      </w:pPr>
      <w:r w:rsidRPr="0078056B">
        <w:t>Note: All monetary values are presented in 2021-22 prices and rounded to the nearest £1 million. The employment figures are rounded to the nearest 5.</w:t>
      </w:r>
    </w:p>
    <w:p w14:paraId="313A3081" w14:textId="77777777" w:rsidR="009B693C" w:rsidRPr="0078056B" w:rsidRDefault="009B693C" w:rsidP="009B693C">
      <w:pPr>
        <w:spacing w:before="0" w:after="200" w:line="276" w:lineRule="auto"/>
        <w:jc w:val="left"/>
        <w:rPr>
          <w:b/>
          <w:bCs/>
          <w:i/>
          <w:iCs/>
          <w:sz w:val="18"/>
          <w:szCs w:val="18"/>
        </w:rPr>
      </w:pPr>
      <w:r w:rsidRPr="0078056B">
        <w:rPr>
          <w:b/>
          <w:bCs/>
          <w:i/>
          <w:iCs/>
          <w:sz w:val="18"/>
          <w:szCs w:val="18"/>
        </w:rPr>
        <w:t>Source: London Economics’ analysis</w:t>
      </w:r>
    </w:p>
    <w:p w14:paraId="20639916" w14:textId="77777777" w:rsidR="009B693C" w:rsidRPr="0078056B" w:rsidRDefault="009B693C" w:rsidP="009B693C">
      <w:pPr>
        <w:pStyle w:val="Heading4"/>
      </w:pPr>
      <w:r w:rsidRPr="0078056B">
        <w:t>Total impact of the University of Birmingham’s spinout and start-up companies</w:t>
      </w:r>
    </w:p>
    <w:p w14:paraId="27F49AC4" w14:textId="77777777" w:rsidR="009B693C" w:rsidRPr="0078056B" w:rsidRDefault="009B693C" w:rsidP="009B693C">
      <w:r w:rsidRPr="0078056B">
        <w:t xml:space="preserve">The </w:t>
      </w:r>
      <w:r w:rsidRPr="0078056B">
        <w:rPr>
          <w:b/>
          <w:bCs/>
          <w:color w:val="06357A"/>
        </w:rPr>
        <w:t>total direct impact</w:t>
      </w:r>
      <w:r w:rsidRPr="0078056B">
        <w:rPr>
          <w:color w:val="000000" w:themeColor="text1"/>
        </w:rPr>
        <w:t xml:space="preserve"> </w:t>
      </w:r>
      <w:r w:rsidRPr="0078056B">
        <w:t xml:space="preserve">of spinout and start-up companies associated with the University of Birmingham is therefore </w:t>
      </w:r>
      <w:r w:rsidRPr="0078056B">
        <w:rPr>
          <w:b/>
          <w:bCs/>
          <w:color w:val="06357A" w:themeColor="accent1"/>
        </w:rPr>
        <w:t>£30 million</w:t>
      </w:r>
      <w:r w:rsidRPr="0078056B">
        <w:t xml:space="preserve"> in economic output (i.e. turnover) terms, </w:t>
      </w:r>
      <w:r w:rsidRPr="0078056B">
        <w:rPr>
          <w:b/>
          <w:bCs/>
          <w:color w:val="06357A" w:themeColor="accent1"/>
        </w:rPr>
        <w:t>815 FTE staff</w:t>
      </w:r>
      <w:r w:rsidRPr="0078056B">
        <w:t xml:space="preserve">, and </w:t>
      </w:r>
      <w:r w:rsidRPr="0078056B">
        <w:rPr>
          <w:b/>
          <w:bCs/>
          <w:color w:val="06357A" w:themeColor="accent1"/>
        </w:rPr>
        <w:t>£16 million</w:t>
      </w:r>
      <w:r w:rsidRPr="0078056B">
        <w:rPr>
          <w:color w:val="06357A" w:themeColor="accent1"/>
        </w:rPr>
        <w:t xml:space="preserve"> </w:t>
      </w:r>
      <w:r w:rsidRPr="0078056B">
        <w:t>of GVA</w:t>
      </w:r>
      <w:r w:rsidRPr="0078056B">
        <w:rPr>
          <w:rStyle w:val="FootnoteReference"/>
        </w:rPr>
        <w:footnoteReference w:id="36"/>
      </w:r>
      <w:r w:rsidRPr="0078056B">
        <w:t>.</w:t>
      </w:r>
    </w:p>
    <w:p w14:paraId="6DE20666" w14:textId="77777777" w:rsidR="009B693C" w:rsidRPr="0078056B" w:rsidRDefault="009B693C" w:rsidP="009B693C">
      <w:r w:rsidRPr="0078056B">
        <w:t xml:space="preserve">This led to a </w:t>
      </w:r>
      <w:r w:rsidRPr="0078056B">
        <w:rPr>
          <w:b/>
          <w:bCs/>
          <w:color w:val="06357A"/>
        </w:rPr>
        <w:t>total direct, indirect and induced economic impact</w:t>
      </w:r>
      <w:r w:rsidRPr="0078056B">
        <w:rPr>
          <w:color w:val="000000" w:themeColor="text1"/>
        </w:rPr>
        <w:t xml:space="preserve"> </w:t>
      </w:r>
      <w:r w:rsidRPr="0078056B">
        <w:t xml:space="preserve">of </w:t>
      </w:r>
      <w:r w:rsidRPr="0078056B">
        <w:rPr>
          <w:b/>
          <w:bCs/>
          <w:color w:val="06357A" w:themeColor="accent1"/>
        </w:rPr>
        <w:t>£82 million</w:t>
      </w:r>
      <w:r w:rsidRPr="0078056B">
        <w:t xml:space="preserve"> across the UK economy. The estimated total number of FTE jobs supported stood at </w:t>
      </w:r>
      <w:r w:rsidRPr="0078056B">
        <w:rPr>
          <w:b/>
          <w:bCs/>
          <w:color w:val="06357A" w:themeColor="accent1"/>
        </w:rPr>
        <w:t>2,190</w:t>
      </w:r>
      <w:r w:rsidRPr="0078056B">
        <w:t xml:space="preserve"> and the corresponding estimate in terms of GVA stood at </w:t>
      </w:r>
      <w:r w:rsidRPr="0078056B">
        <w:rPr>
          <w:b/>
          <w:bCs/>
          <w:color w:val="06357A" w:themeColor="accent1"/>
        </w:rPr>
        <w:t>£42 million</w:t>
      </w:r>
      <w:r w:rsidRPr="0078056B">
        <w:t>. This total impact is likely to be underestimated significantly given the limitations to the data that were available on the companies’ turnover and employment.</w:t>
      </w:r>
    </w:p>
    <w:p w14:paraId="131C75E9" w14:textId="77777777" w:rsidR="009B693C" w:rsidRPr="0078056B" w:rsidRDefault="009B693C" w:rsidP="009B693C">
      <w:pPr>
        <w:pStyle w:val="Heading3"/>
      </w:pPr>
      <w:r w:rsidRPr="0078056B">
        <w:t>Economic impact of the University of Birmingham’s wider knowledge exchange activities</w:t>
      </w:r>
      <w:bookmarkEnd w:id="161"/>
    </w:p>
    <w:p w14:paraId="45E4330D" w14:textId="7B21E3DA" w:rsidR="009B693C" w:rsidRPr="0078056B" w:rsidRDefault="009B693C" w:rsidP="009B693C">
      <w:r w:rsidRPr="0078056B">
        <w:t>In this section</w:t>
      </w:r>
      <w:r w:rsidR="00C26610" w:rsidRPr="0078056B">
        <w:t>,</w:t>
      </w:r>
      <w:r w:rsidRPr="0078056B">
        <w:t xml:space="preserve"> we estimate the </w:t>
      </w:r>
      <w:r w:rsidRPr="0078056B">
        <w:rPr>
          <w:b/>
          <w:bCs/>
          <w:color w:val="06357A"/>
        </w:rPr>
        <w:t>economic impact of the University of Birmingham’s wider knowledge exchange activities</w:t>
      </w:r>
      <w:r w:rsidRPr="0078056B">
        <w:t xml:space="preserve">, </w:t>
      </w:r>
      <w:r w:rsidR="00C26610" w:rsidRPr="0078056B">
        <w:t>which</w:t>
      </w:r>
      <w:r w:rsidRPr="0078056B">
        <w:t xml:space="preserve"> are measured in HE-BCI, but are distinct from the spinout and startup companies created by the University of Birmingham’s staff and students. These wider knowledge exchange activities include:</w:t>
      </w:r>
    </w:p>
    <w:p w14:paraId="5E875788" w14:textId="77777777" w:rsidR="009B693C" w:rsidRPr="0078056B" w:rsidRDefault="009B693C" w:rsidP="003A6119">
      <w:pPr>
        <w:pStyle w:val="MinorBullet1"/>
        <w:numPr>
          <w:ilvl w:val="0"/>
          <w:numId w:val="25"/>
        </w:numPr>
      </w:pPr>
      <w:r w:rsidRPr="0078056B">
        <w:rPr>
          <w:b/>
          <w:bCs/>
          <w:color w:val="06357A"/>
        </w:rPr>
        <w:t xml:space="preserve">Contract research </w:t>
      </w:r>
      <w:r w:rsidRPr="0078056B">
        <w:t>provided by the University of Birmingham;</w:t>
      </w:r>
    </w:p>
    <w:p w14:paraId="0935E622" w14:textId="77777777" w:rsidR="009B693C" w:rsidRPr="0078056B" w:rsidRDefault="009B693C" w:rsidP="003A6119">
      <w:pPr>
        <w:pStyle w:val="MinorBullet1"/>
        <w:numPr>
          <w:ilvl w:val="0"/>
          <w:numId w:val="25"/>
        </w:numPr>
      </w:pPr>
      <w:r w:rsidRPr="0078056B">
        <w:rPr>
          <w:b/>
          <w:bCs/>
          <w:color w:val="06357A"/>
        </w:rPr>
        <w:t xml:space="preserve">Consultancy services </w:t>
      </w:r>
      <w:r w:rsidRPr="0078056B">
        <w:t>provided by the University of Birmingham;</w:t>
      </w:r>
    </w:p>
    <w:p w14:paraId="73CA6523" w14:textId="77777777" w:rsidR="009B693C" w:rsidRPr="0078056B" w:rsidRDefault="009B693C" w:rsidP="003A6119">
      <w:pPr>
        <w:pStyle w:val="MinorBullet1"/>
        <w:numPr>
          <w:ilvl w:val="0"/>
          <w:numId w:val="25"/>
        </w:numPr>
      </w:pPr>
      <w:r w:rsidRPr="0078056B">
        <w:rPr>
          <w:b/>
          <w:bCs/>
          <w:color w:val="06357A"/>
        </w:rPr>
        <w:t xml:space="preserve">Licensing of University IP </w:t>
      </w:r>
      <w:r w:rsidRPr="0078056B">
        <w:t>to other organisations;</w:t>
      </w:r>
    </w:p>
    <w:p w14:paraId="3696F829" w14:textId="77777777" w:rsidR="009B693C" w:rsidRPr="0078056B" w:rsidRDefault="009B693C" w:rsidP="003A6119">
      <w:pPr>
        <w:pStyle w:val="MinorBullet1"/>
        <w:numPr>
          <w:ilvl w:val="0"/>
          <w:numId w:val="25"/>
        </w:numPr>
      </w:pPr>
      <w:r w:rsidRPr="0078056B">
        <w:t xml:space="preserve">The </w:t>
      </w:r>
      <w:r w:rsidRPr="0078056B">
        <w:rPr>
          <w:b/>
          <w:bCs/>
          <w:color w:val="06357A"/>
        </w:rPr>
        <w:t>business and community courses</w:t>
      </w:r>
      <w:r w:rsidRPr="0078056B">
        <w:t xml:space="preserve"> provided by the University of Birmingham; and</w:t>
      </w:r>
    </w:p>
    <w:p w14:paraId="58BB0DE4" w14:textId="77777777" w:rsidR="009B693C" w:rsidRPr="0078056B" w:rsidRDefault="009B693C" w:rsidP="003A6119">
      <w:pPr>
        <w:pStyle w:val="MinorBullet1"/>
        <w:numPr>
          <w:ilvl w:val="0"/>
          <w:numId w:val="25"/>
        </w:numPr>
      </w:pPr>
      <w:r w:rsidRPr="0078056B">
        <w:rPr>
          <w:b/>
          <w:bCs/>
          <w:color w:val="06357A"/>
        </w:rPr>
        <w:lastRenderedPageBreak/>
        <w:t>Facilities and equipment hire</w:t>
      </w:r>
      <w:r w:rsidRPr="0078056B">
        <w:t>, and related activities.</w:t>
      </w:r>
    </w:p>
    <w:p w14:paraId="1B10CB3B" w14:textId="6684D3BD" w:rsidR="009B693C" w:rsidRPr="0078056B" w:rsidRDefault="009B693C" w:rsidP="009B693C">
      <w:r w:rsidRPr="0078056B">
        <w:t xml:space="preserve">The publicly funded and cash income from collaborative research is not included in this section, but implicitly accounted for in the </w:t>
      </w:r>
      <w:r w:rsidRPr="0078056B">
        <w:rPr>
          <w:b/>
          <w:bCs/>
          <w:color w:val="06357A"/>
        </w:rPr>
        <w:t xml:space="preserve">impact of the </w:t>
      </w:r>
      <w:r w:rsidR="001279B4" w:rsidRPr="0078056B">
        <w:rPr>
          <w:b/>
          <w:bCs/>
          <w:color w:val="06357A"/>
        </w:rPr>
        <w:t>U</w:t>
      </w:r>
      <w:r w:rsidRPr="0078056B">
        <w:rPr>
          <w:b/>
          <w:bCs/>
          <w:color w:val="06357A"/>
        </w:rPr>
        <w:t>niversity’s research</w:t>
      </w:r>
      <w:r w:rsidRPr="0078056B">
        <w:t xml:space="preserve"> (see Section </w:t>
      </w:r>
      <w:r w:rsidRPr="0078056B">
        <w:fldChar w:fldCharType="begin"/>
      </w:r>
      <w:r w:rsidRPr="0078056B">
        <w:instrText xml:space="preserve"> REF _Ref160730022 \r \h </w:instrText>
      </w:r>
      <w:r w:rsidR="0078056B">
        <w:instrText xml:space="preserve"> \* MERGEFORMAT </w:instrText>
      </w:r>
      <w:r w:rsidRPr="0078056B">
        <w:fldChar w:fldCharType="separate"/>
      </w:r>
      <w:r w:rsidR="00E33157">
        <w:t>2.1</w:t>
      </w:r>
      <w:r w:rsidRPr="0078056B">
        <w:fldChar w:fldCharType="end"/>
      </w:r>
      <w:r w:rsidRPr="0078056B">
        <w:t xml:space="preserve">). Although the income from collaborative research is likely to contain funding related to wider knowledge exchange activities, it is difficult to attribute it with certainty to a specific knowledge exchange activity. As such, we retain collaborative research within the research impact category (see Section </w:t>
      </w:r>
      <w:r w:rsidRPr="0078056B">
        <w:fldChar w:fldCharType="begin"/>
      </w:r>
      <w:r w:rsidRPr="0078056B">
        <w:instrText xml:space="preserve"> REF _Ref160730060 \r \h </w:instrText>
      </w:r>
      <w:r w:rsidR="0078056B">
        <w:instrText xml:space="preserve"> \* MERGEFORMAT </w:instrText>
      </w:r>
      <w:r w:rsidRPr="0078056B">
        <w:fldChar w:fldCharType="separate"/>
      </w:r>
      <w:r w:rsidR="00E33157">
        <w:t>2.1.2</w:t>
      </w:r>
      <w:r w:rsidRPr="0078056B">
        <w:fldChar w:fldCharType="end"/>
      </w:r>
      <w:r w:rsidRPr="0078056B">
        <w:t xml:space="preserve"> for more details on the adjustment for double counting).</w:t>
      </w:r>
    </w:p>
    <w:p w14:paraId="6E516362" w14:textId="7C1C5AF8" w:rsidR="009B693C" w:rsidRPr="0078056B" w:rsidRDefault="00C26610" w:rsidP="009B693C">
      <w:r w:rsidRPr="0078056B">
        <w:t>In addition</w:t>
      </w:r>
      <w:r w:rsidR="009B693C" w:rsidRPr="0078056B">
        <w:t xml:space="preserve"> to the </w:t>
      </w:r>
      <w:r w:rsidR="009B693C" w:rsidRPr="0078056B">
        <w:rPr>
          <w:b/>
          <w:bCs/>
          <w:color w:val="06357A"/>
        </w:rPr>
        <w:t>direct impact in economic output terms</w:t>
      </w:r>
      <w:r w:rsidR="009B693C" w:rsidRPr="0078056B">
        <w:t xml:space="preserve"> associated with each of the wider knowledge exchange activities, we estimate the impact in </w:t>
      </w:r>
      <w:r w:rsidR="009B693C" w:rsidRPr="0078056B">
        <w:rPr>
          <w:b/>
          <w:bCs/>
          <w:color w:val="06357A"/>
        </w:rPr>
        <w:t>GVA</w:t>
      </w:r>
      <w:r w:rsidR="009B693C" w:rsidRPr="0078056B">
        <w:t xml:space="preserve"> and </w:t>
      </w:r>
      <w:r w:rsidR="009B693C" w:rsidRPr="0078056B">
        <w:rPr>
          <w:b/>
          <w:bCs/>
          <w:color w:val="06357A"/>
        </w:rPr>
        <w:t>FTE employment terms</w:t>
      </w:r>
      <w:r w:rsidR="009B693C" w:rsidRPr="0078056B">
        <w:t>. To arrive at these comparable estimates, we multiply the direct output by the average ratios of GVA to output and of FTE employees to output among organisations within the government, health, and education sector located in the West Midlands.</w:t>
      </w:r>
    </w:p>
    <w:p w14:paraId="435E9559" w14:textId="0A5D8F65" w:rsidR="009B693C" w:rsidRPr="0078056B" w:rsidRDefault="009B693C" w:rsidP="009B693C">
      <w:r w:rsidRPr="0078056B">
        <w:t xml:space="preserve">The </w:t>
      </w:r>
      <w:r w:rsidRPr="0078056B">
        <w:rPr>
          <w:b/>
          <w:bCs/>
          <w:color w:val="06357A"/>
        </w:rPr>
        <w:t>direct impact</w:t>
      </w:r>
      <w:r w:rsidRPr="0078056B">
        <w:t xml:space="preserve"> of the University of Birmingham’s wider knowledge exchange activities is made up of </w:t>
      </w:r>
      <w:r w:rsidRPr="0078056B">
        <w:rPr>
          <w:b/>
          <w:bCs/>
          <w:color w:val="06357A"/>
        </w:rPr>
        <w:t>£109 million</w:t>
      </w:r>
      <w:r w:rsidRPr="0078056B">
        <w:t xml:space="preserve"> </w:t>
      </w:r>
      <w:r w:rsidR="00C26610" w:rsidRPr="0078056B">
        <w:t xml:space="preserve">in </w:t>
      </w:r>
      <w:r w:rsidRPr="0078056B">
        <w:t xml:space="preserve">income from contract research activities, </w:t>
      </w:r>
      <w:r w:rsidRPr="0078056B">
        <w:rPr>
          <w:b/>
          <w:bCs/>
          <w:color w:val="06357A"/>
        </w:rPr>
        <w:t>£6 million</w:t>
      </w:r>
      <w:r w:rsidRPr="0078056B">
        <w:t xml:space="preserve"> in revenues associated with consultancy services, </w:t>
      </w:r>
      <w:r w:rsidRPr="0078056B">
        <w:rPr>
          <w:b/>
          <w:bCs/>
          <w:color w:val="06357A"/>
        </w:rPr>
        <w:t>£1.3 million</w:t>
      </w:r>
      <w:r w:rsidRPr="0078056B">
        <w:t xml:space="preserve"> of IP licensing income, </w:t>
      </w:r>
      <w:r w:rsidRPr="0078056B">
        <w:rPr>
          <w:b/>
          <w:bCs/>
          <w:color w:val="06357A"/>
        </w:rPr>
        <w:t>£0.7 million</w:t>
      </w:r>
      <w:r w:rsidRPr="0078056B">
        <w:t xml:space="preserve"> of income generated from business and community courses, as well as </w:t>
      </w:r>
      <w:r w:rsidRPr="0078056B">
        <w:rPr>
          <w:b/>
          <w:bCs/>
          <w:color w:val="06357A"/>
        </w:rPr>
        <w:t>£0.1 million</w:t>
      </w:r>
      <w:r w:rsidRPr="0078056B">
        <w:t xml:space="preserve"> of income associated with the hire of the University of Birmingham’s research facilities. The total direct impact therefore stood at </w:t>
      </w:r>
      <w:r w:rsidRPr="0078056B">
        <w:rPr>
          <w:b/>
          <w:bCs/>
          <w:color w:val="06357A"/>
        </w:rPr>
        <w:t>£117 million</w:t>
      </w:r>
      <w:r w:rsidRPr="0078056B">
        <w:t xml:space="preserve"> in the 2021-22 academic year. The associated impact in GVA terms stood at </w:t>
      </w:r>
      <w:r w:rsidRPr="0078056B">
        <w:rPr>
          <w:b/>
          <w:bCs/>
          <w:color w:val="06357A"/>
        </w:rPr>
        <w:t>£79 million</w:t>
      </w:r>
      <w:r w:rsidRPr="0078056B">
        <w:t xml:space="preserve"> while supporting </w:t>
      </w:r>
      <w:r w:rsidRPr="0078056B">
        <w:rPr>
          <w:b/>
          <w:bCs/>
          <w:color w:val="06357A"/>
        </w:rPr>
        <w:t>1,525</w:t>
      </w:r>
      <w:r w:rsidRPr="0078056B">
        <w:t xml:space="preserve"> FTE employment.</w:t>
      </w:r>
    </w:p>
    <w:p w14:paraId="1E943CCB" w14:textId="703A0811" w:rsidR="009B693C" w:rsidRPr="0078056B" w:rsidRDefault="009B693C" w:rsidP="009B693C">
      <w:r w:rsidRPr="0078056B">
        <w:t xml:space="preserve">To estimate the </w:t>
      </w:r>
      <w:r w:rsidRPr="0078056B">
        <w:rPr>
          <w:b/>
          <w:bCs/>
          <w:color w:val="06357A"/>
        </w:rPr>
        <w:t>total direct, indirect, and induced impacts</w:t>
      </w:r>
      <w:r w:rsidRPr="0078056B">
        <w:t xml:space="preserve"> associated with the University of Birmingham’s income from each of the wider knowledge exchange activities, we then multiplied these direct impacts by the estimated average economic multipliers associated with organisations in the government, health, and education sector in the West Midlands</w:t>
      </w:r>
      <w:r w:rsidRPr="0078056B">
        <w:rPr>
          <w:rStyle w:val="FootnoteReference"/>
        </w:rPr>
        <w:footnoteReference w:id="37"/>
      </w:r>
      <w:r w:rsidRPr="0078056B">
        <w:t>. These multipliers (for the impact on the West Midlands and the UK economy as a whole) are</w:t>
      </w:r>
      <w:r w:rsidR="00307258" w:rsidRPr="0078056B">
        <w:t xml:space="preserve"> the same as those</w:t>
      </w:r>
      <w:r w:rsidRPr="0078056B">
        <w:t xml:space="preserve"> presented in </w:t>
      </w:r>
      <w:r w:rsidR="00307258" w:rsidRPr="0078056B">
        <w:fldChar w:fldCharType="begin"/>
      </w:r>
      <w:r w:rsidR="00307258" w:rsidRPr="0078056B">
        <w:instrText xml:space="preserve"> REF _Ref162252529 \r \h  \* MERGEFORMAT </w:instrText>
      </w:r>
      <w:r w:rsidR="00307258" w:rsidRPr="0078056B">
        <w:fldChar w:fldCharType="separate"/>
      </w:r>
      <w:r w:rsidR="00E33157">
        <w:t>Table 3</w:t>
      </w:r>
      <w:r w:rsidR="00307258" w:rsidRPr="0078056B">
        <w:fldChar w:fldCharType="end"/>
      </w:r>
      <w:r w:rsidR="00307258" w:rsidRPr="0078056B">
        <w:t xml:space="preserve"> in Section </w:t>
      </w:r>
      <w:r w:rsidR="00307258" w:rsidRPr="0078056B">
        <w:fldChar w:fldCharType="begin"/>
      </w:r>
      <w:r w:rsidR="00307258" w:rsidRPr="0078056B">
        <w:instrText xml:space="preserve"> REF _Ref160114268 \r \h  \* MERGEFORMAT </w:instrText>
      </w:r>
      <w:r w:rsidR="00307258" w:rsidRPr="0078056B">
        <w:fldChar w:fldCharType="separate"/>
      </w:r>
      <w:r w:rsidR="00E33157">
        <w:t>2.1.3</w:t>
      </w:r>
      <w:r w:rsidR="00307258" w:rsidRPr="0078056B">
        <w:fldChar w:fldCharType="end"/>
      </w:r>
      <w:r w:rsidRPr="0078056B">
        <w:t>.</w:t>
      </w:r>
    </w:p>
    <w:p w14:paraId="62CC5D5A" w14:textId="28B18510" w:rsidR="009B693C" w:rsidRPr="0078056B" w:rsidRDefault="009B693C" w:rsidP="009B693C">
      <w:r w:rsidRPr="0078056B">
        <w:t xml:space="preserve">Combining the economic impacts generated by the University of Birmingham’s contract research, consultancy services, IP licensing, business and community courses, and facilities and equipment lease and hire, </w:t>
      </w:r>
      <w:r w:rsidRPr="0078056B">
        <w:fldChar w:fldCharType="begin"/>
      </w:r>
      <w:r w:rsidRPr="0078056B">
        <w:instrText xml:space="preserve"> REF _Ref104730922 \r \h  \* MERGEFORMAT </w:instrText>
      </w:r>
      <w:r w:rsidRPr="0078056B">
        <w:fldChar w:fldCharType="separate"/>
      </w:r>
      <w:r w:rsidR="00E33157">
        <w:t>Table 6</w:t>
      </w:r>
      <w:r w:rsidRPr="0078056B">
        <w:fldChar w:fldCharType="end"/>
      </w:r>
      <w:r w:rsidRPr="0078056B">
        <w:t xml:space="preserve"> presents the </w:t>
      </w:r>
      <w:r w:rsidRPr="0078056B">
        <w:rPr>
          <w:b/>
          <w:bCs/>
          <w:color w:val="06357A"/>
        </w:rPr>
        <w:t>aggregate impact</w:t>
      </w:r>
      <w:r w:rsidRPr="0078056B">
        <w:t xml:space="preserve"> associated with the University of Birmingham’s </w:t>
      </w:r>
      <w:r w:rsidRPr="0078056B">
        <w:rPr>
          <w:b/>
          <w:bCs/>
          <w:color w:val="06357A"/>
        </w:rPr>
        <w:t>wider knowledge exchange activities</w:t>
      </w:r>
      <w:r w:rsidRPr="0078056B">
        <w:t xml:space="preserve"> in the 2021-22 academic year.</w:t>
      </w:r>
    </w:p>
    <w:p w14:paraId="0B05109F" w14:textId="0EFF114E" w:rsidR="007F6D69" w:rsidRPr="0078056B" w:rsidRDefault="007F6D69" w:rsidP="009B693C">
      <w:r w:rsidRPr="0078056B">
        <w:t xml:space="preserve">Therefore, the analysis estimates that, in 2021-22, wider knowledge exchange activities generated an estimated total of </w:t>
      </w:r>
      <w:r w:rsidRPr="0078056B">
        <w:rPr>
          <w:b/>
          <w:bCs/>
          <w:color w:val="06357A"/>
        </w:rPr>
        <w:t>£267 million</w:t>
      </w:r>
      <w:r w:rsidRPr="0078056B">
        <w:rPr>
          <w:color w:val="06357A" w:themeColor="accent1"/>
        </w:rPr>
        <w:t xml:space="preserve"> </w:t>
      </w:r>
      <w:r w:rsidRPr="0078056B">
        <w:t xml:space="preserve">of economic output across the UK economy. The total GVA impact is estimated at </w:t>
      </w:r>
      <w:r w:rsidRPr="0078056B">
        <w:rPr>
          <w:b/>
          <w:bCs/>
          <w:color w:val="06357A"/>
        </w:rPr>
        <w:t>£164 million</w:t>
      </w:r>
      <w:r w:rsidRPr="0078056B">
        <w:t xml:space="preserve"> and an estimated </w:t>
      </w:r>
      <w:r w:rsidRPr="0078056B">
        <w:rPr>
          <w:b/>
          <w:bCs/>
          <w:color w:val="06357A"/>
        </w:rPr>
        <w:t>2,725 FTE jobs</w:t>
      </w:r>
      <w:r w:rsidRPr="0078056B">
        <w:t xml:space="preserve"> are supported across the UK economy.</w:t>
      </w:r>
    </w:p>
    <w:p w14:paraId="55264419" w14:textId="34C8A5D4" w:rsidR="009B693C" w:rsidRPr="0078056B" w:rsidRDefault="009B693C" w:rsidP="009B693C">
      <w:pPr>
        <w:pStyle w:val="TableTitle"/>
      </w:pPr>
      <w:bookmarkStart w:id="167" w:name="_Ref104730922"/>
      <w:bookmarkStart w:id="168" w:name="_Toc110610484"/>
      <w:bookmarkStart w:id="169" w:name="_Toc156480250"/>
      <w:bookmarkStart w:id="170" w:name="_Toc160803957"/>
      <w:bookmarkStart w:id="171" w:name="_Toc168652161"/>
      <w:r w:rsidRPr="0078056B">
        <w:t>Economic impact associated with the University of Birmingham’s wider knowledge exchange activities in 2021-2</w:t>
      </w:r>
      <w:bookmarkEnd w:id="167"/>
      <w:bookmarkEnd w:id="168"/>
      <w:r w:rsidRPr="0078056B">
        <w:t>2</w:t>
      </w:r>
      <w:bookmarkEnd w:id="169"/>
      <w:bookmarkEnd w:id="170"/>
      <w:bookmarkEnd w:id="171"/>
    </w:p>
    <w:tbl>
      <w:tblPr>
        <w:tblW w:w="8874" w:type="dxa"/>
        <w:tblBorders>
          <w:top w:val="single" w:sz="4" w:space="0" w:color="BFBFBF"/>
          <w:bottom w:val="single" w:sz="4" w:space="0" w:color="BFBFBF"/>
          <w:insideH w:val="single" w:sz="4" w:space="0" w:color="BFBFBF"/>
          <w:insideV w:val="single" w:sz="4" w:space="0" w:color="BFBFBF"/>
        </w:tblBorders>
        <w:tblLayout w:type="fixed"/>
        <w:tblCellMar>
          <w:left w:w="0" w:type="dxa"/>
          <w:right w:w="0" w:type="dxa"/>
        </w:tblCellMar>
        <w:tblLook w:val="0000" w:firstRow="0" w:lastRow="0" w:firstColumn="0" w:lastColumn="0" w:noHBand="0" w:noVBand="0"/>
      </w:tblPr>
      <w:tblGrid>
        <w:gridCol w:w="2835"/>
        <w:gridCol w:w="2013"/>
        <w:gridCol w:w="2013"/>
        <w:gridCol w:w="2013"/>
      </w:tblGrid>
      <w:tr w:rsidR="009B693C" w:rsidRPr="0078056B" w14:paraId="6BDD4D41" w14:textId="77777777" w:rsidTr="000A186C">
        <w:tc>
          <w:tcPr>
            <w:tcW w:w="2835" w:type="dxa"/>
            <w:tcBorders>
              <w:top w:val="single" w:sz="4" w:space="0" w:color="06357A"/>
              <w:bottom w:val="single" w:sz="4" w:space="0" w:color="06357A"/>
            </w:tcBorders>
            <w:shd w:val="clear" w:color="auto" w:fill="auto"/>
          </w:tcPr>
          <w:p w14:paraId="380F5D55" w14:textId="77777777" w:rsidR="009B693C" w:rsidRPr="0078056B" w:rsidRDefault="009B693C" w:rsidP="000A186C">
            <w:pPr>
              <w:pStyle w:val="TableHeading"/>
              <w:keepNext/>
              <w:jc w:val="both"/>
            </w:pPr>
            <w:r w:rsidRPr="0078056B">
              <w:t>Type of impact</w:t>
            </w:r>
          </w:p>
        </w:tc>
        <w:tc>
          <w:tcPr>
            <w:tcW w:w="2013" w:type="dxa"/>
            <w:tcBorders>
              <w:top w:val="single" w:sz="4" w:space="0" w:color="06357A"/>
              <w:bottom w:val="single" w:sz="4" w:space="0" w:color="06357A"/>
            </w:tcBorders>
            <w:shd w:val="clear" w:color="auto" w:fill="auto"/>
            <w:vAlign w:val="center"/>
          </w:tcPr>
          <w:p w14:paraId="407C4F16" w14:textId="77777777" w:rsidR="009B693C" w:rsidRPr="0078056B" w:rsidRDefault="009B693C" w:rsidP="000A186C">
            <w:pPr>
              <w:pStyle w:val="TableHeading"/>
              <w:keepNext/>
              <w:jc w:val="center"/>
            </w:pPr>
            <w:r w:rsidRPr="0078056B">
              <w:t>Output, £m</w:t>
            </w:r>
          </w:p>
        </w:tc>
        <w:tc>
          <w:tcPr>
            <w:tcW w:w="2013" w:type="dxa"/>
            <w:tcBorders>
              <w:top w:val="single" w:sz="4" w:space="0" w:color="06357A"/>
              <w:bottom w:val="single" w:sz="4" w:space="0" w:color="06357A"/>
            </w:tcBorders>
            <w:shd w:val="clear" w:color="auto" w:fill="auto"/>
            <w:vAlign w:val="center"/>
          </w:tcPr>
          <w:p w14:paraId="7BF2C439" w14:textId="77777777" w:rsidR="009B693C" w:rsidRPr="0078056B" w:rsidRDefault="009B693C" w:rsidP="000A186C">
            <w:pPr>
              <w:pStyle w:val="TableHeading"/>
              <w:keepNext/>
              <w:jc w:val="center"/>
            </w:pPr>
            <w:r w:rsidRPr="0078056B">
              <w:t>GVA, £m</w:t>
            </w:r>
          </w:p>
        </w:tc>
        <w:tc>
          <w:tcPr>
            <w:tcW w:w="2013" w:type="dxa"/>
            <w:tcBorders>
              <w:top w:val="single" w:sz="4" w:space="0" w:color="06357A"/>
              <w:bottom w:val="single" w:sz="4" w:space="0" w:color="06357A"/>
            </w:tcBorders>
            <w:shd w:val="clear" w:color="auto" w:fill="auto"/>
            <w:vAlign w:val="center"/>
          </w:tcPr>
          <w:p w14:paraId="2B5EB89E" w14:textId="77777777" w:rsidR="009B693C" w:rsidRPr="0078056B" w:rsidRDefault="009B693C" w:rsidP="000A186C">
            <w:pPr>
              <w:pStyle w:val="TableHeading"/>
              <w:keepNext/>
              <w:jc w:val="center"/>
            </w:pPr>
            <w:r w:rsidRPr="0078056B">
              <w:t># of FTE employees</w:t>
            </w:r>
          </w:p>
        </w:tc>
      </w:tr>
      <w:tr w:rsidR="009B693C" w:rsidRPr="0078056B" w14:paraId="2A6DD357" w14:textId="77777777" w:rsidTr="000A186C">
        <w:tc>
          <w:tcPr>
            <w:tcW w:w="2835" w:type="dxa"/>
            <w:tcBorders>
              <w:top w:val="single" w:sz="4" w:space="0" w:color="06357A"/>
              <w:bottom w:val="single" w:sz="4" w:space="0" w:color="BFBFBF"/>
            </w:tcBorders>
            <w:shd w:val="clear" w:color="auto" w:fill="auto"/>
          </w:tcPr>
          <w:p w14:paraId="23E997DF" w14:textId="77777777" w:rsidR="009B693C" w:rsidRPr="0078056B" w:rsidRDefault="009B693C" w:rsidP="000A186C">
            <w:pPr>
              <w:pStyle w:val="TableText"/>
              <w:keepNext/>
              <w:jc w:val="both"/>
            </w:pPr>
            <w:r w:rsidRPr="0078056B">
              <w:t>Direct impact</w:t>
            </w:r>
          </w:p>
        </w:tc>
        <w:tc>
          <w:tcPr>
            <w:tcW w:w="2013" w:type="dxa"/>
            <w:tcBorders>
              <w:top w:val="single" w:sz="4" w:space="0" w:color="06357A"/>
              <w:bottom w:val="single" w:sz="4" w:space="0" w:color="BFBFBF"/>
            </w:tcBorders>
            <w:shd w:val="clear" w:color="auto" w:fill="auto"/>
          </w:tcPr>
          <w:p w14:paraId="53741728" w14:textId="77777777" w:rsidR="009B693C" w:rsidRPr="0078056B" w:rsidRDefault="009B693C" w:rsidP="000A186C">
            <w:pPr>
              <w:pStyle w:val="TableText"/>
              <w:keepNext/>
              <w:jc w:val="center"/>
              <w:rPr>
                <w:szCs w:val="20"/>
              </w:rPr>
            </w:pPr>
            <w:r w:rsidRPr="0078056B">
              <w:t xml:space="preserve">£117m </w:t>
            </w:r>
          </w:p>
        </w:tc>
        <w:tc>
          <w:tcPr>
            <w:tcW w:w="2013" w:type="dxa"/>
            <w:tcBorders>
              <w:top w:val="single" w:sz="4" w:space="0" w:color="06357A"/>
              <w:bottom w:val="single" w:sz="4" w:space="0" w:color="BFBFBF"/>
            </w:tcBorders>
            <w:shd w:val="clear" w:color="auto" w:fill="auto"/>
          </w:tcPr>
          <w:p w14:paraId="27A94EDF" w14:textId="77777777" w:rsidR="009B693C" w:rsidRPr="0078056B" w:rsidRDefault="009B693C" w:rsidP="000A186C">
            <w:pPr>
              <w:pStyle w:val="TableText"/>
              <w:keepNext/>
              <w:jc w:val="center"/>
              <w:rPr>
                <w:szCs w:val="20"/>
              </w:rPr>
            </w:pPr>
            <w:r w:rsidRPr="0078056B">
              <w:t xml:space="preserve">£79m </w:t>
            </w:r>
          </w:p>
        </w:tc>
        <w:tc>
          <w:tcPr>
            <w:tcW w:w="2013" w:type="dxa"/>
            <w:tcBorders>
              <w:top w:val="single" w:sz="4" w:space="0" w:color="06357A"/>
              <w:bottom w:val="single" w:sz="4" w:space="0" w:color="BFBFBF"/>
            </w:tcBorders>
            <w:shd w:val="clear" w:color="auto" w:fill="auto"/>
          </w:tcPr>
          <w:p w14:paraId="254385B9" w14:textId="77777777" w:rsidR="009B693C" w:rsidRPr="0078056B" w:rsidRDefault="009B693C" w:rsidP="000A186C">
            <w:pPr>
              <w:pStyle w:val="TableText"/>
              <w:keepNext/>
              <w:jc w:val="center"/>
              <w:rPr>
                <w:szCs w:val="20"/>
              </w:rPr>
            </w:pPr>
            <w:r w:rsidRPr="0078056B">
              <w:t>1,525</w:t>
            </w:r>
          </w:p>
        </w:tc>
      </w:tr>
      <w:tr w:rsidR="009B693C" w:rsidRPr="0078056B" w14:paraId="53A49BFA" w14:textId="77777777" w:rsidTr="000A186C">
        <w:tc>
          <w:tcPr>
            <w:tcW w:w="2835" w:type="dxa"/>
            <w:tcBorders>
              <w:bottom w:val="single" w:sz="2" w:space="0" w:color="06357A"/>
            </w:tcBorders>
            <w:shd w:val="clear" w:color="auto" w:fill="auto"/>
          </w:tcPr>
          <w:p w14:paraId="52516EDF" w14:textId="77777777" w:rsidR="009B693C" w:rsidRPr="0078056B" w:rsidRDefault="009B693C" w:rsidP="000A186C">
            <w:pPr>
              <w:pStyle w:val="TableText"/>
              <w:keepNext/>
              <w:jc w:val="both"/>
            </w:pPr>
            <w:r w:rsidRPr="0078056B">
              <w:t>Indirect and induced impact</w:t>
            </w:r>
          </w:p>
        </w:tc>
        <w:tc>
          <w:tcPr>
            <w:tcW w:w="2013" w:type="dxa"/>
            <w:tcBorders>
              <w:bottom w:val="single" w:sz="2" w:space="0" w:color="06357A"/>
            </w:tcBorders>
            <w:shd w:val="clear" w:color="auto" w:fill="auto"/>
          </w:tcPr>
          <w:p w14:paraId="191738AE" w14:textId="77777777" w:rsidR="009B693C" w:rsidRPr="0078056B" w:rsidRDefault="009B693C" w:rsidP="000A186C">
            <w:pPr>
              <w:pStyle w:val="TableText"/>
              <w:keepNext/>
              <w:jc w:val="center"/>
              <w:rPr>
                <w:szCs w:val="20"/>
              </w:rPr>
            </w:pPr>
            <w:r w:rsidRPr="0078056B">
              <w:t xml:space="preserve">£150m </w:t>
            </w:r>
          </w:p>
        </w:tc>
        <w:tc>
          <w:tcPr>
            <w:tcW w:w="2013" w:type="dxa"/>
            <w:tcBorders>
              <w:bottom w:val="single" w:sz="2" w:space="0" w:color="06357A"/>
            </w:tcBorders>
            <w:shd w:val="clear" w:color="auto" w:fill="auto"/>
          </w:tcPr>
          <w:p w14:paraId="2AE6329F" w14:textId="77777777" w:rsidR="009B693C" w:rsidRPr="0078056B" w:rsidRDefault="009B693C" w:rsidP="000A186C">
            <w:pPr>
              <w:pStyle w:val="TableText"/>
              <w:keepNext/>
              <w:jc w:val="center"/>
              <w:rPr>
                <w:szCs w:val="20"/>
              </w:rPr>
            </w:pPr>
            <w:r w:rsidRPr="0078056B">
              <w:t xml:space="preserve">£85m </w:t>
            </w:r>
          </w:p>
        </w:tc>
        <w:tc>
          <w:tcPr>
            <w:tcW w:w="2013" w:type="dxa"/>
            <w:tcBorders>
              <w:bottom w:val="single" w:sz="2" w:space="0" w:color="06357A"/>
            </w:tcBorders>
            <w:shd w:val="clear" w:color="auto" w:fill="auto"/>
          </w:tcPr>
          <w:p w14:paraId="5C30B535" w14:textId="77777777" w:rsidR="009B693C" w:rsidRPr="0078056B" w:rsidRDefault="009B693C" w:rsidP="000A186C">
            <w:pPr>
              <w:pStyle w:val="TableText"/>
              <w:keepNext/>
              <w:jc w:val="center"/>
              <w:rPr>
                <w:szCs w:val="20"/>
              </w:rPr>
            </w:pPr>
            <w:r w:rsidRPr="0078056B">
              <w:t>1,200</w:t>
            </w:r>
          </w:p>
        </w:tc>
      </w:tr>
      <w:tr w:rsidR="009B693C" w:rsidRPr="0078056B" w14:paraId="56D91947" w14:textId="77777777" w:rsidTr="000A186C">
        <w:tc>
          <w:tcPr>
            <w:tcW w:w="2835" w:type="dxa"/>
            <w:tcBorders>
              <w:top w:val="single" w:sz="2" w:space="0" w:color="06357A"/>
              <w:bottom w:val="single" w:sz="2" w:space="0" w:color="06357A"/>
            </w:tcBorders>
            <w:shd w:val="clear" w:color="auto" w:fill="auto"/>
          </w:tcPr>
          <w:p w14:paraId="6D00AAF9" w14:textId="77777777" w:rsidR="009B693C" w:rsidRPr="0078056B" w:rsidRDefault="009B693C" w:rsidP="000A186C">
            <w:pPr>
              <w:pStyle w:val="TableText"/>
              <w:keepNext/>
              <w:jc w:val="both"/>
              <w:rPr>
                <w:b/>
                <w:bCs/>
                <w:color w:val="06357A"/>
              </w:rPr>
            </w:pPr>
            <w:r w:rsidRPr="0078056B">
              <w:rPr>
                <w:b/>
                <w:bCs/>
                <w:color w:val="06357A"/>
              </w:rPr>
              <w:t>Total impact</w:t>
            </w:r>
          </w:p>
        </w:tc>
        <w:tc>
          <w:tcPr>
            <w:tcW w:w="2013" w:type="dxa"/>
            <w:tcBorders>
              <w:top w:val="single" w:sz="2" w:space="0" w:color="06357A"/>
              <w:bottom w:val="single" w:sz="2" w:space="0" w:color="06357A"/>
            </w:tcBorders>
            <w:shd w:val="clear" w:color="auto" w:fill="auto"/>
          </w:tcPr>
          <w:p w14:paraId="4DABF48A" w14:textId="77777777" w:rsidR="009B693C" w:rsidRPr="0078056B" w:rsidRDefault="009B693C" w:rsidP="000A186C">
            <w:pPr>
              <w:pStyle w:val="TableText"/>
              <w:keepNext/>
              <w:jc w:val="center"/>
              <w:rPr>
                <w:rFonts w:cs="Calibri"/>
                <w:b/>
                <w:bCs/>
                <w:color w:val="06357A"/>
                <w:szCs w:val="20"/>
              </w:rPr>
            </w:pPr>
            <w:r w:rsidRPr="0078056B">
              <w:rPr>
                <w:b/>
                <w:bCs/>
                <w:color w:val="06357A"/>
              </w:rPr>
              <w:t xml:space="preserve">£267m </w:t>
            </w:r>
          </w:p>
        </w:tc>
        <w:tc>
          <w:tcPr>
            <w:tcW w:w="2013" w:type="dxa"/>
            <w:tcBorders>
              <w:top w:val="single" w:sz="2" w:space="0" w:color="06357A"/>
              <w:bottom w:val="single" w:sz="2" w:space="0" w:color="06357A"/>
            </w:tcBorders>
            <w:shd w:val="clear" w:color="auto" w:fill="auto"/>
          </w:tcPr>
          <w:p w14:paraId="58D12321" w14:textId="77777777" w:rsidR="009B693C" w:rsidRPr="0078056B" w:rsidRDefault="009B693C" w:rsidP="000A186C">
            <w:pPr>
              <w:pStyle w:val="TableText"/>
              <w:keepNext/>
              <w:jc w:val="center"/>
              <w:rPr>
                <w:rFonts w:cs="Calibri"/>
                <w:b/>
                <w:bCs/>
                <w:color w:val="06357A"/>
                <w:szCs w:val="20"/>
              </w:rPr>
            </w:pPr>
            <w:r w:rsidRPr="0078056B">
              <w:rPr>
                <w:b/>
                <w:bCs/>
                <w:color w:val="06357A"/>
              </w:rPr>
              <w:t xml:space="preserve">£164m </w:t>
            </w:r>
          </w:p>
        </w:tc>
        <w:tc>
          <w:tcPr>
            <w:tcW w:w="2013" w:type="dxa"/>
            <w:tcBorders>
              <w:top w:val="single" w:sz="2" w:space="0" w:color="06357A"/>
              <w:bottom w:val="single" w:sz="2" w:space="0" w:color="06357A"/>
            </w:tcBorders>
            <w:shd w:val="clear" w:color="auto" w:fill="auto"/>
          </w:tcPr>
          <w:p w14:paraId="6A3D9063" w14:textId="77777777" w:rsidR="009B693C" w:rsidRPr="0078056B" w:rsidRDefault="009B693C" w:rsidP="000A186C">
            <w:pPr>
              <w:pStyle w:val="TableText"/>
              <w:keepNext/>
              <w:jc w:val="center"/>
              <w:rPr>
                <w:rFonts w:cs="Calibri"/>
                <w:b/>
                <w:bCs/>
                <w:color w:val="06357A"/>
                <w:szCs w:val="20"/>
              </w:rPr>
            </w:pPr>
            <w:r w:rsidRPr="0078056B">
              <w:rPr>
                <w:b/>
                <w:bCs/>
                <w:color w:val="06357A"/>
              </w:rPr>
              <w:t>2,725</w:t>
            </w:r>
          </w:p>
        </w:tc>
      </w:tr>
    </w:tbl>
    <w:p w14:paraId="61ABA789" w14:textId="77777777" w:rsidR="009B693C" w:rsidRPr="0078056B" w:rsidRDefault="009B693C" w:rsidP="009B693C">
      <w:pPr>
        <w:pStyle w:val="TableNote"/>
        <w:jc w:val="both"/>
      </w:pPr>
      <w:r w:rsidRPr="0078056B">
        <w:t>Note: All monetary values are presented in 2021-22 prices and rounded to the nearest £1 million. The employment figures are rounded to the nearest 5.</w:t>
      </w:r>
    </w:p>
    <w:p w14:paraId="11471E72" w14:textId="77777777" w:rsidR="009B693C" w:rsidRPr="0078056B" w:rsidRDefault="009B693C" w:rsidP="009B693C">
      <w:pPr>
        <w:pStyle w:val="TableNote"/>
        <w:jc w:val="both"/>
        <w:rPr>
          <w:b/>
          <w:bCs/>
          <w:i/>
          <w:iCs/>
        </w:rPr>
      </w:pPr>
      <w:r w:rsidRPr="0078056B">
        <w:rPr>
          <w:b/>
          <w:bCs/>
          <w:i/>
          <w:iCs/>
        </w:rPr>
        <w:t>Source: London Economics’ analysis</w:t>
      </w:r>
    </w:p>
    <w:p w14:paraId="294C0B8B" w14:textId="77777777" w:rsidR="009B693C" w:rsidRPr="0078056B" w:rsidRDefault="009B693C" w:rsidP="009B693C">
      <w:pPr>
        <w:pStyle w:val="Heading3"/>
      </w:pPr>
      <w:bookmarkStart w:id="172" w:name="_Toc138171528"/>
      <w:bookmarkStart w:id="173" w:name="_Toc143772683"/>
      <w:r w:rsidRPr="0078056B">
        <w:lastRenderedPageBreak/>
        <w:t>Total economic impact of the University of Birmingham’s knowledge exchange activities</w:t>
      </w:r>
    </w:p>
    <w:p w14:paraId="6563A158" w14:textId="6EC4BD8C" w:rsidR="009B693C" w:rsidRPr="0078056B" w:rsidRDefault="009B693C" w:rsidP="009B693C">
      <w:r w:rsidRPr="0078056B">
        <w:t xml:space="preserve">The combined knowledge exchange </w:t>
      </w:r>
      <w:r w:rsidR="008F315F" w:rsidRPr="0078056B">
        <w:t xml:space="preserve">and commercialisation </w:t>
      </w:r>
      <w:r w:rsidRPr="0078056B">
        <w:t xml:space="preserve">activities of the University of Birmingham in 2021-22 </w:t>
      </w:r>
      <w:r w:rsidRPr="0078056B">
        <w:rPr>
          <w:i/>
          <w:iCs/>
        </w:rPr>
        <w:t xml:space="preserve">directly </w:t>
      </w:r>
      <w:r w:rsidRPr="0078056B">
        <w:t xml:space="preserve">generated an estimated </w:t>
      </w:r>
      <w:r w:rsidRPr="0078056B">
        <w:rPr>
          <w:b/>
          <w:bCs/>
          <w:color w:val="06357A"/>
        </w:rPr>
        <w:t>£147 million</w:t>
      </w:r>
      <w:r w:rsidRPr="0078056B">
        <w:t xml:space="preserve"> in terms of </w:t>
      </w:r>
      <w:r w:rsidRPr="0078056B">
        <w:rPr>
          <w:b/>
          <w:bCs/>
          <w:color w:val="06357A"/>
        </w:rPr>
        <w:t>economic output</w:t>
      </w:r>
      <w:r w:rsidRPr="0078056B">
        <w:t xml:space="preserve"> across the UK economy. The corresponding value in terms of </w:t>
      </w:r>
      <w:r w:rsidRPr="0078056B">
        <w:rPr>
          <w:b/>
          <w:bCs/>
          <w:color w:val="06357A"/>
        </w:rPr>
        <w:t>GVA</w:t>
      </w:r>
      <w:r w:rsidRPr="0078056B">
        <w:t xml:space="preserve"> stood at </w:t>
      </w:r>
      <w:r w:rsidRPr="0078056B">
        <w:rPr>
          <w:b/>
          <w:bCs/>
          <w:color w:val="06357A"/>
        </w:rPr>
        <w:t>£95 million</w:t>
      </w:r>
      <w:r w:rsidRPr="0078056B">
        <w:t xml:space="preserve"> and the activities supported </w:t>
      </w:r>
      <w:r w:rsidRPr="0078056B">
        <w:rPr>
          <w:b/>
          <w:bCs/>
          <w:color w:val="06357A"/>
        </w:rPr>
        <w:t>2,340 FTE jobs</w:t>
      </w:r>
      <w:r w:rsidRPr="0078056B">
        <w:t xml:space="preserve"> across the UK economy. When accounting for the indirect and induced impacts of these knowledge exchange activities, the total impact stood at </w:t>
      </w:r>
      <w:r w:rsidRPr="0078056B">
        <w:rPr>
          <w:b/>
          <w:bCs/>
          <w:color w:val="06357A"/>
        </w:rPr>
        <w:t>£348 million</w:t>
      </w:r>
      <w:r w:rsidRPr="0078056B">
        <w:t xml:space="preserve"> (</w:t>
      </w:r>
      <w:r w:rsidRPr="0078056B">
        <w:fldChar w:fldCharType="begin"/>
      </w:r>
      <w:r w:rsidRPr="0078056B">
        <w:instrText xml:space="preserve"> REF _Ref160734466 \r \h  \* MERGEFORMAT </w:instrText>
      </w:r>
      <w:r w:rsidRPr="0078056B">
        <w:fldChar w:fldCharType="separate"/>
      </w:r>
      <w:r w:rsidR="00E33157">
        <w:t>Figure 8</w:t>
      </w:r>
      <w:r w:rsidRPr="0078056B">
        <w:fldChar w:fldCharType="end"/>
      </w:r>
      <w:r w:rsidRPr="0078056B">
        <w:t>).</w:t>
      </w:r>
    </w:p>
    <w:p w14:paraId="3A31A29B" w14:textId="77777777" w:rsidR="009B693C" w:rsidRPr="0078056B" w:rsidRDefault="009B693C" w:rsidP="009B693C">
      <w:r w:rsidRPr="0078056B">
        <w:t xml:space="preserve">Of the total value of </w:t>
      </w:r>
      <w:r w:rsidRPr="0078056B">
        <w:rPr>
          <w:b/>
          <w:bCs/>
          <w:color w:val="06357A"/>
        </w:rPr>
        <w:t>£348 million</w:t>
      </w:r>
      <w:r w:rsidRPr="0078056B">
        <w:t xml:space="preserve">, contract research contributes </w:t>
      </w:r>
      <w:r w:rsidRPr="0078056B">
        <w:rPr>
          <w:b/>
          <w:bCs/>
          <w:color w:val="06357A"/>
        </w:rPr>
        <w:t>71%</w:t>
      </w:r>
      <w:r w:rsidRPr="0078056B">
        <w:t xml:space="preserve"> (</w:t>
      </w:r>
      <w:r w:rsidRPr="0078056B">
        <w:rPr>
          <w:b/>
          <w:bCs/>
          <w:color w:val="06357A"/>
        </w:rPr>
        <w:t>£248 million</w:t>
      </w:r>
      <w:r w:rsidRPr="0078056B">
        <w:t xml:space="preserve">), followed by </w:t>
      </w:r>
      <w:r w:rsidRPr="0078056B">
        <w:rPr>
          <w:b/>
          <w:bCs/>
          <w:color w:val="06357A"/>
        </w:rPr>
        <w:t>14%</w:t>
      </w:r>
      <w:r w:rsidRPr="0078056B">
        <w:rPr>
          <w:color w:val="06357A"/>
        </w:rPr>
        <w:t xml:space="preserve"> </w:t>
      </w:r>
      <w:r w:rsidRPr="0078056B">
        <w:t>(</w:t>
      </w:r>
      <w:r w:rsidRPr="0078056B">
        <w:rPr>
          <w:b/>
          <w:bCs/>
          <w:color w:val="06357A"/>
        </w:rPr>
        <w:t>£49 million</w:t>
      </w:r>
      <w:r w:rsidRPr="0078056B">
        <w:t>)</w:t>
      </w:r>
      <w:r w:rsidRPr="0078056B">
        <w:rPr>
          <w:color w:val="06357A"/>
        </w:rPr>
        <w:t xml:space="preserve"> </w:t>
      </w:r>
      <w:r w:rsidRPr="0078056B">
        <w:t xml:space="preserve">from the University of Birmingham’s active UK-based start-up companies and </w:t>
      </w:r>
      <w:r w:rsidRPr="0078056B">
        <w:rPr>
          <w:b/>
          <w:bCs/>
          <w:color w:val="06357A"/>
        </w:rPr>
        <w:t>9%</w:t>
      </w:r>
      <w:r w:rsidRPr="0078056B">
        <w:rPr>
          <w:color w:val="06357A"/>
        </w:rPr>
        <w:t xml:space="preserve"> </w:t>
      </w:r>
      <w:r w:rsidRPr="0078056B">
        <w:t>(</w:t>
      </w:r>
      <w:r w:rsidRPr="0078056B">
        <w:rPr>
          <w:b/>
          <w:bCs/>
          <w:color w:val="06357A"/>
        </w:rPr>
        <w:t>£33 million</w:t>
      </w:r>
      <w:r w:rsidRPr="0078056B">
        <w:t>)</w:t>
      </w:r>
      <w:r w:rsidRPr="0078056B">
        <w:rPr>
          <w:color w:val="06357A"/>
        </w:rPr>
        <w:t xml:space="preserve"> </w:t>
      </w:r>
      <w:r w:rsidRPr="0078056B">
        <w:t>from spinout companies.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9B693C" w:rsidRPr="0078056B" w14:paraId="06BAADD7" w14:textId="77777777" w:rsidTr="000A186C">
        <w:trPr>
          <w:cantSplit/>
        </w:trPr>
        <w:tc>
          <w:tcPr>
            <w:tcW w:w="0" w:type="auto"/>
          </w:tcPr>
          <w:p w14:paraId="1D37F4E5" w14:textId="77777777" w:rsidR="009B693C" w:rsidRPr="0078056B" w:rsidRDefault="009B693C" w:rsidP="000A186C">
            <w:pPr>
              <w:pStyle w:val="FigureTitle"/>
            </w:pPr>
            <w:bookmarkStart w:id="174" w:name="_Ref160734466"/>
            <w:bookmarkStart w:id="175" w:name="_Toc160803971"/>
            <w:bookmarkStart w:id="176" w:name="_Toc168652189"/>
            <w:r w:rsidRPr="0078056B">
              <w:t>Total economic impact associated with the University of Birmingham’s knowledge exchange activities in 2021-22 by activity, £m</w:t>
            </w:r>
            <w:bookmarkEnd w:id="174"/>
            <w:bookmarkEnd w:id="175"/>
            <w:bookmarkEnd w:id="176"/>
          </w:p>
        </w:tc>
      </w:tr>
      <w:tr w:rsidR="009B693C" w:rsidRPr="0078056B" w14:paraId="5478C497" w14:textId="77777777" w:rsidTr="000A186C">
        <w:trPr>
          <w:cantSplit/>
        </w:trPr>
        <w:tc>
          <w:tcPr>
            <w:tcW w:w="0" w:type="auto"/>
          </w:tcPr>
          <w:p w14:paraId="42ABD0DF" w14:textId="77777777" w:rsidR="009B693C" w:rsidRPr="0078056B" w:rsidRDefault="009B693C" w:rsidP="000A186C">
            <w:pPr>
              <w:pStyle w:val="PlaceholderText"/>
            </w:pPr>
            <w:r w:rsidRPr="0078056B">
              <w:rPr>
                <w:noProof/>
              </w:rPr>
              <w:drawing>
                <wp:inline distT="0" distB="0" distL="0" distR="0" wp14:anchorId="159D4848" wp14:editId="4DEAB0B9">
                  <wp:extent cx="5616000" cy="3506937"/>
                  <wp:effectExtent l="0" t="0" r="0" b="0"/>
                  <wp:docPr id="2037025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48356" name="Picture 1"/>
                          <pic:cNvPicPr>
                            <a:picLocks noChangeAspect="1" noChangeArrowheads="1"/>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rcRect t="3623" b="3623"/>
                          <a:stretch>
                            <a:fillRect/>
                          </a:stretch>
                        </pic:blipFill>
                        <pic:spPr bwMode="auto">
                          <a:xfrm>
                            <a:off x="0" y="0"/>
                            <a:ext cx="5616000" cy="3506937"/>
                          </a:xfrm>
                          <a:prstGeom prst="rect">
                            <a:avLst/>
                          </a:prstGeom>
                          <a:extLst>
                            <a:ext uri="{53640926-AAD7-44D8-BBD7-CCE9431645EC}">
                              <a14:shadowObscured xmlns:a14="http://schemas.microsoft.com/office/drawing/2010/main"/>
                            </a:ext>
                          </a:extLst>
                        </pic:spPr>
                      </pic:pic>
                    </a:graphicData>
                  </a:graphic>
                </wp:inline>
              </w:drawing>
            </w:r>
          </w:p>
        </w:tc>
      </w:tr>
      <w:tr w:rsidR="009B693C" w:rsidRPr="0078056B" w14:paraId="3ED1B7DC" w14:textId="77777777" w:rsidTr="000A186C">
        <w:trPr>
          <w:cantSplit/>
        </w:trPr>
        <w:tc>
          <w:tcPr>
            <w:tcW w:w="0" w:type="auto"/>
          </w:tcPr>
          <w:p w14:paraId="381ABCEF" w14:textId="77777777" w:rsidR="009B693C" w:rsidRPr="0078056B" w:rsidRDefault="009B693C" w:rsidP="000A186C">
            <w:pPr>
              <w:pStyle w:val="TableSource"/>
              <w:jc w:val="both"/>
              <w:rPr>
                <w:b w:val="0"/>
                <w:i w:val="0"/>
              </w:rPr>
            </w:pPr>
            <w:r w:rsidRPr="0078056B">
              <w:rPr>
                <w:b w:val="0"/>
                <w:i w:val="0"/>
              </w:rPr>
              <w:t>Note: Monetary estimates are presented in 2021-22 prices, rounded to the nearest £1 million, and may not add up precisely to the totals indicated. Bubbles not to scale.</w:t>
            </w:r>
          </w:p>
          <w:p w14:paraId="74CEDBC3" w14:textId="77777777" w:rsidR="009B693C" w:rsidRPr="0078056B" w:rsidRDefault="009B693C" w:rsidP="000A186C">
            <w:pPr>
              <w:pStyle w:val="TableSource"/>
            </w:pPr>
            <w:r w:rsidRPr="0078056B">
              <w:t>Source: London Economics’ analysis</w:t>
            </w:r>
          </w:p>
        </w:tc>
      </w:tr>
    </w:tbl>
    <w:p w14:paraId="0E873BAE" w14:textId="77777777" w:rsidR="009B693C" w:rsidRPr="0078056B" w:rsidRDefault="009B693C" w:rsidP="009B693C">
      <w:pPr>
        <w:pStyle w:val="Heading2"/>
        <w:numPr>
          <w:ilvl w:val="1"/>
          <w:numId w:val="13"/>
        </w:numPr>
      </w:pPr>
      <w:bookmarkStart w:id="177" w:name="_Toc160803941"/>
      <w:bookmarkStart w:id="178" w:name="_Toc168652121"/>
      <w:r w:rsidRPr="0078056B">
        <w:t>Total impact of the University of Birmingham’s research and knowledge exchange activities</w:t>
      </w:r>
      <w:bookmarkEnd w:id="172"/>
      <w:bookmarkEnd w:id="173"/>
      <w:bookmarkEnd w:id="177"/>
      <w:bookmarkEnd w:id="178"/>
    </w:p>
    <w:p w14:paraId="750943FF" w14:textId="5A562BD2" w:rsidR="009B693C" w:rsidRPr="0078056B" w:rsidRDefault="009B693C" w:rsidP="009B693C">
      <w:r w:rsidRPr="0078056B">
        <w:t xml:space="preserve">The total economic impact on the UK economy associated with the University of Birmingham’s research and knowledge exchange activities in 2021-22 was estimated to be approximately </w:t>
      </w:r>
      <w:r w:rsidRPr="0078056B">
        <w:rPr>
          <w:b/>
          <w:bCs/>
          <w:color w:val="06357A"/>
        </w:rPr>
        <w:t>£1.4 billion</w:t>
      </w:r>
      <w:r w:rsidRPr="0078056B">
        <w:t xml:space="preserve"> (</w:t>
      </w:r>
      <w:r w:rsidRPr="0078056B">
        <w:fldChar w:fldCharType="begin"/>
      </w:r>
      <w:r w:rsidRPr="0078056B">
        <w:instrText xml:space="preserve"> REF _Ref142666808 \r \h  \* MERGEFORMAT </w:instrText>
      </w:r>
      <w:r w:rsidRPr="0078056B">
        <w:fldChar w:fldCharType="separate"/>
      </w:r>
      <w:r w:rsidR="00E33157">
        <w:t>Figure 9</w:t>
      </w:r>
      <w:r w:rsidRPr="0078056B">
        <w:fldChar w:fldCharType="end"/>
      </w:r>
      <w:r w:rsidRPr="0078056B">
        <w:t xml:space="preserve">). </w:t>
      </w:r>
      <w:r w:rsidR="00307258" w:rsidRPr="0078056B">
        <w:t>A breakdown by region and sector</w:t>
      </w:r>
      <w:r w:rsidR="00C57F65" w:rsidRPr="0078056B">
        <w:t xml:space="preserve">, where available, </w:t>
      </w:r>
      <w:r w:rsidR="00307258" w:rsidRPr="0078056B">
        <w:t xml:space="preserve">is </w:t>
      </w:r>
      <w:r w:rsidR="00C57F65" w:rsidRPr="0078056B">
        <w:t xml:space="preserve">presented </w:t>
      </w:r>
      <w:r w:rsidR="00307258" w:rsidRPr="0078056B">
        <w:t xml:space="preserve">in Annex </w:t>
      </w:r>
      <w:r w:rsidR="00307258" w:rsidRPr="0078056B">
        <w:fldChar w:fldCharType="begin"/>
      </w:r>
      <w:r w:rsidR="00307258" w:rsidRPr="0078056B">
        <w:instrText xml:space="preserve"> REF _Ref162253237 \r \h  \* MERGEFORMAT </w:instrText>
      </w:r>
      <w:r w:rsidR="00307258" w:rsidRPr="0078056B">
        <w:fldChar w:fldCharType="separate"/>
      </w:r>
      <w:r w:rsidR="00E33157">
        <w:t>A2.2.3</w:t>
      </w:r>
      <w:r w:rsidR="00307258" w:rsidRPr="0078056B">
        <w:fldChar w:fldCharType="end"/>
      </w:r>
      <w:r w:rsidR="00307258" w:rsidRPr="0078056B">
        <w:t xml:space="preserve">. </w:t>
      </w:r>
      <w:r w:rsidRPr="0078056B">
        <w:t>In terms of the components of this impact:</w:t>
      </w:r>
    </w:p>
    <w:p w14:paraId="7F8279E8" w14:textId="77777777" w:rsidR="009B693C" w:rsidRPr="0078056B" w:rsidRDefault="009B693C" w:rsidP="003A6119">
      <w:pPr>
        <w:pStyle w:val="MinorBullet1"/>
        <w:numPr>
          <w:ilvl w:val="0"/>
          <w:numId w:val="21"/>
        </w:numPr>
      </w:pPr>
      <w:r w:rsidRPr="0078056B">
        <w:t xml:space="preserve">University of Birmingham’s </w:t>
      </w:r>
      <w:r w:rsidRPr="0078056B">
        <w:rPr>
          <w:b/>
          <w:bCs/>
          <w:color w:val="06357A"/>
        </w:rPr>
        <w:t>research activities</w:t>
      </w:r>
      <w:r w:rsidRPr="0078056B">
        <w:t xml:space="preserve"> accounted for </w:t>
      </w:r>
      <w:r w:rsidRPr="0078056B">
        <w:rPr>
          <w:b/>
          <w:bCs/>
          <w:color w:val="06357A"/>
        </w:rPr>
        <w:t>£192 million</w:t>
      </w:r>
      <w:r w:rsidRPr="0078056B">
        <w:t>;</w:t>
      </w:r>
    </w:p>
    <w:p w14:paraId="4B8BA541" w14:textId="7A0A8D27" w:rsidR="009B693C" w:rsidRPr="0078056B" w:rsidRDefault="009B693C" w:rsidP="003A6119">
      <w:pPr>
        <w:pStyle w:val="MinorBullet1"/>
        <w:numPr>
          <w:ilvl w:val="0"/>
          <w:numId w:val="21"/>
        </w:numPr>
      </w:pPr>
      <w:r w:rsidRPr="0078056B">
        <w:t xml:space="preserve">The associated </w:t>
      </w:r>
      <w:r w:rsidRPr="0078056B">
        <w:rPr>
          <w:b/>
          <w:bCs/>
          <w:color w:val="06357A"/>
        </w:rPr>
        <w:t xml:space="preserve">productivity spillovers </w:t>
      </w:r>
      <w:r w:rsidRPr="0078056B">
        <w:t xml:space="preserve">to the </w:t>
      </w:r>
      <w:r w:rsidR="000F22A8" w:rsidRPr="0078056B">
        <w:t xml:space="preserve">wider </w:t>
      </w:r>
      <w:r w:rsidRPr="0078056B">
        <w:t xml:space="preserve">UK economy stood at </w:t>
      </w:r>
      <w:r w:rsidRPr="0078056B">
        <w:rPr>
          <w:b/>
          <w:bCs/>
          <w:color w:val="06357A"/>
        </w:rPr>
        <w:t>£858 million</w:t>
      </w:r>
      <w:r w:rsidRPr="0078056B">
        <w:t>; and,</w:t>
      </w:r>
    </w:p>
    <w:p w14:paraId="474F7EB6" w14:textId="6EFF9841" w:rsidR="009B693C" w:rsidRPr="0078056B" w:rsidRDefault="009B693C" w:rsidP="003A6119">
      <w:pPr>
        <w:pStyle w:val="MinorBullet1"/>
        <w:numPr>
          <w:ilvl w:val="0"/>
          <w:numId w:val="21"/>
        </w:numPr>
      </w:pPr>
      <w:r w:rsidRPr="0078056B">
        <w:lastRenderedPageBreak/>
        <w:t xml:space="preserve">The impact associated with the University of Birmingham’s </w:t>
      </w:r>
      <w:r w:rsidRPr="0078056B">
        <w:rPr>
          <w:b/>
          <w:bCs/>
          <w:color w:val="06357A"/>
        </w:rPr>
        <w:t xml:space="preserve">knowledge exchange activities </w:t>
      </w:r>
      <w:r w:rsidRPr="0078056B">
        <w:t xml:space="preserve">is estimated </w:t>
      </w:r>
      <w:r w:rsidR="007C4830" w:rsidRPr="0078056B">
        <w:t xml:space="preserve">to be </w:t>
      </w:r>
      <w:r w:rsidRPr="0078056B">
        <w:rPr>
          <w:b/>
          <w:bCs/>
          <w:color w:val="06357A"/>
        </w:rPr>
        <w:t>£348 million</w:t>
      </w:r>
      <w:r w:rsidRPr="0078056B">
        <w:t>, including:</w:t>
      </w:r>
    </w:p>
    <w:p w14:paraId="4FBCECA0" w14:textId="50EFFE7E" w:rsidR="009B693C" w:rsidRPr="0078056B" w:rsidRDefault="009B693C" w:rsidP="003A6119">
      <w:pPr>
        <w:pStyle w:val="MinorBullet2"/>
        <w:numPr>
          <w:ilvl w:val="1"/>
          <w:numId w:val="21"/>
        </w:numPr>
      </w:pPr>
      <w:r w:rsidRPr="0078056B">
        <w:rPr>
          <w:b/>
          <w:bCs/>
          <w:color w:val="06357A"/>
        </w:rPr>
        <w:t xml:space="preserve">Spinout </w:t>
      </w:r>
      <w:r w:rsidRPr="0078056B">
        <w:t xml:space="preserve">and </w:t>
      </w:r>
      <w:r w:rsidRPr="0078056B">
        <w:rPr>
          <w:b/>
          <w:bCs/>
          <w:color w:val="06357A"/>
        </w:rPr>
        <w:t>start-up companies</w:t>
      </w:r>
      <w:r w:rsidR="007A18E0" w:rsidRPr="0078056B">
        <w:rPr>
          <w:b/>
          <w:bCs/>
          <w:color w:val="06357A"/>
        </w:rPr>
        <w:t xml:space="preserve"> </w:t>
      </w:r>
      <w:r w:rsidR="007A18E0" w:rsidRPr="0078056B">
        <w:rPr>
          <w:color w:val="000000" w:themeColor="text1"/>
        </w:rPr>
        <w:t>(</w:t>
      </w:r>
      <w:r w:rsidR="007A18E0" w:rsidRPr="0078056B">
        <w:rPr>
          <w:b/>
          <w:bCs/>
          <w:color w:val="06357A"/>
        </w:rPr>
        <w:t>£82 million</w:t>
      </w:r>
      <w:r w:rsidR="007A18E0" w:rsidRPr="0078056B">
        <w:rPr>
          <w:color w:val="000000" w:themeColor="text1"/>
        </w:rPr>
        <w:t>)</w:t>
      </w:r>
      <w:r w:rsidRPr="0078056B">
        <w:t>;</w:t>
      </w:r>
    </w:p>
    <w:p w14:paraId="1DCE8E2B" w14:textId="41225D42" w:rsidR="009B693C" w:rsidRPr="0078056B" w:rsidRDefault="009B693C" w:rsidP="003A6119">
      <w:pPr>
        <w:pStyle w:val="MinorBullet2"/>
        <w:numPr>
          <w:ilvl w:val="1"/>
          <w:numId w:val="21"/>
        </w:numPr>
      </w:pPr>
      <w:r w:rsidRPr="0078056B">
        <w:rPr>
          <w:b/>
          <w:bCs/>
          <w:color w:val="06357A"/>
        </w:rPr>
        <w:t xml:space="preserve">Contract research </w:t>
      </w:r>
      <w:r w:rsidRPr="0078056B">
        <w:t>provided by the University of Birmingham</w:t>
      </w:r>
      <w:r w:rsidR="007A18E0" w:rsidRPr="0078056B">
        <w:t xml:space="preserve"> </w:t>
      </w:r>
      <w:r w:rsidR="007A18E0" w:rsidRPr="0078056B">
        <w:rPr>
          <w:color w:val="000000" w:themeColor="text1"/>
        </w:rPr>
        <w:t>(</w:t>
      </w:r>
      <w:r w:rsidR="007A18E0" w:rsidRPr="0078056B">
        <w:rPr>
          <w:b/>
          <w:bCs/>
          <w:color w:val="06357A"/>
        </w:rPr>
        <w:t>£248 million</w:t>
      </w:r>
      <w:r w:rsidR="007A18E0" w:rsidRPr="0078056B">
        <w:rPr>
          <w:color w:val="000000" w:themeColor="text1"/>
        </w:rPr>
        <w:t>)</w:t>
      </w:r>
      <w:r w:rsidRPr="0078056B">
        <w:t>;</w:t>
      </w:r>
    </w:p>
    <w:p w14:paraId="1830CB82" w14:textId="0C4FB8FF" w:rsidR="009B693C" w:rsidRPr="0078056B" w:rsidRDefault="009B693C" w:rsidP="003A6119">
      <w:pPr>
        <w:pStyle w:val="MinorBullet2"/>
        <w:numPr>
          <w:ilvl w:val="1"/>
          <w:numId w:val="21"/>
        </w:numPr>
      </w:pPr>
      <w:r w:rsidRPr="0078056B">
        <w:rPr>
          <w:b/>
          <w:bCs/>
          <w:color w:val="06357A"/>
        </w:rPr>
        <w:t xml:space="preserve">Consultancy services </w:t>
      </w:r>
      <w:r w:rsidRPr="0078056B">
        <w:t>provided by the University of Birmingham</w:t>
      </w:r>
      <w:r w:rsidR="007A18E0" w:rsidRPr="0078056B">
        <w:t xml:space="preserve"> </w:t>
      </w:r>
      <w:r w:rsidR="007A18E0" w:rsidRPr="0078056B">
        <w:rPr>
          <w:color w:val="000000" w:themeColor="text1"/>
        </w:rPr>
        <w:t>(</w:t>
      </w:r>
      <w:r w:rsidR="007A18E0" w:rsidRPr="0078056B">
        <w:rPr>
          <w:b/>
          <w:bCs/>
          <w:color w:val="06357A"/>
        </w:rPr>
        <w:t>£14 million</w:t>
      </w:r>
      <w:r w:rsidR="007A18E0" w:rsidRPr="0078056B">
        <w:rPr>
          <w:color w:val="000000" w:themeColor="text1"/>
        </w:rPr>
        <w:t>)</w:t>
      </w:r>
      <w:r w:rsidRPr="0078056B">
        <w:t>;</w:t>
      </w:r>
    </w:p>
    <w:p w14:paraId="22FC036F" w14:textId="7D7C9202" w:rsidR="009B693C" w:rsidRPr="0078056B" w:rsidRDefault="009B693C" w:rsidP="003A6119">
      <w:pPr>
        <w:pStyle w:val="MinorBullet2"/>
        <w:numPr>
          <w:ilvl w:val="1"/>
          <w:numId w:val="21"/>
        </w:numPr>
      </w:pPr>
      <w:r w:rsidRPr="0078056B">
        <w:t xml:space="preserve">Licensing of </w:t>
      </w:r>
      <w:r w:rsidRPr="0078056B">
        <w:rPr>
          <w:b/>
          <w:bCs/>
          <w:color w:val="06357A"/>
        </w:rPr>
        <w:t xml:space="preserve">University IP </w:t>
      </w:r>
      <w:r w:rsidRPr="0078056B">
        <w:t>to other organisations</w:t>
      </w:r>
      <w:r w:rsidR="007A18E0" w:rsidRPr="0078056B">
        <w:t xml:space="preserve"> </w:t>
      </w:r>
      <w:r w:rsidR="007A18E0" w:rsidRPr="0078056B">
        <w:rPr>
          <w:color w:val="000000" w:themeColor="text1"/>
        </w:rPr>
        <w:t>(</w:t>
      </w:r>
      <w:r w:rsidR="007A18E0" w:rsidRPr="0078056B">
        <w:rPr>
          <w:b/>
          <w:bCs/>
          <w:color w:val="06357A"/>
        </w:rPr>
        <w:t>£3 million</w:t>
      </w:r>
      <w:r w:rsidR="007A18E0" w:rsidRPr="0078056B">
        <w:rPr>
          <w:color w:val="000000" w:themeColor="text1"/>
        </w:rPr>
        <w:t>)</w:t>
      </w:r>
      <w:r w:rsidRPr="0078056B">
        <w:t>;</w:t>
      </w:r>
    </w:p>
    <w:p w14:paraId="391C7E8F" w14:textId="0C459C9C" w:rsidR="009B693C" w:rsidRPr="0078056B" w:rsidRDefault="009B693C" w:rsidP="003A6119">
      <w:pPr>
        <w:pStyle w:val="MinorBullet2"/>
        <w:numPr>
          <w:ilvl w:val="1"/>
          <w:numId w:val="21"/>
        </w:numPr>
      </w:pPr>
      <w:r w:rsidRPr="0078056B">
        <w:t xml:space="preserve">The </w:t>
      </w:r>
      <w:r w:rsidRPr="0078056B">
        <w:rPr>
          <w:b/>
          <w:bCs/>
          <w:color w:val="06357A"/>
        </w:rPr>
        <w:t>business and community courses</w:t>
      </w:r>
      <w:r w:rsidRPr="0078056B">
        <w:t xml:space="preserve"> provided by the University </w:t>
      </w:r>
      <w:r w:rsidR="007A18E0" w:rsidRPr="0078056B">
        <w:rPr>
          <w:color w:val="000000" w:themeColor="text1"/>
        </w:rPr>
        <w:t>(</w:t>
      </w:r>
      <w:r w:rsidR="007A18E0" w:rsidRPr="0078056B">
        <w:rPr>
          <w:b/>
          <w:bCs/>
          <w:color w:val="06357A"/>
        </w:rPr>
        <w:t>£2 million</w:t>
      </w:r>
      <w:r w:rsidR="007A18E0" w:rsidRPr="0078056B">
        <w:rPr>
          <w:color w:val="000000" w:themeColor="text1"/>
        </w:rPr>
        <w:t>)</w:t>
      </w:r>
      <w:r w:rsidRPr="0078056B">
        <w:t>; and</w:t>
      </w:r>
    </w:p>
    <w:p w14:paraId="1530077F" w14:textId="78C6FF21" w:rsidR="009B693C" w:rsidRPr="0078056B" w:rsidRDefault="009B693C" w:rsidP="003A6119">
      <w:pPr>
        <w:pStyle w:val="MinorBullet2"/>
        <w:numPr>
          <w:ilvl w:val="1"/>
          <w:numId w:val="21"/>
        </w:numPr>
      </w:pPr>
      <w:r w:rsidRPr="0078056B">
        <w:rPr>
          <w:b/>
          <w:bCs/>
          <w:color w:val="06357A"/>
        </w:rPr>
        <w:t>Facilities and equipment hire</w:t>
      </w:r>
      <w:r w:rsidRPr="0078056B">
        <w:t>, and related activities</w:t>
      </w:r>
      <w:r w:rsidR="007A18E0" w:rsidRPr="0078056B">
        <w:t xml:space="preserve"> </w:t>
      </w:r>
      <w:r w:rsidR="007A18E0" w:rsidRPr="0078056B">
        <w:rPr>
          <w:color w:val="000000" w:themeColor="text1"/>
        </w:rPr>
        <w:t>(</w:t>
      </w:r>
      <w:r w:rsidR="007A18E0" w:rsidRPr="0078056B">
        <w:rPr>
          <w:b/>
          <w:bCs/>
          <w:color w:val="06357A"/>
        </w:rPr>
        <w:t>£0.2 million</w:t>
      </w:r>
      <w:r w:rsidR="007A18E0" w:rsidRPr="0078056B">
        <w:rPr>
          <w:color w:val="000000" w:themeColor="text1"/>
        </w:rPr>
        <w:t>)</w:t>
      </w:r>
      <w:r w:rsidRPr="0078056B">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9B693C" w:rsidRPr="0078056B" w14:paraId="7F58C3A8" w14:textId="77777777" w:rsidTr="000A186C">
        <w:trPr>
          <w:cantSplit/>
        </w:trPr>
        <w:tc>
          <w:tcPr>
            <w:tcW w:w="0" w:type="auto"/>
          </w:tcPr>
          <w:p w14:paraId="6E9C5AEA" w14:textId="77777777" w:rsidR="009B693C" w:rsidRPr="0078056B" w:rsidRDefault="009B693C" w:rsidP="000A186C">
            <w:pPr>
              <w:pStyle w:val="FigureTitle"/>
            </w:pPr>
            <w:bookmarkStart w:id="179" w:name="_Ref142666808"/>
            <w:bookmarkStart w:id="180" w:name="_Toc143772704"/>
            <w:bookmarkStart w:id="181" w:name="_Toc160803972"/>
            <w:bookmarkStart w:id="182" w:name="_Toc168652190"/>
            <w:r w:rsidRPr="0078056B">
              <w:t>Total impact of the University of Birmingham’s research and knowledge exchange activities in 2021-22, £m</w:t>
            </w:r>
            <w:bookmarkEnd w:id="179"/>
            <w:bookmarkEnd w:id="180"/>
            <w:bookmarkEnd w:id="181"/>
            <w:bookmarkEnd w:id="182"/>
            <w:r w:rsidRPr="0078056B">
              <w:t xml:space="preserve"> </w:t>
            </w:r>
          </w:p>
        </w:tc>
      </w:tr>
      <w:tr w:rsidR="009B693C" w:rsidRPr="0078056B" w14:paraId="23980B90" w14:textId="77777777" w:rsidTr="000A186C">
        <w:trPr>
          <w:cantSplit/>
        </w:trPr>
        <w:tc>
          <w:tcPr>
            <w:tcW w:w="0" w:type="auto"/>
          </w:tcPr>
          <w:p w14:paraId="0B56FF97" w14:textId="77777777" w:rsidR="009B693C" w:rsidRPr="0078056B" w:rsidRDefault="009B693C" w:rsidP="00CF1749">
            <w:pPr>
              <w:pStyle w:val="PlaceholderText"/>
              <w:jc w:val="center"/>
            </w:pPr>
            <w:r w:rsidRPr="0078056B">
              <w:rPr>
                <w:noProof/>
              </w:rPr>
              <w:drawing>
                <wp:inline distT="0" distB="0" distL="0" distR="0" wp14:anchorId="3F8A7662" wp14:editId="295B1F84">
                  <wp:extent cx="4738515" cy="3304306"/>
                  <wp:effectExtent l="0" t="0" r="5080" b="0"/>
                  <wp:docPr id="3863167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16744" name="Picture 14"/>
                          <pic:cNvPicPr>
                            <a:picLocks noChangeAspect="1" noChangeArrowheads="1"/>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bwMode="auto">
                          <a:xfrm>
                            <a:off x="0" y="0"/>
                            <a:ext cx="4744141" cy="3308229"/>
                          </a:xfrm>
                          <a:prstGeom prst="rect">
                            <a:avLst/>
                          </a:prstGeom>
                        </pic:spPr>
                      </pic:pic>
                    </a:graphicData>
                  </a:graphic>
                </wp:inline>
              </w:drawing>
            </w:r>
          </w:p>
        </w:tc>
      </w:tr>
      <w:tr w:rsidR="009B693C" w:rsidRPr="0078056B" w14:paraId="12EB0F03" w14:textId="77777777" w:rsidTr="000A186C">
        <w:trPr>
          <w:cantSplit/>
        </w:trPr>
        <w:tc>
          <w:tcPr>
            <w:tcW w:w="0" w:type="auto"/>
          </w:tcPr>
          <w:p w14:paraId="1B0066A3" w14:textId="77777777" w:rsidR="009B693C" w:rsidRPr="0078056B" w:rsidRDefault="009B693C" w:rsidP="000A186C">
            <w:pPr>
              <w:pStyle w:val="TableNote"/>
            </w:pPr>
            <w:r w:rsidRPr="0078056B">
              <w:t>Note: All values are presented in 2021-22 prices, rounded to the nearest £1 million, and may not add up precisely to the totals indicated.</w:t>
            </w:r>
          </w:p>
          <w:p w14:paraId="796E2E17" w14:textId="77777777" w:rsidR="009B693C" w:rsidRPr="0078056B" w:rsidRDefault="009B693C" w:rsidP="000A186C">
            <w:pPr>
              <w:pStyle w:val="TableSource"/>
            </w:pPr>
            <w:r w:rsidRPr="0078056B">
              <w:t>Source: London Economics’ analysis</w:t>
            </w:r>
          </w:p>
        </w:tc>
      </w:tr>
    </w:tbl>
    <w:p w14:paraId="2EC62BAF" w14:textId="77777777" w:rsidR="00696693" w:rsidRPr="0078056B" w:rsidRDefault="00696693">
      <w:pPr>
        <w:spacing w:before="0" w:after="200" w:line="276" w:lineRule="auto"/>
        <w:jc w:val="left"/>
      </w:pPr>
    </w:p>
    <w:p w14:paraId="2AB96ED4" w14:textId="0386B531" w:rsidR="00AF18BB" w:rsidRPr="0078056B" w:rsidRDefault="00AF18BB">
      <w:pPr>
        <w:spacing w:before="0" w:after="200" w:line="276" w:lineRule="auto"/>
        <w:jc w:val="left"/>
      </w:pPr>
      <w:r w:rsidRPr="0078056B">
        <w:br w:type="page"/>
      </w:r>
    </w:p>
    <w:p w14:paraId="6B610849" w14:textId="05AC562B" w:rsidR="00AF18BB" w:rsidRPr="0078056B" w:rsidRDefault="00AF18BB" w:rsidP="00AF18BB">
      <w:pPr>
        <w:pStyle w:val="Heading1"/>
      </w:pPr>
      <w:bookmarkStart w:id="183" w:name="_Ref161750690"/>
      <w:bookmarkStart w:id="184" w:name="_Toc168652122"/>
      <w:r w:rsidRPr="0078056B">
        <w:rPr>
          <w:rStyle w:val="HeaderRepeat"/>
        </w:rPr>
        <w:lastRenderedPageBreak/>
        <w:t>The impact of the University’s teaching and learning activities</w:t>
      </w:r>
      <w:bookmarkEnd w:id="183"/>
      <w:bookmarkEnd w:id="184"/>
    </w:p>
    <w:p w14:paraId="5E144E73" w14:textId="1212782A" w:rsidR="003A6119" w:rsidRPr="0078056B" w:rsidRDefault="00DB0154" w:rsidP="003A6119">
      <w:r w:rsidRPr="0078056B">
        <w:t xml:space="preserve">Teaching and learning activities are one of the University of Birmingham’s primary </w:t>
      </w:r>
      <w:r w:rsidR="003A6119" w:rsidRPr="0078056B">
        <w:t>activities</w:t>
      </w:r>
      <w:r w:rsidRPr="0078056B">
        <w:t xml:space="preserve"> and provide major benefits to </w:t>
      </w:r>
      <w:r w:rsidR="003A6119" w:rsidRPr="0078056B">
        <w:t>the UK economy</w:t>
      </w:r>
      <w:r w:rsidRPr="0078056B">
        <w:t xml:space="preserve"> through improving the </w:t>
      </w:r>
      <w:r w:rsidR="00700667" w:rsidRPr="0078056B">
        <w:t xml:space="preserve">labour market </w:t>
      </w:r>
      <w:r w:rsidRPr="0078056B">
        <w:t>productivity of graduates</w:t>
      </w:r>
      <w:r w:rsidR="003A6119" w:rsidRPr="0078056B">
        <w:t>.</w:t>
      </w:r>
      <w:r w:rsidRPr="0078056B">
        <w:t xml:space="preserve"> I</w:t>
      </w:r>
      <w:r w:rsidR="003A6119" w:rsidRPr="0078056B">
        <w:t xml:space="preserve">n this section of the report, we detail our estimates of the economic impact of the teaching and learning activities undertaken at the University of Birmingham, by considering the labour market benefits associated with enhanced qualification attainment and skills acquisition – to </w:t>
      </w:r>
      <w:r w:rsidR="003A6119" w:rsidRPr="0078056B">
        <w:rPr>
          <w:rFonts w:eastAsia="Times New Roman" w:cs="Microsoft Sans Serif"/>
          <w:b/>
          <w:color w:val="06357A"/>
        </w:rPr>
        <w:t>both the individual and the public purse</w:t>
      </w:r>
      <w:r w:rsidR="003A6119" w:rsidRPr="0078056B">
        <w:t>.</w:t>
      </w:r>
    </w:p>
    <w:p w14:paraId="3B7B9487" w14:textId="0107199D" w:rsidR="00DB0154" w:rsidRPr="0078056B" w:rsidRDefault="003D4AAF" w:rsidP="003A6119">
      <w:r w:rsidRPr="0078056B">
        <w:t xml:space="preserve">In addition, we provide evidence on the average earnings and employment outcomes of the University’s graduates as well as the role that the University plays in attracting graduates to the West Midlands. </w:t>
      </w:r>
      <w:r w:rsidR="00DB0154" w:rsidRPr="0078056B">
        <w:t>We also demonstrate the University’s role in training public sector workers in the West Midlands and its role in facilitating apprenticeships.</w:t>
      </w:r>
    </w:p>
    <w:p w14:paraId="4C1280E5" w14:textId="4F84A544" w:rsidR="003A6119" w:rsidRPr="0078056B" w:rsidRDefault="00A101D9" w:rsidP="003A6119">
      <w:pPr>
        <w:pStyle w:val="Heading2"/>
        <w:rPr>
          <w:rFonts w:asciiTheme="minorHAnsi" w:hAnsiTheme="minorHAnsi" w:cstheme="minorHAnsi"/>
        </w:rPr>
      </w:pPr>
      <w:bookmarkStart w:id="185" w:name="_Ref162259129"/>
      <w:bookmarkStart w:id="186" w:name="_Toc168652123"/>
      <w:r w:rsidRPr="0078056B">
        <w:rPr>
          <w:rFonts w:asciiTheme="minorHAnsi" w:hAnsiTheme="minorHAnsi" w:cstheme="minorHAnsi"/>
        </w:rPr>
        <w:t xml:space="preserve">The </w:t>
      </w:r>
      <w:r w:rsidR="006B58E7" w:rsidRPr="0078056B">
        <w:rPr>
          <w:rFonts w:asciiTheme="minorHAnsi" w:hAnsiTheme="minorHAnsi" w:cstheme="minorHAnsi"/>
        </w:rPr>
        <w:t xml:space="preserve">2021-22 cohort of </w:t>
      </w:r>
      <w:r w:rsidRPr="0078056B">
        <w:rPr>
          <w:rFonts w:asciiTheme="minorHAnsi" w:hAnsiTheme="minorHAnsi" w:cstheme="minorHAnsi"/>
        </w:rPr>
        <w:t>domestic</w:t>
      </w:r>
      <w:r w:rsidR="006B58E7" w:rsidRPr="0078056B">
        <w:rPr>
          <w:rFonts w:asciiTheme="minorHAnsi" w:hAnsiTheme="minorHAnsi" w:cstheme="minorHAnsi"/>
        </w:rPr>
        <w:t xml:space="preserve"> University of Birmingham students</w:t>
      </w:r>
      <w:bookmarkEnd w:id="185"/>
      <w:bookmarkEnd w:id="186"/>
    </w:p>
    <w:p w14:paraId="7CE7B957" w14:textId="77777777" w:rsidR="003A6119" w:rsidRPr="0078056B" w:rsidRDefault="003A6119" w:rsidP="003A6119">
      <w:pPr>
        <w:spacing w:before="160" w:after="160"/>
      </w:pPr>
      <w:r w:rsidRPr="0078056B">
        <w:t xml:space="preserve">The analysis of the economic impact of the teaching and learning activities of the University of Birmingham is based on the </w:t>
      </w:r>
      <w:r w:rsidRPr="0078056B">
        <w:rPr>
          <w:rFonts w:eastAsia="Times New Roman" w:cs="Microsoft Sans Serif"/>
          <w:b/>
          <w:color w:val="06357A"/>
        </w:rPr>
        <w:t>2021-22 cohort of UK domiciled students</w:t>
      </w:r>
      <w:r w:rsidRPr="0078056B">
        <w:t xml:space="preserve">. In other words, instead of the University’s entire student body of </w:t>
      </w:r>
      <w:r w:rsidRPr="0078056B">
        <w:rPr>
          <w:b/>
          <w:bCs/>
          <w:color w:val="06357A"/>
        </w:rPr>
        <w:t>37,990</w:t>
      </w:r>
      <w:r w:rsidRPr="0078056B">
        <w:rPr>
          <w:b/>
          <w:bCs/>
          <w:color w:val="0B5ED7" w:themeColor="accent2"/>
        </w:rPr>
        <w:t xml:space="preserve"> </w:t>
      </w:r>
      <w:r w:rsidRPr="0078056B">
        <w:t>students in the 2021-22 academic year (</w:t>
      </w:r>
      <w:r w:rsidRPr="0078056B">
        <w:rPr>
          <w:i/>
          <w:iCs/>
        </w:rPr>
        <w:t>irrespective</w:t>
      </w:r>
      <w:r w:rsidRPr="0078056B">
        <w:t xml:space="preserve"> of when these individuals may have started their studies), the analysis in this section focuses on the </w:t>
      </w:r>
      <w:r w:rsidRPr="0078056B">
        <w:rPr>
          <w:b/>
          <w:bCs/>
          <w:color w:val="06357A"/>
        </w:rPr>
        <w:t>10,830</w:t>
      </w:r>
      <w:r w:rsidRPr="0078056B">
        <w:rPr>
          <w:b/>
          <w:bCs/>
        </w:rPr>
        <w:t xml:space="preserve"> </w:t>
      </w:r>
      <w:r w:rsidRPr="0078056B">
        <w:t>UK domiciled</w:t>
      </w:r>
      <w:r w:rsidRPr="0078056B">
        <w:rPr>
          <w:rFonts w:asciiTheme="minorHAnsi" w:hAnsiTheme="minorHAnsi"/>
          <w:vertAlign w:val="superscript"/>
        </w:rPr>
        <w:footnoteReference w:id="38"/>
      </w:r>
      <w:r w:rsidRPr="0078056B">
        <w:t xml:space="preserve"> students </w:t>
      </w:r>
      <w:r w:rsidRPr="0078056B">
        <w:rPr>
          <w:rFonts w:eastAsia="Times New Roman" w:cs="Microsoft Sans Serif"/>
          <w:b/>
          <w:color w:val="06357A"/>
        </w:rPr>
        <w:t>starting higher education qualifications (or standalone modules/credits) in the 2021-22 academic year</w:t>
      </w:r>
      <w:r w:rsidRPr="0078056B">
        <w:rPr>
          <w:rStyle w:val="FootnoteReference"/>
        </w:rPr>
        <w:footnoteReference w:id="39"/>
      </w:r>
      <w:r w:rsidRPr="0078056B">
        <w:t>.</w:t>
      </w:r>
    </w:p>
    <w:p w14:paraId="60BE2AE0" w14:textId="32F4402A" w:rsidR="003A6119" w:rsidRPr="0078056B" w:rsidRDefault="003A6119" w:rsidP="003A6119">
      <w:pPr>
        <w:spacing w:before="160" w:after="160"/>
      </w:pPr>
      <w:r w:rsidRPr="0078056B">
        <w:t xml:space="preserve">In terms of </w:t>
      </w:r>
      <w:r w:rsidRPr="0078056B">
        <w:rPr>
          <w:rFonts w:eastAsia="Times New Roman" w:cs="Microsoft Sans Serif"/>
          <w:b/>
          <w:color w:val="06357A"/>
        </w:rPr>
        <w:t>level of study</w:t>
      </w:r>
      <w:r w:rsidRPr="0078056B">
        <w:rPr>
          <w:color w:val="0B5ED7" w:themeColor="accent2"/>
        </w:rPr>
        <w:t xml:space="preserve"> </w:t>
      </w:r>
      <w:r w:rsidRPr="0078056B">
        <w:t>(</w:t>
      </w:r>
      <w:r w:rsidRPr="0078056B">
        <w:fldChar w:fldCharType="begin"/>
      </w:r>
      <w:r w:rsidRPr="0078056B">
        <w:instrText xml:space="preserve"> REF _Ref160440575 \r \h </w:instrText>
      </w:r>
      <w:r w:rsidR="0078056B">
        <w:instrText xml:space="preserve"> \* MERGEFORMAT </w:instrText>
      </w:r>
      <w:r w:rsidRPr="0078056B">
        <w:fldChar w:fldCharType="separate"/>
      </w:r>
      <w:r w:rsidR="00E33157">
        <w:t>Figure 10</w:t>
      </w:r>
      <w:r w:rsidRPr="0078056B">
        <w:fldChar w:fldCharType="end"/>
      </w:r>
      <w:r w:rsidRPr="0078056B">
        <w:t xml:space="preserve">), </w:t>
      </w:r>
      <w:r w:rsidRPr="0078056B">
        <w:rPr>
          <w:b/>
          <w:bCs/>
          <w:color w:val="06357A"/>
        </w:rPr>
        <w:t>60%</w:t>
      </w:r>
      <w:r w:rsidRPr="0078056B">
        <w:t xml:space="preserve"> (</w:t>
      </w:r>
      <w:r w:rsidRPr="0078056B">
        <w:rPr>
          <w:b/>
          <w:bCs/>
          <w:color w:val="06357A"/>
        </w:rPr>
        <w:t xml:space="preserve">6,455 </w:t>
      </w:r>
      <w:r w:rsidRPr="0078056B">
        <w:t xml:space="preserve">students) of this cohort of UK domiciled students were undertaking </w:t>
      </w:r>
      <w:r w:rsidRPr="0078056B">
        <w:rPr>
          <w:rFonts w:eastAsia="Times New Roman" w:cs="Microsoft Sans Serif"/>
          <w:b/>
          <w:color w:val="06357A"/>
        </w:rPr>
        <w:t>first degrees</w:t>
      </w:r>
      <w:r w:rsidRPr="0078056B">
        <w:t xml:space="preserve">, with a further </w:t>
      </w:r>
      <w:r w:rsidRPr="0078056B">
        <w:rPr>
          <w:b/>
          <w:bCs/>
          <w:color w:val="06357A"/>
        </w:rPr>
        <w:t>2,085</w:t>
      </w:r>
      <w:r w:rsidRPr="0078056B">
        <w:rPr>
          <w:color w:val="0B5ED7" w:themeColor="accent2"/>
        </w:rPr>
        <w:t xml:space="preserve"> </w:t>
      </w:r>
      <w:r w:rsidRPr="0078056B">
        <w:t>students (</w:t>
      </w:r>
      <w:r w:rsidRPr="0078056B">
        <w:rPr>
          <w:b/>
          <w:bCs/>
          <w:color w:val="06357A"/>
        </w:rPr>
        <w:t>19%</w:t>
      </w:r>
      <w:r w:rsidRPr="0078056B">
        <w:t xml:space="preserve">) undertaking </w:t>
      </w:r>
      <w:r w:rsidRPr="0078056B">
        <w:rPr>
          <w:rFonts w:eastAsia="Times New Roman" w:cs="Microsoft Sans Serif"/>
          <w:b/>
          <w:color w:val="06357A"/>
        </w:rPr>
        <w:t>postgraduate taught degrees</w:t>
      </w:r>
      <w:r w:rsidRPr="0078056B">
        <w:t xml:space="preserve">, and </w:t>
      </w:r>
      <w:r w:rsidRPr="0078056B">
        <w:rPr>
          <w:b/>
          <w:bCs/>
          <w:color w:val="06357A"/>
        </w:rPr>
        <w:t xml:space="preserve">1,390 </w:t>
      </w:r>
      <w:r w:rsidRPr="0078056B">
        <w:t>students (</w:t>
      </w:r>
      <w:r w:rsidRPr="0078056B">
        <w:rPr>
          <w:b/>
          <w:bCs/>
          <w:color w:val="06357A"/>
        </w:rPr>
        <w:t>13%</w:t>
      </w:r>
      <w:r w:rsidRPr="0078056B">
        <w:t xml:space="preserve">) enrolled in </w:t>
      </w:r>
      <w:r w:rsidRPr="0078056B">
        <w:rPr>
          <w:rFonts w:eastAsia="Times New Roman" w:cs="Microsoft Sans Serif"/>
          <w:b/>
          <w:color w:val="06357A"/>
        </w:rPr>
        <w:t>other</w:t>
      </w:r>
      <w:r w:rsidRPr="0078056B">
        <w:t xml:space="preserve"> </w:t>
      </w:r>
      <w:r w:rsidRPr="0078056B">
        <w:rPr>
          <w:rFonts w:eastAsia="Times New Roman" w:cs="Microsoft Sans Serif"/>
          <w:b/>
          <w:color w:val="06357A"/>
        </w:rPr>
        <w:t>postgraduate degrees</w:t>
      </w:r>
      <w:r w:rsidRPr="0078056B">
        <w:rPr>
          <w:rStyle w:val="FootnoteReference"/>
        </w:rPr>
        <w:footnoteReference w:id="40"/>
      </w:r>
      <w:r w:rsidRPr="0078056B">
        <w:t xml:space="preserve">. An additional </w:t>
      </w:r>
      <w:r w:rsidRPr="0078056B">
        <w:rPr>
          <w:b/>
          <w:bCs/>
          <w:color w:val="06357A"/>
        </w:rPr>
        <w:t>575</w:t>
      </w:r>
      <w:r w:rsidRPr="0078056B">
        <w:t xml:space="preserve"> (</w:t>
      </w:r>
      <w:r w:rsidRPr="0078056B">
        <w:rPr>
          <w:b/>
          <w:bCs/>
          <w:color w:val="06357A"/>
        </w:rPr>
        <w:t>5%</w:t>
      </w:r>
      <w:r w:rsidRPr="0078056B">
        <w:t xml:space="preserve">) students were undertaking </w:t>
      </w:r>
      <w:r w:rsidRPr="0078056B">
        <w:rPr>
          <w:rFonts w:eastAsia="Times New Roman" w:cs="Microsoft Sans Serif"/>
          <w:b/>
          <w:color w:val="06357A"/>
        </w:rPr>
        <w:t>postgraduate research degrees</w:t>
      </w:r>
      <w:r w:rsidRPr="0078056B">
        <w:t xml:space="preserve">, </w:t>
      </w:r>
      <w:r w:rsidR="00544ED2" w:rsidRPr="0078056B">
        <w:t xml:space="preserve">while </w:t>
      </w:r>
      <w:r w:rsidRPr="0078056B">
        <w:t xml:space="preserve">the remaining </w:t>
      </w:r>
      <w:r w:rsidRPr="0078056B">
        <w:rPr>
          <w:b/>
          <w:bCs/>
          <w:color w:val="06357A"/>
        </w:rPr>
        <w:t>325</w:t>
      </w:r>
      <w:r w:rsidRPr="0078056B">
        <w:rPr>
          <w:color w:val="0B5ED7" w:themeColor="accent2"/>
        </w:rPr>
        <w:t xml:space="preserve"> </w:t>
      </w:r>
      <w:r w:rsidRPr="0078056B">
        <w:rPr>
          <w:bCs/>
        </w:rPr>
        <w:t>(</w:t>
      </w:r>
      <w:r w:rsidRPr="0078056B">
        <w:rPr>
          <w:b/>
          <w:bCs/>
          <w:color w:val="06357A"/>
        </w:rPr>
        <w:t>3%</w:t>
      </w:r>
      <w:r w:rsidRPr="0078056B">
        <w:t xml:space="preserve">) students were enrolled in </w:t>
      </w:r>
      <w:r w:rsidRPr="0078056B">
        <w:rPr>
          <w:rFonts w:eastAsia="Times New Roman" w:cs="Microsoft Sans Serif"/>
          <w:b/>
          <w:color w:val="06357A"/>
        </w:rPr>
        <w:t>other undergraduate qualifications</w:t>
      </w:r>
      <w:r w:rsidRPr="0078056B">
        <w:rPr>
          <w:rFonts w:asciiTheme="minorHAnsi" w:hAnsiTheme="minorHAnsi"/>
          <w:vertAlign w:val="superscript"/>
        </w:rPr>
        <w:footnoteReference w:id="41"/>
      </w:r>
      <w:r w:rsidRPr="0078056B">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3A6119" w:rsidRPr="0078056B" w14:paraId="11DC895C" w14:textId="77777777" w:rsidTr="000A186C">
        <w:trPr>
          <w:cantSplit/>
        </w:trPr>
        <w:tc>
          <w:tcPr>
            <w:tcW w:w="0" w:type="auto"/>
          </w:tcPr>
          <w:p w14:paraId="7A7FBF58" w14:textId="77777777" w:rsidR="003A6119" w:rsidRPr="0078056B" w:rsidRDefault="003A6119" w:rsidP="000A186C">
            <w:pPr>
              <w:pStyle w:val="FigureTitle"/>
            </w:pPr>
            <w:bookmarkStart w:id="187" w:name="_Ref160440575"/>
            <w:bookmarkStart w:id="188" w:name="_Toc160636343"/>
            <w:bookmarkStart w:id="189" w:name="_Toc168652191"/>
            <w:r w:rsidRPr="0078056B">
              <w:lastRenderedPageBreak/>
              <w:t>UK domiciled students in the 2021-22 cohort of University of Birmingham students, by level of study</w:t>
            </w:r>
            <w:bookmarkEnd w:id="187"/>
            <w:bookmarkEnd w:id="188"/>
            <w:bookmarkEnd w:id="189"/>
          </w:p>
        </w:tc>
      </w:tr>
      <w:tr w:rsidR="003A6119" w:rsidRPr="0078056B" w14:paraId="707766BE" w14:textId="77777777" w:rsidTr="000A186C">
        <w:trPr>
          <w:cantSplit/>
        </w:trPr>
        <w:tc>
          <w:tcPr>
            <w:tcW w:w="0" w:type="auto"/>
          </w:tcPr>
          <w:p w14:paraId="548E4199" w14:textId="14CA0CC0" w:rsidR="003A6119" w:rsidRPr="00476AD6" w:rsidRDefault="00476AD6" w:rsidP="003A6119">
            <w:pPr>
              <w:pStyle w:val="PlaceholderText"/>
              <w:jc w:val="center"/>
            </w:pPr>
            <w:r w:rsidRPr="00476AD6">
              <w:rPr>
                <w:noProof/>
              </w:rPr>
              <w:drawing>
                <wp:inline distT="0" distB="0" distL="0" distR="0" wp14:anchorId="44A7345C" wp14:editId="610A1880">
                  <wp:extent cx="3798000" cy="2673988"/>
                  <wp:effectExtent l="0" t="0" r="0" b="0"/>
                  <wp:docPr id="1736271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98000" cy="2673988"/>
                          </a:xfrm>
                          <a:prstGeom prst="rect">
                            <a:avLst/>
                          </a:prstGeom>
                          <a:noFill/>
                          <a:ln>
                            <a:noFill/>
                          </a:ln>
                        </pic:spPr>
                      </pic:pic>
                    </a:graphicData>
                  </a:graphic>
                </wp:inline>
              </w:drawing>
            </w:r>
          </w:p>
        </w:tc>
      </w:tr>
      <w:tr w:rsidR="003A6119" w:rsidRPr="0078056B" w14:paraId="0A3B27DF" w14:textId="77777777" w:rsidTr="000A186C">
        <w:trPr>
          <w:cantSplit/>
        </w:trPr>
        <w:tc>
          <w:tcPr>
            <w:tcW w:w="0" w:type="auto"/>
          </w:tcPr>
          <w:p w14:paraId="2FAD70E6" w14:textId="77777777" w:rsidR="003A6119" w:rsidRPr="0078056B" w:rsidRDefault="003A6119" w:rsidP="00257F75">
            <w:pPr>
              <w:pStyle w:val="TableNote"/>
            </w:pPr>
            <w:r w:rsidRPr="0078056B">
              <w:rPr>
                <w:szCs w:val="16"/>
              </w:rPr>
              <w:t>Note: All numbers are rounded to the nearest 5, and the total values may not add up due to this rounding.</w:t>
            </w:r>
            <w:bookmarkStart w:id="190" w:name="_Hlk160440149"/>
            <w:r w:rsidRPr="0078056B">
              <w:rPr>
                <w:szCs w:val="16"/>
              </w:rPr>
              <w:t xml:space="preserve"> </w:t>
            </w:r>
            <w:r w:rsidRPr="0078056B">
              <w:t xml:space="preserve">‘Other undergraduate’ learning includes Certificates of Higher Education, Foundation Degrees, other undergraduate-level certificates, diplomas and qualifications and undergraduate-level credits. </w:t>
            </w:r>
            <w:r w:rsidRPr="0078056B">
              <w:rPr>
                <w:rFonts w:cstheme="minorHAnsi"/>
                <w:szCs w:val="16"/>
              </w:rPr>
              <w:t>‘Other postgraduate’ learning includes taught work for credit at postgraduate level, Postgraduate Certificates or Professional Graduate Diplomas in Education, and other diplomas and qualifications at postgraduate level.</w:t>
            </w:r>
          </w:p>
          <w:bookmarkEnd w:id="190"/>
          <w:p w14:paraId="2BD0F45C" w14:textId="77777777" w:rsidR="003A6119" w:rsidRPr="0078056B" w:rsidRDefault="003A6119" w:rsidP="00257F75">
            <w:pPr>
              <w:pStyle w:val="TableSource"/>
            </w:pPr>
            <w:r w:rsidRPr="0078056B">
              <w:t>Source: London Economics’ analysis based on University of Birmingham Higher Education Statistics Agency (HESA) data</w:t>
            </w:r>
          </w:p>
        </w:tc>
      </w:tr>
    </w:tbl>
    <w:p w14:paraId="1A753D34" w14:textId="7F486E78" w:rsidR="003A6119" w:rsidRPr="0078056B" w:rsidRDefault="003A6119" w:rsidP="003A6119">
      <w:pPr>
        <w:spacing w:before="160" w:after="160"/>
        <w:rPr>
          <w:rFonts w:eastAsia="Calibri" w:cs="Times New Roman"/>
        </w:rPr>
      </w:pPr>
      <w:r w:rsidRPr="0078056B">
        <w:rPr>
          <w:rFonts w:eastAsia="Calibri" w:cs="Times New Roman"/>
        </w:rPr>
        <w:t xml:space="preserve">In relation to </w:t>
      </w:r>
      <w:r w:rsidRPr="0078056B">
        <w:rPr>
          <w:rFonts w:eastAsia="Calibri" w:cs="Times New Roman"/>
          <w:b/>
          <w:bCs/>
          <w:color w:val="06357A"/>
        </w:rPr>
        <w:t>mode of study</w:t>
      </w:r>
      <w:r w:rsidRPr="0078056B">
        <w:rPr>
          <w:rFonts w:eastAsia="Calibri" w:cs="Times New Roman"/>
        </w:rPr>
        <w:t xml:space="preserve"> (</w:t>
      </w:r>
      <w:r w:rsidRPr="0078056B">
        <w:rPr>
          <w:rFonts w:eastAsia="Calibri" w:cs="Times New Roman"/>
        </w:rPr>
        <w:fldChar w:fldCharType="begin"/>
      </w:r>
      <w:r w:rsidRPr="0078056B">
        <w:rPr>
          <w:rFonts w:eastAsia="Calibri" w:cs="Times New Roman"/>
        </w:rPr>
        <w:instrText xml:space="preserve"> REF _Ref160441151 \r \h </w:instrText>
      </w:r>
      <w:r w:rsidR="0078056B">
        <w:rPr>
          <w:rFonts w:eastAsia="Calibri" w:cs="Times New Roman"/>
        </w:rPr>
        <w:instrText xml:space="preserve"> \* MERGEFORMAT </w:instrText>
      </w:r>
      <w:r w:rsidRPr="0078056B">
        <w:rPr>
          <w:rFonts w:eastAsia="Calibri" w:cs="Times New Roman"/>
        </w:rPr>
      </w:r>
      <w:r w:rsidRPr="0078056B">
        <w:rPr>
          <w:rFonts w:eastAsia="Calibri" w:cs="Times New Roman"/>
        </w:rPr>
        <w:fldChar w:fldCharType="separate"/>
      </w:r>
      <w:r w:rsidR="00E33157">
        <w:rPr>
          <w:rFonts w:eastAsia="Calibri" w:cs="Times New Roman"/>
        </w:rPr>
        <w:t>Figure 11</w:t>
      </w:r>
      <w:r w:rsidRPr="0078056B">
        <w:rPr>
          <w:rFonts w:eastAsia="Calibri" w:cs="Times New Roman"/>
        </w:rPr>
        <w:fldChar w:fldCharType="end"/>
      </w:r>
      <w:r w:rsidRPr="0078056B">
        <w:rPr>
          <w:rFonts w:eastAsia="Calibri" w:cs="Times New Roman"/>
        </w:rPr>
        <w:t xml:space="preserve">), </w:t>
      </w:r>
      <w:r w:rsidRPr="0078056B">
        <w:rPr>
          <w:b/>
          <w:bCs/>
          <w:color w:val="06357A"/>
        </w:rPr>
        <w:t>8,560</w:t>
      </w:r>
      <w:r w:rsidRPr="0078056B">
        <w:rPr>
          <w:rFonts w:eastAsia="Calibri" w:cs="Times New Roman"/>
          <w:b/>
          <w:bCs/>
          <w:color w:val="06357A"/>
        </w:rPr>
        <w:t xml:space="preserve"> </w:t>
      </w:r>
      <w:r w:rsidRPr="0078056B">
        <w:rPr>
          <w:rFonts w:eastAsia="Calibri" w:cs="Times New Roman"/>
        </w:rPr>
        <w:t>(</w:t>
      </w:r>
      <w:r w:rsidRPr="0078056B">
        <w:rPr>
          <w:b/>
          <w:bCs/>
          <w:color w:val="06357A"/>
        </w:rPr>
        <w:t>79%</w:t>
      </w:r>
      <w:r w:rsidRPr="0078056B">
        <w:rPr>
          <w:rFonts w:eastAsia="Calibri" w:cs="Times New Roman"/>
        </w:rPr>
        <w:t xml:space="preserve">) students in the cohort were undertaking their studies with the University of Birmingham on a full-time basis, while the remaining </w:t>
      </w:r>
      <w:r w:rsidRPr="0078056B">
        <w:rPr>
          <w:b/>
          <w:bCs/>
          <w:color w:val="06357A"/>
        </w:rPr>
        <w:t>2,270</w:t>
      </w:r>
      <w:r w:rsidRPr="0078056B">
        <w:rPr>
          <w:rFonts w:eastAsia="Calibri" w:cs="Times New Roman"/>
          <w:b/>
          <w:bCs/>
          <w:color w:val="06357A"/>
        </w:rPr>
        <w:t xml:space="preserve"> </w:t>
      </w:r>
      <w:r w:rsidRPr="0078056B">
        <w:rPr>
          <w:rFonts w:eastAsia="Calibri" w:cs="Times New Roman"/>
        </w:rPr>
        <w:t>(</w:t>
      </w:r>
      <w:r w:rsidRPr="0078056B">
        <w:rPr>
          <w:b/>
          <w:bCs/>
          <w:color w:val="06357A"/>
        </w:rPr>
        <w:t>21%</w:t>
      </w:r>
      <w:r w:rsidRPr="0078056B">
        <w:rPr>
          <w:rFonts w:eastAsia="Calibri" w:cs="Times New Roman"/>
        </w:rPr>
        <w:t>)</w:t>
      </w:r>
      <w:r w:rsidRPr="0078056B">
        <w:rPr>
          <w:rFonts w:eastAsia="Calibri" w:cs="Times New Roman"/>
          <w:color w:val="06357A"/>
        </w:rPr>
        <w:t xml:space="preserve"> </w:t>
      </w:r>
      <w:r w:rsidRPr="0078056B">
        <w:rPr>
          <w:rFonts w:eastAsia="Calibri" w:cs="Times New Roman"/>
        </w:rPr>
        <w:t xml:space="preserve">were enrolled on a part-time basis. As shown in </w:t>
      </w:r>
      <w:r w:rsidR="0021730A" w:rsidRPr="0078056B">
        <w:rPr>
          <w:rFonts w:eastAsia="Calibri" w:cs="Times New Roman"/>
        </w:rPr>
        <w:fldChar w:fldCharType="begin"/>
      </w:r>
      <w:r w:rsidR="0021730A" w:rsidRPr="0078056B">
        <w:rPr>
          <w:rFonts w:eastAsia="Calibri" w:cs="Times New Roman"/>
        </w:rPr>
        <w:instrText xml:space="preserve"> REF _Ref161750038 \r \h </w:instrText>
      </w:r>
      <w:r w:rsidR="0078056B">
        <w:rPr>
          <w:rFonts w:eastAsia="Calibri" w:cs="Times New Roman"/>
        </w:rPr>
        <w:instrText xml:space="preserve"> \* MERGEFORMAT </w:instrText>
      </w:r>
      <w:r w:rsidR="0021730A" w:rsidRPr="0078056B">
        <w:rPr>
          <w:rFonts w:eastAsia="Calibri" w:cs="Times New Roman"/>
        </w:rPr>
      </w:r>
      <w:r w:rsidR="0021730A" w:rsidRPr="0078056B">
        <w:rPr>
          <w:rFonts w:eastAsia="Calibri" w:cs="Times New Roman"/>
        </w:rPr>
        <w:fldChar w:fldCharType="separate"/>
      </w:r>
      <w:r w:rsidR="00E33157">
        <w:rPr>
          <w:rFonts w:eastAsia="Calibri" w:cs="Times New Roman"/>
        </w:rPr>
        <w:t>Table 7</w:t>
      </w:r>
      <w:r w:rsidR="0021730A" w:rsidRPr="0078056B">
        <w:rPr>
          <w:rFonts w:eastAsia="Calibri" w:cs="Times New Roman"/>
        </w:rPr>
        <w:fldChar w:fldCharType="end"/>
      </w:r>
      <w:r w:rsidRPr="0078056B">
        <w:rPr>
          <w:rFonts w:eastAsia="Calibri" w:cs="Times New Roman"/>
        </w:rPr>
        <w:t>, most full-time students were undertaking first degrees (</w:t>
      </w:r>
      <w:r w:rsidRPr="0078056B">
        <w:rPr>
          <w:b/>
          <w:bCs/>
          <w:color w:val="06357A"/>
        </w:rPr>
        <w:t>75%</w:t>
      </w:r>
      <w:r w:rsidRPr="0078056B">
        <w:rPr>
          <w:rFonts w:eastAsia="Calibri" w:cs="Times New Roman"/>
          <w:b/>
          <w:bCs/>
          <w:color w:val="06357A"/>
        </w:rPr>
        <w:t xml:space="preserve"> </w:t>
      </w:r>
      <w:r w:rsidRPr="0078056B">
        <w:rPr>
          <w:rFonts w:eastAsia="Calibri" w:cs="Times New Roman"/>
        </w:rPr>
        <w:t>of full-time students), while part-time students in the cohort were predominantly enrolled in higher degree (taught) qualifications (</w:t>
      </w:r>
      <w:r w:rsidRPr="0078056B">
        <w:rPr>
          <w:b/>
          <w:bCs/>
          <w:color w:val="06357A"/>
        </w:rPr>
        <w:t>41%</w:t>
      </w:r>
      <w:r w:rsidRPr="0078056B">
        <w:rPr>
          <w:rFonts w:eastAsia="Calibri" w:cs="Times New Roman"/>
          <w:b/>
          <w:bCs/>
          <w:color w:val="06357A"/>
        </w:rPr>
        <w:t xml:space="preserve"> </w:t>
      </w:r>
      <w:r w:rsidRPr="0078056B">
        <w:rPr>
          <w:rFonts w:eastAsia="Calibri" w:cs="Times New Roman"/>
        </w:rPr>
        <w:t>of part-time students) or other postgraduate qualifications (</w:t>
      </w:r>
      <w:r w:rsidRPr="0078056B">
        <w:rPr>
          <w:b/>
          <w:bCs/>
          <w:color w:val="06357A"/>
        </w:rPr>
        <w:t>41%</w:t>
      </w:r>
      <w:r w:rsidRPr="0078056B">
        <w:rPr>
          <w:rFonts w:eastAsia="Calibri" w:cs="Times New Roman"/>
        </w:rPr>
        <w:t xml:space="preserve"> of part-time students).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39"/>
        <w:gridCol w:w="568"/>
        <w:gridCol w:w="4137"/>
      </w:tblGrid>
      <w:tr w:rsidR="003A6119" w:rsidRPr="0078056B" w14:paraId="51BCA03C" w14:textId="77777777" w:rsidTr="000A186C">
        <w:trPr>
          <w:cantSplit/>
        </w:trPr>
        <w:tc>
          <w:tcPr>
            <w:tcW w:w="2340" w:type="pct"/>
          </w:tcPr>
          <w:p w14:paraId="1EB9A74B" w14:textId="77777777" w:rsidR="003A6119" w:rsidRPr="0078056B" w:rsidRDefault="003A6119" w:rsidP="000A186C">
            <w:pPr>
              <w:pStyle w:val="FigureTitle"/>
            </w:pPr>
            <w:bookmarkStart w:id="191" w:name="_Ref160441151"/>
            <w:bookmarkStart w:id="192" w:name="_Toc160636344"/>
            <w:bookmarkStart w:id="193" w:name="_Toc168652192"/>
            <w:r w:rsidRPr="0078056B">
              <w:t>UK domiciled students in the 2021-22 cohort of University of Birmingham students, by mode of study</w:t>
            </w:r>
            <w:bookmarkEnd w:id="191"/>
            <w:bookmarkEnd w:id="192"/>
            <w:bookmarkEnd w:id="193"/>
          </w:p>
        </w:tc>
        <w:tc>
          <w:tcPr>
            <w:tcW w:w="321" w:type="pct"/>
          </w:tcPr>
          <w:p w14:paraId="5353B2F3" w14:textId="77777777" w:rsidR="003A6119" w:rsidRPr="0078056B" w:rsidRDefault="003A6119" w:rsidP="003A6119">
            <w:pPr>
              <w:pStyle w:val="PlaceholderText"/>
              <w:numPr>
                <w:ilvl w:val="1"/>
                <w:numId w:val="21"/>
              </w:numPr>
            </w:pPr>
          </w:p>
        </w:tc>
        <w:tc>
          <w:tcPr>
            <w:tcW w:w="2339" w:type="pct"/>
          </w:tcPr>
          <w:p w14:paraId="4D04F1CA" w14:textId="77777777" w:rsidR="003A6119" w:rsidRPr="0078056B" w:rsidRDefault="003A6119" w:rsidP="000A186C">
            <w:pPr>
              <w:pStyle w:val="FigureTitle"/>
            </w:pPr>
            <w:bookmarkStart w:id="194" w:name="_Ref160441855"/>
            <w:bookmarkStart w:id="195" w:name="_Toc160636345"/>
            <w:bookmarkStart w:id="196" w:name="_Toc168652193"/>
            <w:r w:rsidRPr="0078056B">
              <w:t>UK domiciled students in the 2021-22 cohort of University of Birmingham students, by domicile</w:t>
            </w:r>
            <w:bookmarkEnd w:id="194"/>
            <w:bookmarkEnd w:id="195"/>
            <w:bookmarkEnd w:id="196"/>
          </w:p>
        </w:tc>
      </w:tr>
      <w:tr w:rsidR="003A6119" w:rsidRPr="0078056B" w14:paraId="1BC13D32" w14:textId="77777777" w:rsidTr="000A186C">
        <w:tblPrEx>
          <w:tblCellMar>
            <w:left w:w="108" w:type="dxa"/>
            <w:right w:w="108" w:type="dxa"/>
          </w:tblCellMar>
        </w:tblPrEx>
        <w:trPr>
          <w:cantSplit/>
        </w:trPr>
        <w:tc>
          <w:tcPr>
            <w:tcW w:w="2340" w:type="pct"/>
          </w:tcPr>
          <w:p w14:paraId="4C5BED12" w14:textId="60897D29" w:rsidR="003A6119" w:rsidRPr="0078056B" w:rsidRDefault="00476AD6" w:rsidP="003A6119">
            <w:pPr>
              <w:pStyle w:val="PlaceholderText"/>
              <w:jc w:val="center"/>
            </w:pPr>
            <w:r w:rsidRPr="00476AD6">
              <w:rPr>
                <w:noProof/>
              </w:rPr>
              <w:drawing>
                <wp:inline distT="0" distB="0" distL="0" distR="0" wp14:anchorId="227407AE" wp14:editId="51E0EFA8">
                  <wp:extent cx="2296160" cy="2571750"/>
                  <wp:effectExtent l="0" t="0" r="8890" b="0"/>
                  <wp:docPr id="2878720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4756"/>
                          <a:stretch/>
                        </pic:blipFill>
                        <pic:spPr bwMode="auto">
                          <a:xfrm>
                            <a:off x="0" y="0"/>
                            <a:ext cx="2296160" cy="2571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 w:type="pct"/>
          </w:tcPr>
          <w:p w14:paraId="7DA2AC1E" w14:textId="77777777" w:rsidR="003A6119" w:rsidRPr="0078056B" w:rsidRDefault="003A6119" w:rsidP="003A6119">
            <w:pPr>
              <w:pStyle w:val="PlaceholderText"/>
              <w:numPr>
                <w:ilvl w:val="1"/>
                <w:numId w:val="21"/>
              </w:numPr>
            </w:pPr>
          </w:p>
        </w:tc>
        <w:tc>
          <w:tcPr>
            <w:tcW w:w="2339" w:type="pct"/>
          </w:tcPr>
          <w:p w14:paraId="64B20045" w14:textId="1EC77CD1" w:rsidR="003A6119" w:rsidRPr="0078056B" w:rsidRDefault="00476AD6" w:rsidP="003A6119">
            <w:pPr>
              <w:pStyle w:val="PlaceholderText"/>
            </w:pPr>
            <w:r w:rsidRPr="00476AD6">
              <w:rPr>
                <w:noProof/>
              </w:rPr>
              <w:drawing>
                <wp:inline distT="0" distB="0" distL="0" distR="0" wp14:anchorId="02259777" wp14:editId="5A9F3135">
                  <wp:extent cx="2412177" cy="2570400"/>
                  <wp:effectExtent l="0" t="0" r="7620" b="1905"/>
                  <wp:docPr id="1117469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6647"/>
                          <a:stretch/>
                        </pic:blipFill>
                        <pic:spPr bwMode="auto">
                          <a:xfrm>
                            <a:off x="0" y="0"/>
                            <a:ext cx="2412177" cy="2570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6119" w:rsidRPr="0078056B" w14:paraId="7B40683B" w14:textId="77777777" w:rsidTr="000A186C">
        <w:trPr>
          <w:cantSplit/>
        </w:trPr>
        <w:tc>
          <w:tcPr>
            <w:tcW w:w="2340" w:type="pct"/>
          </w:tcPr>
          <w:p w14:paraId="5F5570BE" w14:textId="77777777" w:rsidR="003A6119" w:rsidRPr="0078056B" w:rsidRDefault="003A6119" w:rsidP="00257F75">
            <w:pPr>
              <w:pStyle w:val="TableNote"/>
            </w:pPr>
            <w:r w:rsidRPr="0078056B">
              <w:t>Note: All numbers are rounded to the nearest 5, and the total values may not add up due to this rounding.</w:t>
            </w:r>
          </w:p>
          <w:p w14:paraId="6BD31119" w14:textId="77777777" w:rsidR="003A6119" w:rsidRPr="0078056B" w:rsidRDefault="003A6119" w:rsidP="003A6119">
            <w:pPr>
              <w:pStyle w:val="TableSource"/>
            </w:pPr>
            <w:r w:rsidRPr="0078056B">
              <w:t>Source: London Economics’ analysis based on University of Birmingham HESA data</w:t>
            </w:r>
          </w:p>
        </w:tc>
        <w:tc>
          <w:tcPr>
            <w:tcW w:w="321" w:type="pct"/>
          </w:tcPr>
          <w:p w14:paraId="1B43D163" w14:textId="77777777" w:rsidR="003A6119" w:rsidRPr="0078056B" w:rsidRDefault="003A6119" w:rsidP="003A6119">
            <w:pPr>
              <w:pStyle w:val="TableNote"/>
              <w:numPr>
                <w:ilvl w:val="1"/>
                <w:numId w:val="21"/>
              </w:numPr>
            </w:pPr>
          </w:p>
        </w:tc>
        <w:tc>
          <w:tcPr>
            <w:tcW w:w="2339" w:type="pct"/>
          </w:tcPr>
          <w:p w14:paraId="13C48C9F" w14:textId="77777777" w:rsidR="003A6119" w:rsidRPr="0078056B" w:rsidRDefault="003A6119" w:rsidP="00257F75">
            <w:pPr>
              <w:pStyle w:val="TableNote"/>
            </w:pPr>
            <w:r w:rsidRPr="0078056B">
              <w:t>Note: All numbers are rounded to the nearest 5, and the total values may not add up due to this rounding.</w:t>
            </w:r>
          </w:p>
          <w:p w14:paraId="76537870" w14:textId="77777777" w:rsidR="003A6119" w:rsidRPr="0078056B" w:rsidRDefault="003A6119" w:rsidP="00257F75">
            <w:pPr>
              <w:pStyle w:val="TableSource"/>
            </w:pPr>
            <w:r w:rsidRPr="0078056B">
              <w:t>Source: London Economics’ analysis based on University of Birmingham HESA data</w:t>
            </w:r>
          </w:p>
        </w:tc>
      </w:tr>
    </w:tbl>
    <w:p w14:paraId="70EB8FE6" w14:textId="06DA7248" w:rsidR="003A6119" w:rsidRPr="0078056B" w:rsidRDefault="003A6119" w:rsidP="003A6119">
      <w:pPr>
        <w:spacing w:before="160" w:after="160"/>
      </w:pPr>
      <w:r w:rsidRPr="0078056B">
        <w:lastRenderedPageBreak/>
        <w:t xml:space="preserve">In terms of </w:t>
      </w:r>
      <w:r w:rsidRPr="0078056B">
        <w:rPr>
          <w:rFonts w:eastAsia="Times New Roman" w:cs="Microsoft Sans Serif"/>
          <w:b/>
          <w:color w:val="06357A"/>
        </w:rPr>
        <w:t>domicile</w:t>
      </w:r>
      <w:r w:rsidRPr="0078056B">
        <w:t xml:space="preserve"> (</w:t>
      </w:r>
      <w:r w:rsidRPr="0078056B">
        <w:fldChar w:fldCharType="begin"/>
      </w:r>
      <w:r w:rsidRPr="0078056B">
        <w:instrText xml:space="preserve"> REF _Ref160441855 \r \h </w:instrText>
      </w:r>
      <w:r w:rsidR="0078056B">
        <w:instrText xml:space="preserve"> \* MERGEFORMAT </w:instrText>
      </w:r>
      <w:r w:rsidRPr="0078056B">
        <w:fldChar w:fldCharType="separate"/>
      </w:r>
      <w:r w:rsidR="00E33157">
        <w:t>Figure 12</w:t>
      </w:r>
      <w:r w:rsidRPr="0078056B">
        <w:fldChar w:fldCharType="end"/>
      </w:r>
      <w:r w:rsidRPr="0078056B">
        <w:t>), almost all students (</w:t>
      </w:r>
      <w:r w:rsidRPr="0078056B">
        <w:rPr>
          <w:b/>
          <w:bCs/>
          <w:color w:val="06357A"/>
        </w:rPr>
        <w:t>10,420</w:t>
      </w:r>
      <w:r w:rsidRPr="0078056B">
        <w:t xml:space="preserve">, </w:t>
      </w:r>
      <w:r w:rsidRPr="0078056B">
        <w:rPr>
          <w:b/>
          <w:bCs/>
          <w:color w:val="06357A"/>
        </w:rPr>
        <w:t>96%</w:t>
      </w:r>
      <w:r w:rsidRPr="0078056B">
        <w:t xml:space="preserve">) in the cohort were domiciled in England. A further </w:t>
      </w:r>
      <w:r w:rsidRPr="0078056B">
        <w:rPr>
          <w:b/>
          <w:bCs/>
          <w:color w:val="06357A"/>
        </w:rPr>
        <w:t>315</w:t>
      </w:r>
      <w:r w:rsidRPr="0078056B">
        <w:t xml:space="preserve"> (</w:t>
      </w:r>
      <w:r w:rsidRPr="0078056B">
        <w:rPr>
          <w:b/>
          <w:bCs/>
          <w:color w:val="06357A"/>
        </w:rPr>
        <w:t>3%</w:t>
      </w:r>
      <w:r w:rsidRPr="0078056B">
        <w:t>) students were domiciled in Wales, and the remainder were domiciled in Scotland (</w:t>
      </w:r>
      <w:r w:rsidRPr="0078056B">
        <w:rPr>
          <w:b/>
          <w:bCs/>
          <w:color w:val="06357A"/>
        </w:rPr>
        <w:t>60</w:t>
      </w:r>
      <w:r w:rsidRPr="0078056B">
        <w:t>) and Northern Ireland (</w:t>
      </w:r>
      <w:r w:rsidRPr="0078056B">
        <w:rPr>
          <w:b/>
          <w:bCs/>
          <w:color w:val="06357A"/>
        </w:rPr>
        <w:t>40</w:t>
      </w:r>
      <w:r w:rsidRPr="0078056B">
        <w:t>).</w:t>
      </w:r>
    </w:p>
    <w:p w14:paraId="17FC5D1F" w14:textId="10FF1B80" w:rsidR="003A6119" w:rsidRPr="0078056B" w:rsidRDefault="0021730A" w:rsidP="0021730A">
      <w:pPr>
        <w:pStyle w:val="TableTitle"/>
      </w:pPr>
      <w:bookmarkStart w:id="197" w:name="_Ref161750038"/>
      <w:bookmarkStart w:id="198" w:name="_Toc168652162"/>
      <w:r w:rsidRPr="0078056B">
        <w:t>UK domiciled students in the 2021-22 cohort of University of Birmingham students, by level of study, mode, and domicile</w:t>
      </w:r>
      <w:bookmarkEnd w:id="197"/>
      <w:bookmarkEnd w:id="198"/>
    </w:p>
    <w:tbl>
      <w:tblPr>
        <w:tblW w:w="5000" w:type="pct"/>
        <w:tblBorders>
          <w:top w:val="single" w:sz="4" w:space="0" w:color="BFBFBF"/>
          <w:bottom w:val="single" w:sz="4" w:space="0" w:color="BFBFBF"/>
          <w:insideH w:val="single" w:sz="4" w:space="0" w:color="BFBFBF"/>
          <w:insideV w:val="single" w:sz="4" w:space="0" w:color="BFBFBF"/>
        </w:tblBorders>
        <w:tblCellMar>
          <w:left w:w="0" w:type="dxa"/>
          <w:right w:w="0" w:type="dxa"/>
        </w:tblCellMar>
        <w:tblLook w:val="0000" w:firstRow="0" w:lastRow="0" w:firstColumn="0" w:lastColumn="0" w:noHBand="0" w:noVBand="0"/>
      </w:tblPr>
      <w:tblGrid>
        <w:gridCol w:w="2341"/>
        <w:gridCol w:w="1503"/>
        <w:gridCol w:w="1215"/>
        <w:gridCol w:w="1351"/>
        <w:gridCol w:w="1217"/>
        <w:gridCol w:w="1217"/>
      </w:tblGrid>
      <w:tr w:rsidR="003A6119" w:rsidRPr="0078056B" w14:paraId="2D6E4661" w14:textId="77777777" w:rsidTr="000A186C">
        <w:tc>
          <w:tcPr>
            <w:tcW w:w="1323" w:type="pct"/>
            <w:vMerge w:val="restart"/>
            <w:tcBorders>
              <w:top w:val="single" w:sz="4" w:space="0" w:color="06357A"/>
            </w:tcBorders>
            <w:shd w:val="clear" w:color="auto" w:fill="auto"/>
            <w:vAlign w:val="center"/>
          </w:tcPr>
          <w:p w14:paraId="478D3DC3" w14:textId="77777777" w:rsidR="003A6119" w:rsidRPr="0078056B" w:rsidRDefault="003A6119" w:rsidP="000A186C">
            <w:pPr>
              <w:pStyle w:val="TableHeading"/>
              <w:keepNext/>
              <w:rPr>
                <w:rFonts w:asciiTheme="minorHAnsi" w:hAnsiTheme="minorHAnsi" w:cstheme="minorHAnsi"/>
                <w:szCs w:val="20"/>
              </w:rPr>
            </w:pPr>
            <w:r w:rsidRPr="0078056B">
              <w:rPr>
                <w:rFonts w:asciiTheme="minorHAnsi" w:hAnsiTheme="minorHAnsi" w:cstheme="minorHAnsi"/>
                <w:szCs w:val="20"/>
              </w:rPr>
              <w:t>Level and mode of study</w:t>
            </w:r>
          </w:p>
        </w:tc>
        <w:tc>
          <w:tcPr>
            <w:tcW w:w="3677" w:type="pct"/>
            <w:gridSpan w:val="5"/>
            <w:tcBorders>
              <w:top w:val="single" w:sz="4" w:space="0" w:color="06357A"/>
              <w:bottom w:val="single" w:sz="4" w:space="0" w:color="06357A"/>
            </w:tcBorders>
            <w:shd w:val="clear" w:color="auto" w:fill="auto"/>
            <w:vAlign w:val="center"/>
          </w:tcPr>
          <w:p w14:paraId="108730F8" w14:textId="77777777" w:rsidR="003A6119" w:rsidRPr="0078056B" w:rsidRDefault="003A6119" w:rsidP="000A186C">
            <w:pPr>
              <w:pStyle w:val="TableHeading"/>
              <w:keepNext/>
              <w:jc w:val="center"/>
              <w:rPr>
                <w:rFonts w:asciiTheme="minorHAnsi" w:hAnsiTheme="minorHAnsi" w:cstheme="minorHAnsi"/>
                <w:szCs w:val="20"/>
              </w:rPr>
            </w:pPr>
            <w:r w:rsidRPr="0078056B">
              <w:rPr>
                <w:rFonts w:asciiTheme="minorHAnsi" w:hAnsiTheme="minorHAnsi" w:cstheme="minorHAnsi"/>
                <w:szCs w:val="20"/>
              </w:rPr>
              <w:t>Domicile</w:t>
            </w:r>
          </w:p>
        </w:tc>
      </w:tr>
      <w:tr w:rsidR="003A6119" w:rsidRPr="0078056B" w14:paraId="29AC9723" w14:textId="77777777" w:rsidTr="000A186C">
        <w:tc>
          <w:tcPr>
            <w:tcW w:w="1323" w:type="pct"/>
            <w:vMerge/>
            <w:tcBorders>
              <w:bottom w:val="single" w:sz="4" w:space="0" w:color="06357A"/>
            </w:tcBorders>
            <w:shd w:val="clear" w:color="auto" w:fill="auto"/>
            <w:vAlign w:val="center"/>
          </w:tcPr>
          <w:p w14:paraId="7A8EB81F" w14:textId="77777777" w:rsidR="003A6119" w:rsidRPr="0078056B" w:rsidRDefault="003A6119" w:rsidP="000A186C">
            <w:pPr>
              <w:pStyle w:val="TableHeading"/>
              <w:keepNext/>
              <w:rPr>
                <w:rFonts w:asciiTheme="minorHAnsi" w:hAnsiTheme="minorHAnsi" w:cstheme="minorHAnsi"/>
                <w:szCs w:val="20"/>
              </w:rPr>
            </w:pPr>
          </w:p>
        </w:tc>
        <w:tc>
          <w:tcPr>
            <w:tcW w:w="850" w:type="pct"/>
            <w:tcBorders>
              <w:top w:val="single" w:sz="4" w:space="0" w:color="06357A"/>
              <w:bottom w:val="single" w:sz="4" w:space="0" w:color="06357A"/>
            </w:tcBorders>
            <w:shd w:val="clear" w:color="auto" w:fill="auto"/>
            <w:vAlign w:val="center"/>
          </w:tcPr>
          <w:p w14:paraId="503A8901" w14:textId="77777777" w:rsidR="003A6119" w:rsidRPr="0078056B" w:rsidRDefault="003A6119" w:rsidP="000A186C">
            <w:pPr>
              <w:pStyle w:val="TableHeading"/>
              <w:keepNext/>
              <w:jc w:val="center"/>
              <w:rPr>
                <w:rFonts w:asciiTheme="minorHAnsi" w:hAnsiTheme="minorHAnsi" w:cstheme="minorHAnsi"/>
                <w:szCs w:val="20"/>
              </w:rPr>
            </w:pPr>
            <w:r w:rsidRPr="0078056B">
              <w:rPr>
                <w:rFonts w:asciiTheme="minorHAnsi" w:hAnsiTheme="minorHAnsi" w:cstheme="minorHAnsi"/>
                <w:szCs w:val="20"/>
              </w:rPr>
              <w:t>England</w:t>
            </w:r>
          </w:p>
        </w:tc>
        <w:tc>
          <w:tcPr>
            <w:tcW w:w="687" w:type="pct"/>
            <w:tcBorders>
              <w:top w:val="single" w:sz="4" w:space="0" w:color="06357A"/>
              <w:bottom w:val="single" w:sz="4" w:space="0" w:color="06357A"/>
            </w:tcBorders>
            <w:shd w:val="clear" w:color="auto" w:fill="auto"/>
            <w:vAlign w:val="center"/>
          </w:tcPr>
          <w:p w14:paraId="70A6BC0F" w14:textId="77777777" w:rsidR="003A6119" w:rsidRPr="0078056B" w:rsidRDefault="003A6119" w:rsidP="000A186C">
            <w:pPr>
              <w:pStyle w:val="TableHeading"/>
              <w:keepNext/>
              <w:jc w:val="center"/>
              <w:rPr>
                <w:rFonts w:asciiTheme="minorHAnsi" w:hAnsiTheme="minorHAnsi" w:cstheme="minorHAnsi"/>
                <w:szCs w:val="20"/>
              </w:rPr>
            </w:pPr>
            <w:r w:rsidRPr="0078056B">
              <w:rPr>
                <w:rFonts w:asciiTheme="minorHAnsi" w:hAnsiTheme="minorHAnsi" w:cstheme="minorHAnsi"/>
                <w:szCs w:val="20"/>
              </w:rPr>
              <w:t>Wales</w:t>
            </w:r>
          </w:p>
        </w:tc>
        <w:tc>
          <w:tcPr>
            <w:tcW w:w="764" w:type="pct"/>
            <w:tcBorders>
              <w:top w:val="single" w:sz="4" w:space="0" w:color="06357A"/>
              <w:bottom w:val="single" w:sz="4" w:space="0" w:color="06357A"/>
            </w:tcBorders>
            <w:shd w:val="clear" w:color="auto" w:fill="auto"/>
            <w:vAlign w:val="center"/>
          </w:tcPr>
          <w:p w14:paraId="47897D57" w14:textId="77777777" w:rsidR="003A6119" w:rsidRPr="0078056B" w:rsidRDefault="003A6119" w:rsidP="000A186C">
            <w:pPr>
              <w:pStyle w:val="TableHeading"/>
              <w:keepNext/>
              <w:jc w:val="center"/>
              <w:rPr>
                <w:rFonts w:asciiTheme="minorHAnsi" w:hAnsiTheme="minorHAnsi" w:cstheme="minorHAnsi"/>
                <w:szCs w:val="20"/>
              </w:rPr>
            </w:pPr>
            <w:r w:rsidRPr="0078056B">
              <w:rPr>
                <w:rFonts w:asciiTheme="minorHAnsi" w:hAnsiTheme="minorHAnsi" w:cstheme="minorHAnsi"/>
                <w:szCs w:val="20"/>
              </w:rPr>
              <w:t>Scotland</w:t>
            </w:r>
          </w:p>
        </w:tc>
        <w:tc>
          <w:tcPr>
            <w:tcW w:w="688" w:type="pct"/>
            <w:tcBorders>
              <w:top w:val="single" w:sz="4" w:space="0" w:color="06357A"/>
              <w:bottom w:val="single" w:sz="4" w:space="0" w:color="06357A"/>
            </w:tcBorders>
            <w:shd w:val="clear" w:color="auto" w:fill="auto"/>
            <w:vAlign w:val="center"/>
          </w:tcPr>
          <w:p w14:paraId="009A500C" w14:textId="77777777" w:rsidR="003A6119" w:rsidRPr="0078056B" w:rsidRDefault="003A6119" w:rsidP="000A186C">
            <w:pPr>
              <w:pStyle w:val="TableHeading"/>
              <w:keepNext/>
              <w:jc w:val="center"/>
              <w:rPr>
                <w:rFonts w:asciiTheme="minorHAnsi" w:hAnsiTheme="minorHAnsi" w:cstheme="minorHAnsi"/>
                <w:szCs w:val="20"/>
              </w:rPr>
            </w:pPr>
            <w:r w:rsidRPr="0078056B">
              <w:rPr>
                <w:rFonts w:asciiTheme="minorHAnsi" w:hAnsiTheme="minorHAnsi" w:cstheme="minorHAnsi"/>
                <w:szCs w:val="20"/>
              </w:rPr>
              <w:t>Northern Ireland</w:t>
            </w:r>
          </w:p>
        </w:tc>
        <w:tc>
          <w:tcPr>
            <w:tcW w:w="688" w:type="pct"/>
            <w:tcBorders>
              <w:top w:val="single" w:sz="4" w:space="0" w:color="06357A"/>
              <w:bottom w:val="single" w:sz="4" w:space="0" w:color="06357A"/>
            </w:tcBorders>
            <w:vAlign w:val="center"/>
          </w:tcPr>
          <w:p w14:paraId="3AFD7CE1" w14:textId="77777777" w:rsidR="003A6119" w:rsidRPr="0078056B" w:rsidRDefault="003A6119" w:rsidP="000A186C">
            <w:pPr>
              <w:pStyle w:val="TableHeading"/>
              <w:keepNext/>
              <w:jc w:val="center"/>
              <w:rPr>
                <w:rFonts w:asciiTheme="minorHAnsi" w:hAnsiTheme="minorHAnsi" w:cstheme="minorHAnsi"/>
                <w:szCs w:val="20"/>
              </w:rPr>
            </w:pPr>
            <w:r w:rsidRPr="0078056B">
              <w:rPr>
                <w:rFonts w:asciiTheme="minorHAnsi" w:hAnsiTheme="minorHAnsi" w:cstheme="minorHAnsi"/>
                <w:szCs w:val="20"/>
              </w:rPr>
              <w:t>Total</w:t>
            </w:r>
          </w:p>
        </w:tc>
      </w:tr>
      <w:tr w:rsidR="003A6119" w:rsidRPr="0078056B" w14:paraId="5FDC86CA" w14:textId="77777777" w:rsidTr="000A186C">
        <w:tc>
          <w:tcPr>
            <w:tcW w:w="1323" w:type="pct"/>
            <w:tcBorders>
              <w:top w:val="single" w:sz="4" w:space="0" w:color="06357A"/>
              <w:bottom w:val="single" w:sz="4" w:space="0" w:color="06357A"/>
              <w:right w:val="nil"/>
            </w:tcBorders>
            <w:shd w:val="clear" w:color="auto" w:fill="0B5ED7"/>
            <w:vAlign w:val="center"/>
          </w:tcPr>
          <w:p w14:paraId="5D2EDF06" w14:textId="77777777" w:rsidR="003A6119" w:rsidRPr="0078056B" w:rsidRDefault="003A6119" w:rsidP="000A186C">
            <w:pPr>
              <w:pStyle w:val="TableText"/>
              <w:keepNext/>
              <w:rPr>
                <w:rFonts w:asciiTheme="minorHAnsi" w:hAnsiTheme="minorHAnsi" w:cstheme="minorHAnsi"/>
                <w:color w:val="FFFFFF" w:themeColor="background1"/>
                <w:szCs w:val="20"/>
              </w:rPr>
            </w:pPr>
            <w:r w:rsidRPr="0078056B">
              <w:rPr>
                <w:rFonts w:asciiTheme="minorHAnsi" w:hAnsiTheme="minorHAnsi" w:cstheme="minorHAnsi"/>
                <w:b/>
                <w:bCs/>
                <w:color w:val="FFFFFF" w:themeColor="background1"/>
                <w:szCs w:val="20"/>
              </w:rPr>
              <w:t>Full-time</w:t>
            </w:r>
          </w:p>
        </w:tc>
        <w:tc>
          <w:tcPr>
            <w:tcW w:w="850" w:type="pct"/>
            <w:tcBorders>
              <w:top w:val="single" w:sz="4" w:space="0" w:color="06357A"/>
              <w:left w:val="nil"/>
              <w:bottom w:val="single" w:sz="4" w:space="0" w:color="06357A"/>
              <w:right w:val="nil"/>
            </w:tcBorders>
            <w:shd w:val="clear" w:color="auto" w:fill="0B5ED7"/>
            <w:vAlign w:val="center"/>
          </w:tcPr>
          <w:p w14:paraId="6A2EC3B1" w14:textId="77777777" w:rsidR="003A6119" w:rsidRPr="0078056B" w:rsidRDefault="003A6119" w:rsidP="000A186C">
            <w:pPr>
              <w:pStyle w:val="TableText"/>
              <w:keepNext/>
              <w:jc w:val="center"/>
              <w:rPr>
                <w:rFonts w:asciiTheme="minorHAnsi" w:hAnsiTheme="minorHAnsi" w:cstheme="minorHAnsi"/>
                <w:color w:val="133844"/>
                <w:szCs w:val="20"/>
              </w:rPr>
            </w:pPr>
          </w:p>
        </w:tc>
        <w:tc>
          <w:tcPr>
            <w:tcW w:w="687" w:type="pct"/>
            <w:tcBorders>
              <w:top w:val="single" w:sz="4" w:space="0" w:color="06357A"/>
              <w:left w:val="nil"/>
              <w:bottom w:val="single" w:sz="4" w:space="0" w:color="06357A"/>
              <w:right w:val="nil"/>
            </w:tcBorders>
            <w:shd w:val="clear" w:color="auto" w:fill="0B5ED7"/>
            <w:vAlign w:val="center"/>
          </w:tcPr>
          <w:p w14:paraId="1F164754" w14:textId="77777777" w:rsidR="003A6119" w:rsidRPr="0078056B" w:rsidRDefault="003A6119" w:rsidP="000A186C">
            <w:pPr>
              <w:pStyle w:val="TableText"/>
              <w:keepNext/>
              <w:jc w:val="center"/>
              <w:rPr>
                <w:rFonts w:asciiTheme="minorHAnsi" w:hAnsiTheme="minorHAnsi" w:cstheme="minorHAnsi"/>
                <w:color w:val="133844"/>
                <w:szCs w:val="20"/>
              </w:rPr>
            </w:pPr>
          </w:p>
        </w:tc>
        <w:tc>
          <w:tcPr>
            <w:tcW w:w="764" w:type="pct"/>
            <w:tcBorders>
              <w:top w:val="single" w:sz="4" w:space="0" w:color="06357A"/>
              <w:left w:val="nil"/>
              <w:bottom w:val="single" w:sz="4" w:space="0" w:color="06357A"/>
              <w:right w:val="nil"/>
            </w:tcBorders>
            <w:shd w:val="clear" w:color="auto" w:fill="0B5ED7"/>
            <w:vAlign w:val="center"/>
          </w:tcPr>
          <w:p w14:paraId="34BB15D1" w14:textId="77777777" w:rsidR="003A6119" w:rsidRPr="0078056B" w:rsidRDefault="003A6119" w:rsidP="000A186C">
            <w:pPr>
              <w:pStyle w:val="TableText"/>
              <w:keepNext/>
              <w:jc w:val="center"/>
              <w:rPr>
                <w:rFonts w:asciiTheme="minorHAnsi" w:hAnsiTheme="minorHAnsi" w:cstheme="minorHAnsi"/>
                <w:color w:val="133844"/>
                <w:szCs w:val="20"/>
              </w:rPr>
            </w:pPr>
          </w:p>
        </w:tc>
        <w:tc>
          <w:tcPr>
            <w:tcW w:w="688" w:type="pct"/>
            <w:tcBorders>
              <w:top w:val="single" w:sz="4" w:space="0" w:color="06357A"/>
              <w:left w:val="nil"/>
              <w:bottom w:val="single" w:sz="4" w:space="0" w:color="06357A"/>
              <w:right w:val="nil"/>
            </w:tcBorders>
            <w:shd w:val="clear" w:color="auto" w:fill="0B5ED7"/>
            <w:vAlign w:val="center"/>
          </w:tcPr>
          <w:p w14:paraId="0840C487" w14:textId="77777777" w:rsidR="003A6119" w:rsidRPr="0078056B" w:rsidRDefault="003A6119" w:rsidP="000A186C">
            <w:pPr>
              <w:pStyle w:val="TableText"/>
              <w:keepNext/>
              <w:jc w:val="center"/>
              <w:rPr>
                <w:rFonts w:asciiTheme="minorHAnsi" w:hAnsiTheme="minorHAnsi" w:cstheme="minorHAnsi"/>
                <w:color w:val="133844"/>
                <w:szCs w:val="20"/>
              </w:rPr>
            </w:pPr>
          </w:p>
        </w:tc>
        <w:tc>
          <w:tcPr>
            <w:tcW w:w="688" w:type="pct"/>
            <w:tcBorders>
              <w:top w:val="single" w:sz="4" w:space="0" w:color="06357A"/>
              <w:left w:val="nil"/>
              <w:bottom w:val="single" w:sz="4" w:space="0" w:color="06357A"/>
            </w:tcBorders>
            <w:shd w:val="clear" w:color="auto" w:fill="0B5ED7"/>
            <w:vAlign w:val="center"/>
          </w:tcPr>
          <w:p w14:paraId="37C01B1A" w14:textId="77777777" w:rsidR="003A6119" w:rsidRPr="0078056B" w:rsidRDefault="003A6119" w:rsidP="000A186C">
            <w:pPr>
              <w:pStyle w:val="TableText"/>
              <w:keepNext/>
              <w:jc w:val="center"/>
              <w:rPr>
                <w:rFonts w:asciiTheme="minorHAnsi" w:hAnsiTheme="minorHAnsi" w:cstheme="minorHAnsi"/>
                <w:color w:val="133844"/>
                <w:szCs w:val="20"/>
              </w:rPr>
            </w:pPr>
          </w:p>
        </w:tc>
      </w:tr>
      <w:tr w:rsidR="003A6119" w:rsidRPr="0078056B" w14:paraId="38973DFA" w14:textId="77777777" w:rsidTr="000A186C">
        <w:tc>
          <w:tcPr>
            <w:tcW w:w="1323" w:type="pct"/>
            <w:tcBorders>
              <w:top w:val="single" w:sz="4" w:space="0" w:color="06357A"/>
            </w:tcBorders>
            <w:shd w:val="clear" w:color="auto" w:fill="auto"/>
            <w:vAlign w:val="center"/>
          </w:tcPr>
          <w:p w14:paraId="2A2BE520" w14:textId="77777777" w:rsidR="003A6119" w:rsidRPr="0078056B" w:rsidRDefault="003A6119" w:rsidP="000A186C">
            <w:pPr>
              <w:pStyle w:val="TableText"/>
              <w:keepNext/>
              <w:rPr>
                <w:rFonts w:asciiTheme="minorHAnsi" w:hAnsiTheme="minorHAnsi" w:cstheme="minorHAnsi"/>
                <w:szCs w:val="20"/>
              </w:rPr>
            </w:pPr>
            <w:r w:rsidRPr="0078056B">
              <w:rPr>
                <w:rFonts w:asciiTheme="minorHAnsi" w:hAnsiTheme="minorHAnsi" w:cstheme="minorHAnsi"/>
                <w:szCs w:val="20"/>
              </w:rPr>
              <w:t>Other undergraduate</w:t>
            </w:r>
          </w:p>
        </w:tc>
        <w:tc>
          <w:tcPr>
            <w:tcW w:w="850" w:type="pct"/>
            <w:tcBorders>
              <w:top w:val="single" w:sz="4" w:space="0" w:color="06357A"/>
            </w:tcBorders>
            <w:shd w:val="clear" w:color="auto" w:fill="auto"/>
          </w:tcPr>
          <w:p w14:paraId="7101CC1F" w14:textId="77777777" w:rsidR="003A6119" w:rsidRPr="0078056B" w:rsidRDefault="003A6119" w:rsidP="000A186C">
            <w:pPr>
              <w:pStyle w:val="TableText"/>
              <w:keepNext/>
              <w:jc w:val="center"/>
              <w:rPr>
                <w:rFonts w:asciiTheme="minorHAnsi" w:hAnsiTheme="minorHAnsi" w:cstheme="minorHAnsi"/>
                <w:szCs w:val="20"/>
              </w:rPr>
            </w:pPr>
            <w:r w:rsidRPr="0078056B">
              <w:t>10</w:t>
            </w:r>
          </w:p>
        </w:tc>
        <w:tc>
          <w:tcPr>
            <w:tcW w:w="687" w:type="pct"/>
            <w:tcBorders>
              <w:top w:val="single" w:sz="4" w:space="0" w:color="06357A"/>
            </w:tcBorders>
            <w:shd w:val="clear" w:color="auto" w:fill="auto"/>
          </w:tcPr>
          <w:p w14:paraId="6D00B6BF" w14:textId="77777777" w:rsidR="003A6119" w:rsidRPr="0078056B" w:rsidRDefault="003A6119" w:rsidP="000A186C">
            <w:pPr>
              <w:pStyle w:val="TableText"/>
              <w:keepNext/>
              <w:jc w:val="center"/>
              <w:rPr>
                <w:rFonts w:asciiTheme="minorHAnsi" w:hAnsiTheme="minorHAnsi" w:cstheme="minorHAnsi"/>
                <w:szCs w:val="20"/>
              </w:rPr>
            </w:pPr>
            <w:r w:rsidRPr="0078056B">
              <w:t>0</w:t>
            </w:r>
          </w:p>
        </w:tc>
        <w:tc>
          <w:tcPr>
            <w:tcW w:w="764" w:type="pct"/>
            <w:tcBorders>
              <w:top w:val="single" w:sz="4" w:space="0" w:color="06357A"/>
            </w:tcBorders>
            <w:shd w:val="clear" w:color="auto" w:fill="auto"/>
          </w:tcPr>
          <w:p w14:paraId="4F6FB665" w14:textId="77777777" w:rsidR="003A6119" w:rsidRPr="0078056B" w:rsidRDefault="003A6119" w:rsidP="000A186C">
            <w:pPr>
              <w:pStyle w:val="TableText"/>
              <w:keepNext/>
              <w:jc w:val="center"/>
              <w:rPr>
                <w:rFonts w:asciiTheme="minorHAnsi" w:hAnsiTheme="minorHAnsi" w:cstheme="minorHAnsi"/>
                <w:szCs w:val="20"/>
              </w:rPr>
            </w:pPr>
            <w:r w:rsidRPr="0078056B">
              <w:t>0</w:t>
            </w:r>
          </w:p>
        </w:tc>
        <w:tc>
          <w:tcPr>
            <w:tcW w:w="688" w:type="pct"/>
            <w:tcBorders>
              <w:top w:val="single" w:sz="4" w:space="0" w:color="06357A"/>
            </w:tcBorders>
            <w:shd w:val="clear" w:color="auto" w:fill="auto"/>
          </w:tcPr>
          <w:p w14:paraId="0BB52805" w14:textId="77777777" w:rsidR="003A6119" w:rsidRPr="0078056B" w:rsidRDefault="003A6119" w:rsidP="000A186C">
            <w:pPr>
              <w:pStyle w:val="TableText"/>
              <w:keepNext/>
              <w:jc w:val="center"/>
              <w:rPr>
                <w:rFonts w:asciiTheme="minorHAnsi" w:hAnsiTheme="minorHAnsi" w:cstheme="minorHAnsi"/>
                <w:szCs w:val="20"/>
              </w:rPr>
            </w:pPr>
            <w:r w:rsidRPr="0078056B">
              <w:t>0</w:t>
            </w:r>
          </w:p>
        </w:tc>
        <w:tc>
          <w:tcPr>
            <w:tcW w:w="688" w:type="pct"/>
            <w:tcBorders>
              <w:top w:val="single" w:sz="4" w:space="0" w:color="06357A"/>
            </w:tcBorders>
          </w:tcPr>
          <w:p w14:paraId="3FCD0DCD" w14:textId="77777777" w:rsidR="003A6119" w:rsidRPr="0078056B" w:rsidRDefault="003A6119" w:rsidP="000A186C">
            <w:pPr>
              <w:pStyle w:val="TableHeading"/>
              <w:keepNext/>
              <w:jc w:val="center"/>
              <w:rPr>
                <w:rFonts w:asciiTheme="minorHAnsi" w:hAnsiTheme="minorHAnsi" w:cstheme="minorHAnsi"/>
                <w:color w:val="133844"/>
                <w:szCs w:val="20"/>
              </w:rPr>
            </w:pPr>
            <w:r w:rsidRPr="0078056B">
              <w:t>10</w:t>
            </w:r>
          </w:p>
        </w:tc>
      </w:tr>
      <w:tr w:rsidR="003A6119" w:rsidRPr="0078056B" w14:paraId="75B0CEA7" w14:textId="77777777" w:rsidTr="000A186C">
        <w:tc>
          <w:tcPr>
            <w:tcW w:w="1323" w:type="pct"/>
            <w:shd w:val="clear" w:color="auto" w:fill="auto"/>
            <w:vAlign w:val="center"/>
          </w:tcPr>
          <w:p w14:paraId="1D3164C2" w14:textId="77777777" w:rsidR="003A6119" w:rsidRPr="0078056B" w:rsidRDefault="003A6119" w:rsidP="000A186C">
            <w:pPr>
              <w:pStyle w:val="TableText"/>
              <w:keepNext/>
              <w:rPr>
                <w:rFonts w:asciiTheme="minorHAnsi" w:hAnsiTheme="minorHAnsi" w:cstheme="minorHAnsi"/>
                <w:szCs w:val="20"/>
              </w:rPr>
            </w:pPr>
            <w:r w:rsidRPr="0078056B">
              <w:rPr>
                <w:rFonts w:asciiTheme="minorHAnsi" w:hAnsiTheme="minorHAnsi" w:cstheme="minorHAnsi"/>
                <w:szCs w:val="20"/>
              </w:rPr>
              <w:t>First degree</w:t>
            </w:r>
          </w:p>
        </w:tc>
        <w:tc>
          <w:tcPr>
            <w:tcW w:w="850" w:type="pct"/>
            <w:shd w:val="clear" w:color="auto" w:fill="auto"/>
          </w:tcPr>
          <w:p w14:paraId="0AF31E27" w14:textId="77777777" w:rsidR="003A6119" w:rsidRPr="0078056B" w:rsidRDefault="003A6119" w:rsidP="000A186C">
            <w:pPr>
              <w:pStyle w:val="TableText"/>
              <w:keepNext/>
              <w:jc w:val="center"/>
              <w:rPr>
                <w:rFonts w:asciiTheme="minorHAnsi" w:hAnsiTheme="minorHAnsi" w:cstheme="minorHAnsi"/>
                <w:szCs w:val="20"/>
              </w:rPr>
            </w:pPr>
            <w:r w:rsidRPr="0078056B">
              <w:t>6,250</w:t>
            </w:r>
          </w:p>
        </w:tc>
        <w:tc>
          <w:tcPr>
            <w:tcW w:w="687" w:type="pct"/>
            <w:shd w:val="clear" w:color="auto" w:fill="auto"/>
          </w:tcPr>
          <w:p w14:paraId="2BD87012" w14:textId="77777777" w:rsidR="003A6119" w:rsidRPr="0078056B" w:rsidRDefault="003A6119" w:rsidP="000A186C">
            <w:pPr>
              <w:pStyle w:val="TableText"/>
              <w:keepNext/>
              <w:jc w:val="center"/>
              <w:rPr>
                <w:rFonts w:asciiTheme="minorHAnsi" w:hAnsiTheme="minorHAnsi" w:cstheme="minorHAnsi"/>
                <w:szCs w:val="20"/>
              </w:rPr>
            </w:pPr>
            <w:r w:rsidRPr="0078056B">
              <w:t>175</w:t>
            </w:r>
          </w:p>
        </w:tc>
        <w:tc>
          <w:tcPr>
            <w:tcW w:w="764" w:type="pct"/>
            <w:shd w:val="clear" w:color="auto" w:fill="auto"/>
          </w:tcPr>
          <w:p w14:paraId="29503B55" w14:textId="77777777" w:rsidR="003A6119" w:rsidRPr="0078056B" w:rsidRDefault="003A6119" w:rsidP="000A186C">
            <w:pPr>
              <w:pStyle w:val="TableText"/>
              <w:keepNext/>
              <w:jc w:val="center"/>
              <w:rPr>
                <w:rFonts w:asciiTheme="minorHAnsi" w:hAnsiTheme="minorHAnsi" w:cstheme="minorHAnsi"/>
                <w:szCs w:val="20"/>
              </w:rPr>
            </w:pPr>
            <w:r w:rsidRPr="0078056B">
              <w:t>10</w:t>
            </w:r>
          </w:p>
        </w:tc>
        <w:tc>
          <w:tcPr>
            <w:tcW w:w="688" w:type="pct"/>
            <w:shd w:val="clear" w:color="auto" w:fill="auto"/>
          </w:tcPr>
          <w:p w14:paraId="0600E8B9" w14:textId="77777777" w:rsidR="003A6119" w:rsidRPr="0078056B" w:rsidRDefault="003A6119" w:rsidP="000A186C">
            <w:pPr>
              <w:pStyle w:val="TableText"/>
              <w:keepNext/>
              <w:jc w:val="center"/>
              <w:rPr>
                <w:rFonts w:asciiTheme="minorHAnsi" w:hAnsiTheme="minorHAnsi" w:cstheme="minorHAnsi"/>
                <w:szCs w:val="20"/>
              </w:rPr>
            </w:pPr>
            <w:r w:rsidRPr="0078056B">
              <w:t>15</w:t>
            </w:r>
          </w:p>
        </w:tc>
        <w:tc>
          <w:tcPr>
            <w:tcW w:w="688" w:type="pct"/>
          </w:tcPr>
          <w:p w14:paraId="6BECC790" w14:textId="77777777" w:rsidR="003A6119" w:rsidRPr="0078056B" w:rsidRDefault="003A6119" w:rsidP="000A186C">
            <w:pPr>
              <w:pStyle w:val="TableHeading"/>
              <w:keepNext/>
              <w:jc w:val="center"/>
              <w:rPr>
                <w:rFonts w:asciiTheme="minorHAnsi" w:hAnsiTheme="minorHAnsi" w:cstheme="minorHAnsi"/>
                <w:color w:val="133844"/>
                <w:szCs w:val="20"/>
              </w:rPr>
            </w:pPr>
            <w:r w:rsidRPr="0078056B">
              <w:t>6,455</w:t>
            </w:r>
          </w:p>
        </w:tc>
      </w:tr>
      <w:tr w:rsidR="003A6119" w:rsidRPr="0078056B" w14:paraId="423506C0" w14:textId="77777777" w:rsidTr="000A186C">
        <w:tc>
          <w:tcPr>
            <w:tcW w:w="1323" w:type="pct"/>
            <w:shd w:val="clear" w:color="auto" w:fill="auto"/>
            <w:vAlign w:val="center"/>
          </w:tcPr>
          <w:p w14:paraId="1AF4D9E0" w14:textId="77777777" w:rsidR="003A6119" w:rsidRPr="0078056B" w:rsidRDefault="003A6119" w:rsidP="000A186C">
            <w:pPr>
              <w:pStyle w:val="TableText"/>
              <w:keepNext/>
              <w:rPr>
                <w:rFonts w:asciiTheme="minorHAnsi" w:hAnsiTheme="minorHAnsi" w:cstheme="minorHAnsi"/>
                <w:szCs w:val="20"/>
              </w:rPr>
            </w:pPr>
            <w:r w:rsidRPr="0078056B">
              <w:rPr>
                <w:rFonts w:asciiTheme="minorHAnsi" w:hAnsiTheme="minorHAnsi" w:cstheme="minorHAnsi"/>
                <w:szCs w:val="20"/>
              </w:rPr>
              <w:t>Other postgraduate</w:t>
            </w:r>
          </w:p>
        </w:tc>
        <w:tc>
          <w:tcPr>
            <w:tcW w:w="850" w:type="pct"/>
            <w:shd w:val="clear" w:color="auto" w:fill="auto"/>
          </w:tcPr>
          <w:p w14:paraId="3E572DEF" w14:textId="77777777" w:rsidR="003A6119" w:rsidRPr="0078056B" w:rsidRDefault="003A6119" w:rsidP="000A186C">
            <w:pPr>
              <w:pStyle w:val="TableText"/>
              <w:keepNext/>
              <w:jc w:val="center"/>
              <w:rPr>
                <w:rFonts w:asciiTheme="minorHAnsi" w:hAnsiTheme="minorHAnsi" w:cstheme="minorHAnsi"/>
                <w:szCs w:val="20"/>
              </w:rPr>
            </w:pPr>
            <w:r w:rsidRPr="0078056B">
              <w:t>450</w:t>
            </w:r>
          </w:p>
        </w:tc>
        <w:tc>
          <w:tcPr>
            <w:tcW w:w="687" w:type="pct"/>
            <w:shd w:val="clear" w:color="auto" w:fill="auto"/>
          </w:tcPr>
          <w:p w14:paraId="3189EF36" w14:textId="77777777" w:rsidR="003A6119" w:rsidRPr="0078056B" w:rsidRDefault="003A6119" w:rsidP="000A186C">
            <w:pPr>
              <w:pStyle w:val="TableText"/>
              <w:keepNext/>
              <w:jc w:val="center"/>
              <w:rPr>
                <w:rFonts w:asciiTheme="minorHAnsi" w:hAnsiTheme="minorHAnsi" w:cstheme="minorHAnsi"/>
                <w:szCs w:val="20"/>
              </w:rPr>
            </w:pPr>
            <w:r w:rsidRPr="0078056B">
              <w:t>10</w:t>
            </w:r>
          </w:p>
        </w:tc>
        <w:tc>
          <w:tcPr>
            <w:tcW w:w="764" w:type="pct"/>
            <w:shd w:val="clear" w:color="auto" w:fill="auto"/>
          </w:tcPr>
          <w:p w14:paraId="13AAA5BD" w14:textId="77777777" w:rsidR="003A6119" w:rsidRPr="0078056B" w:rsidRDefault="003A6119" w:rsidP="000A186C">
            <w:pPr>
              <w:pStyle w:val="TableText"/>
              <w:keepNext/>
              <w:jc w:val="center"/>
              <w:rPr>
                <w:rFonts w:asciiTheme="minorHAnsi" w:hAnsiTheme="minorHAnsi" w:cstheme="minorHAnsi"/>
                <w:szCs w:val="20"/>
              </w:rPr>
            </w:pPr>
            <w:r w:rsidRPr="0078056B">
              <w:t>5</w:t>
            </w:r>
          </w:p>
        </w:tc>
        <w:tc>
          <w:tcPr>
            <w:tcW w:w="688" w:type="pct"/>
            <w:shd w:val="clear" w:color="auto" w:fill="auto"/>
          </w:tcPr>
          <w:p w14:paraId="14A50334" w14:textId="77777777" w:rsidR="003A6119" w:rsidRPr="0078056B" w:rsidRDefault="003A6119" w:rsidP="000A186C">
            <w:pPr>
              <w:pStyle w:val="TableText"/>
              <w:keepNext/>
              <w:jc w:val="center"/>
              <w:rPr>
                <w:rFonts w:asciiTheme="minorHAnsi" w:hAnsiTheme="minorHAnsi" w:cstheme="minorHAnsi"/>
                <w:szCs w:val="20"/>
              </w:rPr>
            </w:pPr>
            <w:r w:rsidRPr="0078056B">
              <w:t>0</w:t>
            </w:r>
          </w:p>
        </w:tc>
        <w:tc>
          <w:tcPr>
            <w:tcW w:w="688" w:type="pct"/>
          </w:tcPr>
          <w:p w14:paraId="19789691" w14:textId="77777777" w:rsidR="003A6119" w:rsidRPr="0078056B" w:rsidRDefault="003A6119" w:rsidP="000A186C">
            <w:pPr>
              <w:pStyle w:val="TableHeading"/>
              <w:keepNext/>
              <w:jc w:val="center"/>
              <w:rPr>
                <w:rFonts w:asciiTheme="minorHAnsi" w:hAnsiTheme="minorHAnsi" w:cstheme="minorHAnsi"/>
                <w:color w:val="133844"/>
                <w:szCs w:val="20"/>
              </w:rPr>
            </w:pPr>
            <w:r w:rsidRPr="0078056B">
              <w:t>465</w:t>
            </w:r>
          </w:p>
        </w:tc>
      </w:tr>
      <w:tr w:rsidR="003A6119" w:rsidRPr="0078056B" w14:paraId="06646150" w14:textId="77777777" w:rsidTr="000A186C">
        <w:tc>
          <w:tcPr>
            <w:tcW w:w="1323" w:type="pct"/>
            <w:shd w:val="clear" w:color="auto" w:fill="auto"/>
            <w:vAlign w:val="center"/>
          </w:tcPr>
          <w:p w14:paraId="0750D7EF" w14:textId="77777777" w:rsidR="003A6119" w:rsidRPr="0078056B" w:rsidRDefault="003A6119" w:rsidP="000A186C">
            <w:pPr>
              <w:pStyle w:val="TableText"/>
              <w:keepNext/>
              <w:rPr>
                <w:rFonts w:asciiTheme="minorHAnsi" w:hAnsiTheme="minorHAnsi" w:cstheme="minorHAnsi"/>
                <w:szCs w:val="20"/>
              </w:rPr>
            </w:pPr>
            <w:r w:rsidRPr="0078056B">
              <w:rPr>
                <w:rFonts w:asciiTheme="minorHAnsi" w:hAnsiTheme="minorHAnsi" w:cstheme="minorHAnsi"/>
                <w:szCs w:val="20"/>
              </w:rPr>
              <w:t>Higher degree (taught)</w:t>
            </w:r>
          </w:p>
        </w:tc>
        <w:tc>
          <w:tcPr>
            <w:tcW w:w="850" w:type="pct"/>
            <w:shd w:val="clear" w:color="auto" w:fill="auto"/>
          </w:tcPr>
          <w:p w14:paraId="437899AE" w14:textId="77777777" w:rsidR="003A6119" w:rsidRPr="0078056B" w:rsidRDefault="003A6119" w:rsidP="000A186C">
            <w:pPr>
              <w:pStyle w:val="TableText"/>
              <w:keepNext/>
              <w:jc w:val="center"/>
              <w:rPr>
                <w:rFonts w:asciiTheme="minorHAnsi" w:hAnsiTheme="minorHAnsi" w:cstheme="minorHAnsi"/>
                <w:szCs w:val="20"/>
              </w:rPr>
            </w:pPr>
            <w:r w:rsidRPr="0078056B">
              <w:t>1,105</w:t>
            </w:r>
          </w:p>
        </w:tc>
        <w:tc>
          <w:tcPr>
            <w:tcW w:w="687" w:type="pct"/>
            <w:shd w:val="clear" w:color="auto" w:fill="auto"/>
          </w:tcPr>
          <w:p w14:paraId="04AC8859" w14:textId="77777777" w:rsidR="003A6119" w:rsidRPr="0078056B" w:rsidRDefault="003A6119" w:rsidP="000A186C">
            <w:pPr>
              <w:pStyle w:val="TableText"/>
              <w:keepNext/>
              <w:jc w:val="center"/>
              <w:rPr>
                <w:rFonts w:asciiTheme="minorHAnsi" w:hAnsiTheme="minorHAnsi" w:cstheme="minorHAnsi"/>
                <w:szCs w:val="20"/>
              </w:rPr>
            </w:pPr>
            <w:r w:rsidRPr="0078056B">
              <w:t>45</w:t>
            </w:r>
          </w:p>
        </w:tc>
        <w:tc>
          <w:tcPr>
            <w:tcW w:w="764" w:type="pct"/>
            <w:shd w:val="clear" w:color="auto" w:fill="auto"/>
          </w:tcPr>
          <w:p w14:paraId="69F77387" w14:textId="77777777" w:rsidR="003A6119" w:rsidRPr="0078056B" w:rsidRDefault="003A6119" w:rsidP="000A186C">
            <w:pPr>
              <w:pStyle w:val="TableText"/>
              <w:keepNext/>
              <w:jc w:val="center"/>
              <w:rPr>
                <w:rFonts w:asciiTheme="minorHAnsi" w:hAnsiTheme="minorHAnsi" w:cstheme="minorHAnsi"/>
                <w:szCs w:val="20"/>
              </w:rPr>
            </w:pPr>
            <w:r w:rsidRPr="0078056B">
              <w:t>5</w:t>
            </w:r>
          </w:p>
        </w:tc>
        <w:tc>
          <w:tcPr>
            <w:tcW w:w="688" w:type="pct"/>
            <w:shd w:val="clear" w:color="auto" w:fill="auto"/>
          </w:tcPr>
          <w:p w14:paraId="551800E5" w14:textId="77777777" w:rsidR="003A6119" w:rsidRPr="0078056B" w:rsidRDefault="003A6119" w:rsidP="000A186C">
            <w:pPr>
              <w:pStyle w:val="TableText"/>
              <w:keepNext/>
              <w:jc w:val="center"/>
              <w:rPr>
                <w:rFonts w:asciiTheme="minorHAnsi" w:hAnsiTheme="minorHAnsi" w:cstheme="minorHAnsi"/>
                <w:szCs w:val="20"/>
              </w:rPr>
            </w:pPr>
            <w:r w:rsidRPr="0078056B">
              <w:t>0</w:t>
            </w:r>
          </w:p>
        </w:tc>
        <w:tc>
          <w:tcPr>
            <w:tcW w:w="688" w:type="pct"/>
          </w:tcPr>
          <w:p w14:paraId="14E73EE4" w14:textId="77777777" w:rsidR="003A6119" w:rsidRPr="0078056B" w:rsidRDefault="003A6119" w:rsidP="000A186C">
            <w:pPr>
              <w:pStyle w:val="TableHeading"/>
              <w:keepNext/>
              <w:jc w:val="center"/>
              <w:rPr>
                <w:rFonts w:asciiTheme="minorHAnsi" w:hAnsiTheme="minorHAnsi" w:cstheme="minorHAnsi"/>
                <w:color w:val="133844"/>
                <w:szCs w:val="20"/>
              </w:rPr>
            </w:pPr>
            <w:r w:rsidRPr="0078056B">
              <w:t>1,160</w:t>
            </w:r>
          </w:p>
        </w:tc>
      </w:tr>
      <w:tr w:rsidR="003A6119" w:rsidRPr="0078056B" w14:paraId="45AD74E1" w14:textId="77777777" w:rsidTr="000A186C">
        <w:tc>
          <w:tcPr>
            <w:tcW w:w="1323" w:type="pct"/>
            <w:shd w:val="clear" w:color="auto" w:fill="auto"/>
            <w:vAlign w:val="center"/>
          </w:tcPr>
          <w:p w14:paraId="53F5DB2E" w14:textId="77777777" w:rsidR="003A6119" w:rsidRPr="0078056B" w:rsidRDefault="003A6119" w:rsidP="000A186C">
            <w:pPr>
              <w:pStyle w:val="TableText"/>
              <w:keepNext/>
              <w:rPr>
                <w:rFonts w:asciiTheme="minorHAnsi" w:hAnsiTheme="minorHAnsi" w:cstheme="minorHAnsi"/>
                <w:szCs w:val="20"/>
              </w:rPr>
            </w:pPr>
            <w:r w:rsidRPr="0078056B">
              <w:rPr>
                <w:rFonts w:asciiTheme="minorHAnsi" w:hAnsiTheme="minorHAnsi" w:cstheme="minorHAnsi"/>
                <w:szCs w:val="20"/>
              </w:rPr>
              <w:t>Higher degree (research)</w:t>
            </w:r>
          </w:p>
        </w:tc>
        <w:tc>
          <w:tcPr>
            <w:tcW w:w="850" w:type="pct"/>
            <w:shd w:val="clear" w:color="auto" w:fill="auto"/>
          </w:tcPr>
          <w:p w14:paraId="19E6587E" w14:textId="77777777" w:rsidR="003A6119" w:rsidRPr="0078056B" w:rsidRDefault="003A6119" w:rsidP="000A186C">
            <w:pPr>
              <w:pStyle w:val="TableText"/>
              <w:keepNext/>
              <w:jc w:val="center"/>
              <w:rPr>
                <w:rFonts w:asciiTheme="minorHAnsi" w:hAnsiTheme="minorHAnsi" w:cstheme="minorHAnsi"/>
                <w:szCs w:val="20"/>
              </w:rPr>
            </w:pPr>
            <w:r w:rsidRPr="0078056B">
              <w:t>450</w:t>
            </w:r>
          </w:p>
        </w:tc>
        <w:tc>
          <w:tcPr>
            <w:tcW w:w="687" w:type="pct"/>
            <w:shd w:val="clear" w:color="auto" w:fill="auto"/>
          </w:tcPr>
          <w:p w14:paraId="34DD9904" w14:textId="77777777" w:rsidR="003A6119" w:rsidRPr="0078056B" w:rsidRDefault="003A6119" w:rsidP="000A186C">
            <w:pPr>
              <w:pStyle w:val="TableText"/>
              <w:keepNext/>
              <w:jc w:val="center"/>
              <w:rPr>
                <w:rFonts w:asciiTheme="minorHAnsi" w:hAnsiTheme="minorHAnsi" w:cstheme="minorHAnsi"/>
                <w:szCs w:val="20"/>
              </w:rPr>
            </w:pPr>
            <w:r w:rsidRPr="0078056B">
              <w:t>15</w:t>
            </w:r>
          </w:p>
        </w:tc>
        <w:tc>
          <w:tcPr>
            <w:tcW w:w="764" w:type="pct"/>
            <w:shd w:val="clear" w:color="auto" w:fill="auto"/>
          </w:tcPr>
          <w:p w14:paraId="3443ED9E" w14:textId="77777777" w:rsidR="003A6119" w:rsidRPr="0078056B" w:rsidRDefault="003A6119" w:rsidP="000A186C">
            <w:pPr>
              <w:pStyle w:val="TableText"/>
              <w:keepNext/>
              <w:jc w:val="center"/>
              <w:rPr>
                <w:rFonts w:asciiTheme="minorHAnsi" w:hAnsiTheme="minorHAnsi" w:cstheme="minorHAnsi"/>
                <w:szCs w:val="20"/>
              </w:rPr>
            </w:pPr>
            <w:r w:rsidRPr="0078056B">
              <w:t>10</w:t>
            </w:r>
          </w:p>
        </w:tc>
        <w:tc>
          <w:tcPr>
            <w:tcW w:w="688" w:type="pct"/>
            <w:shd w:val="clear" w:color="auto" w:fill="auto"/>
          </w:tcPr>
          <w:p w14:paraId="2CFFA4F6" w14:textId="77777777" w:rsidR="003A6119" w:rsidRPr="0078056B" w:rsidRDefault="003A6119" w:rsidP="000A186C">
            <w:pPr>
              <w:pStyle w:val="TableText"/>
              <w:keepNext/>
              <w:jc w:val="center"/>
              <w:rPr>
                <w:rFonts w:asciiTheme="minorHAnsi" w:hAnsiTheme="minorHAnsi" w:cstheme="minorHAnsi"/>
                <w:szCs w:val="20"/>
              </w:rPr>
            </w:pPr>
            <w:r w:rsidRPr="0078056B">
              <w:t>0</w:t>
            </w:r>
          </w:p>
        </w:tc>
        <w:tc>
          <w:tcPr>
            <w:tcW w:w="688" w:type="pct"/>
          </w:tcPr>
          <w:p w14:paraId="66682DAF" w14:textId="77777777" w:rsidR="003A6119" w:rsidRPr="0078056B" w:rsidRDefault="003A6119" w:rsidP="000A186C">
            <w:pPr>
              <w:pStyle w:val="TableHeading"/>
              <w:keepNext/>
              <w:jc w:val="center"/>
              <w:rPr>
                <w:rFonts w:asciiTheme="minorHAnsi" w:hAnsiTheme="minorHAnsi" w:cstheme="minorHAnsi"/>
                <w:color w:val="133844"/>
                <w:szCs w:val="20"/>
              </w:rPr>
            </w:pPr>
            <w:r w:rsidRPr="0078056B">
              <w:t>475</w:t>
            </w:r>
          </w:p>
        </w:tc>
      </w:tr>
      <w:tr w:rsidR="003A6119" w:rsidRPr="0078056B" w14:paraId="668A1C69" w14:textId="77777777" w:rsidTr="000A186C">
        <w:tc>
          <w:tcPr>
            <w:tcW w:w="1323" w:type="pct"/>
            <w:tcBorders>
              <w:bottom w:val="single" w:sz="4" w:space="0" w:color="06357A"/>
            </w:tcBorders>
            <w:shd w:val="clear" w:color="auto" w:fill="auto"/>
            <w:vAlign w:val="center"/>
          </w:tcPr>
          <w:p w14:paraId="2A69C191" w14:textId="77777777" w:rsidR="003A6119" w:rsidRPr="0078056B" w:rsidRDefault="003A6119" w:rsidP="000A186C">
            <w:pPr>
              <w:pStyle w:val="TableText"/>
              <w:keepNext/>
              <w:rPr>
                <w:rFonts w:asciiTheme="minorHAnsi" w:hAnsiTheme="minorHAnsi" w:cstheme="minorHAnsi"/>
                <w:color w:val="0B5ED7" w:themeColor="accent2"/>
                <w:szCs w:val="20"/>
              </w:rPr>
            </w:pPr>
            <w:r w:rsidRPr="0078056B">
              <w:rPr>
                <w:rFonts w:asciiTheme="minorHAnsi" w:hAnsiTheme="minorHAnsi" w:cstheme="minorHAnsi"/>
                <w:b/>
                <w:color w:val="06357A"/>
                <w:szCs w:val="20"/>
              </w:rPr>
              <w:t>Total</w:t>
            </w:r>
          </w:p>
        </w:tc>
        <w:tc>
          <w:tcPr>
            <w:tcW w:w="850" w:type="pct"/>
            <w:tcBorders>
              <w:bottom w:val="single" w:sz="4" w:space="0" w:color="06357A"/>
            </w:tcBorders>
            <w:shd w:val="clear" w:color="auto" w:fill="auto"/>
          </w:tcPr>
          <w:p w14:paraId="3633ABBF" w14:textId="77777777" w:rsidR="003A6119" w:rsidRPr="0078056B" w:rsidRDefault="003A6119" w:rsidP="000A186C">
            <w:pPr>
              <w:pStyle w:val="TableHeading"/>
              <w:keepNext/>
              <w:jc w:val="center"/>
            </w:pPr>
            <w:r w:rsidRPr="0078056B">
              <w:t>8,265</w:t>
            </w:r>
          </w:p>
        </w:tc>
        <w:tc>
          <w:tcPr>
            <w:tcW w:w="687" w:type="pct"/>
            <w:tcBorders>
              <w:bottom w:val="single" w:sz="4" w:space="0" w:color="06357A"/>
            </w:tcBorders>
            <w:shd w:val="clear" w:color="auto" w:fill="auto"/>
          </w:tcPr>
          <w:p w14:paraId="77509094" w14:textId="77777777" w:rsidR="003A6119" w:rsidRPr="0078056B" w:rsidRDefault="003A6119" w:rsidP="000A186C">
            <w:pPr>
              <w:pStyle w:val="TableHeading"/>
              <w:keepNext/>
              <w:jc w:val="center"/>
            </w:pPr>
            <w:r w:rsidRPr="0078056B">
              <w:t>245</w:t>
            </w:r>
          </w:p>
        </w:tc>
        <w:tc>
          <w:tcPr>
            <w:tcW w:w="764" w:type="pct"/>
            <w:tcBorders>
              <w:bottom w:val="single" w:sz="4" w:space="0" w:color="06357A"/>
            </w:tcBorders>
            <w:shd w:val="clear" w:color="auto" w:fill="auto"/>
          </w:tcPr>
          <w:p w14:paraId="68C787EE" w14:textId="77777777" w:rsidR="003A6119" w:rsidRPr="0078056B" w:rsidRDefault="003A6119" w:rsidP="000A186C">
            <w:pPr>
              <w:pStyle w:val="TableHeading"/>
              <w:keepNext/>
              <w:jc w:val="center"/>
            </w:pPr>
            <w:r w:rsidRPr="0078056B">
              <w:t>30</w:t>
            </w:r>
          </w:p>
        </w:tc>
        <w:tc>
          <w:tcPr>
            <w:tcW w:w="688" w:type="pct"/>
            <w:tcBorders>
              <w:bottom w:val="single" w:sz="4" w:space="0" w:color="06357A"/>
            </w:tcBorders>
            <w:shd w:val="clear" w:color="auto" w:fill="auto"/>
          </w:tcPr>
          <w:p w14:paraId="49B6B391" w14:textId="77777777" w:rsidR="003A6119" w:rsidRPr="0078056B" w:rsidRDefault="003A6119" w:rsidP="000A186C">
            <w:pPr>
              <w:pStyle w:val="TableHeading"/>
              <w:keepNext/>
              <w:jc w:val="center"/>
            </w:pPr>
            <w:r w:rsidRPr="0078056B">
              <w:t>20</w:t>
            </w:r>
          </w:p>
        </w:tc>
        <w:tc>
          <w:tcPr>
            <w:tcW w:w="688" w:type="pct"/>
            <w:tcBorders>
              <w:bottom w:val="single" w:sz="4" w:space="0" w:color="06357A"/>
            </w:tcBorders>
          </w:tcPr>
          <w:p w14:paraId="0113900E" w14:textId="77777777" w:rsidR="003A6119" w:rsidRPr="0078056B" w:rsidRDefault="003A6119" w:rsidP="000A186C">
            <w:pPr>
              <w:pStyle w:val="TableHeading"/>
              <w:keepNext/>
              <w:jc w:val="center"/>
            </w:pPr>
            <w:r w:rsidRPr="0078056B">
              <w:t>8,560</w:t>
            </w:r>
          </w:p>
        </w:tc>
      </w:tr>
      <w:tr w:rsidR="003A6119" w:rsidRPr="0078056B" w14:paraId="6C86105A" w14:textId="77777777" w:rsidTr="000A186C">
        <w:tc>
          <w:tcPr>
            <w:tcW w:w="1323" w:type="pct"/>
            <w:tcBorders>
              <w:top w:val="single" w:sz="4" w:space="0" w:color="06357A"/>
              <w:bottom w:val="single" w:sz="4" w:space="0" w:color="06357A"/>
              <w:right w:val="nil"/>
            </w:tcBorders>
            <w:shd w:val="clear" w:color="auto" w:fill="0B5ED7"/>
            <w:vAlign w:val="center"/>
          </w:tcPr>
          <w:p w14:paraId="5B70D23E" w14:textId="77777777" w:rsidR="003A6119" w:rsidRPr="0078056B" w:rsidRDefault="003A6119" w:rsidP="000A186C">
            <w:pPr>
              <w:pStyle w:val="TableText"/>
              <w:keepNext/>
              <w:rPr>
                <w:rFonts w:asciiTheme="minorHAnsi" w:hAnsiTheme="minorHAnsi" w:cstheme="minorHAnsi"/>
                <w:color w:val="FFFFFF" w:themeColor="background1"/>
                <w:szCs w:val="20"/>
              </w:rPr>
            </w:pPr>
            <w:r w:rsidRPr="0078056B">
              <w:rPr>
                <w:rFonts w:asciiTheme="minorHAnsi" w:hAnsiTheme="minorHAnsi" w:cstheme="minorHAnsi"/>
                <w:b/>
                <w:bCs/>
                <w:color w:val="FFFFFF" w:themeColor="background1"/>
                <w:szCs w:val="20"/>
              </w:rPr>
              <w:t>Part-time</w:t>
            </w:r>
          </w:p>
        </w:tc>
        <w:tc>
          <w:tcPr>
            <w:tcW w:w="850" w:type="pct"/>
            <w:tcBorders>
              <w:top w:val="single" w:sz="4" w:space="0" w:color="06357A"/>
              <w:left w:val="nil"/>
              <w:bottom w:val="single" w:sz="4" w:space="0" w:color="06357A"/>
              <w:right w:val="nil"/>
            </w:tcBorders>
            <w:shd w:val="clear" w:color="auto" w:fill="0B5ED7"/>
            <w:vAlign w:val="center"/>
          </w:tcPr>
          <w:p w14:paraId="123E819F" w14:textId="77777777" w:rsidR="003A6119" w:rsidRPr="0078056B" w:rsidRDefault="003A6119" w:rsidP="000A186C">
            <w:pPr>
              <w:pStyle w:val="TableText"/>
              <w:keepNext/>
              <w:jc w:val="center"/>
              <w:rPr>
                <w:rFonts w:asciiTheme="minorHAnsi" w:hAnsiTheme="minorHAnsi" w:cstheme="minorHAnsi"/>
                <w:color w:val="133844"/>
                <w:szCs w:val="20"/>
              </w:rPr>
            </w:pPr>
          </w:p>
        </w:tc>
        <w:tc>
          <w:tcPr>
            <w:tcW w:w="687" w:type="pct"/>
            <w:tcBorders>
              <w:top w:val="single" w:sz="4" w:space="0" w:color="06357A"/>
              <w:left w:val="nil"/>
              <w:bottom w:val="single" w:sz="4" w:space="0" w:color="06357A"/>
              <w:right w:val="nil"/>
            </w:tcBorders>
            <w:shd w:val="clear" w:color="auto" w:fill="0B5ED7"/>
            <w:vAlign w:val="center"/>
          </w:tcPr>
          <w:p w14:paraId="02FF7639" w14:textId="77777777" w:rsidR="003A6119" w:rsidRPr="0078056B" w:rsidRDefault="003A6119" w:rsidP="000A186C">
            <w:pPr>
              <w:pStyle w:val="TableText"/>
              <w:keepNext/>
              <w:jc w:val="center"/>
              <w:rPr>
                <w:rFonts w:asciiTheme="minorHAnsi" w:hAnsiTheme="minorHAnsi" w:cstheme="minorHAnsi"/>
                <w:color w:val="133844"/>
                <w:szCs w:val="20"/>
              </w:rPr>
            </w:pPr>
          </w:p>
        </w:tc>
        <w:tc>
          <w:tcPr>
            <w:tcW w:w="764" w:type="pct"/>
            <w:tcBorders>
              <w:top w:val="single" w:sz="4" w:space="0" w:color="06357A"/>
              <w:left w:val="nil"/>
              <w:bottom w:val="single" w:sz="4" w:space="0" w:color="06357A"/>
              <w:right w:val="nil"/>
            </w:tcBorders>
            <w:shd w:val="clear" w:color="auto" w:fill="0B5ED7"/>
            <w:vAlign w:val="center"/>
          </w:tcPr>
          <w:p w14:paraId="1D672ACC" w14:textId="77777777" w:rsidR="003A6119" w:rsidRPr="0078056B" w:rsidRDefault="003A6119" w:rsidP="000A186C">
            <w:pPr>
              <w:pStyle w:val="TableText"/>
              <w:keepNext/>
              <w:jc w:val="center"/>
              <w:rPr>
                <w:rFonts w:asciiTheme="minorHAnsi" w:hAnsiTheme="minorHAnsi" w:cstheme="minorHAnsi"/>
                <w:color w:val="133844"/>
                <w:szCs w:val="20"/>
              </w:rPr>
            </w:pPr>
          </w:p>
        </w:tc>
        <w:tc>
          <w:tcPr>
            <w:tcW w:w="688" w:type="pct"/>
            <w:tcBorders>
              <w:top w:val="single" w:sz="4" w:space="0" w:color="06357A"/>
              <w:left w:val="nil"/>
              <w:bottom w:val="single" w:sz="4" w:space="0" w:color="06357A"/>
              <w:right w:val="nil"/>
            </w:tcBorders>
            <w:shd w:val="clear" w:color="auto" w:fill="0B5ED7"/>
            <w:vAlign w:val="center"/>
          </w:tcPr>
          <w:p w14:paraId="19E18F88" w14:textId="77777777" w:rsidR="003A6119" w:rsidRPr="0078056B" w:rsidRDefault="003A6119" w:rsidP="000A186C">
            <w:pPr>
              <w:pStyle w:val="TableText"/>
              <w:keepNext/>
              <w:jc w:val="center"/>
              <w:rPr>
                <w:rFonts w:asciiTheme="minorHAnsi" w:hAnsiTheme="minorHAnsi" w:cstheme="minorHAnsi"/>
                <w:color w:val="133844"/>
                <w:szCs w:val="20"/>
              </w:rPr>
            </w:pPr>
          </w:p>
        </w:tc>
        <w:tc>
          <w:tcPr>
            <w:tcW w:w="688" w:type="pct"/>
            <w:tcBorders>
              <w:top w:val="single" w:sz="4" w:space="0" w:color="06357A"/>
              <w:left w:val="nil"/>
              <w:bottom w:val="single" w:sz="4" w:space="0" w:color="06357A"/>
            </w:tcBorders>
            <w:shd w:val="clear" w:color="auto" w:fill="0B5ED7"/>
            <w:vAlign w:val="center"/>
          </w:tcPr>
          <w:p w14:paraId="7D4C2074" w14:textId="77777777" w:rsidR="003A6119" w:rsidRPr="0078056B" w:rsidRDefault="003A6119" w:rsidP="000A186C">
            <w:pPr>
              <w:pStyle w:val="TableHeading"/>
              <w:keepNext/>
              <w:jc w:val="center"/>
              <w:rPr>
                <w:rFonts w:asciiTheme="minorHAnsi" w:hAnsiTheme="minorHAnsi" w:cstheme="minorHAnsi"/>
                <w:color w:val="133844"/>
                <w:szCs w:val="20"/>
              </w:rPr>
            </w:pPr>
          </w:p>
        </w:tc>
      </w:tr>
      <w:tr w:rsidR="003A6119" w:rsidRPr="0078056B" w14:paraId="6ADE2BEC" w14:textId="77777777" w:rsidTr="000A186C">
        <w:tc>
          <w:tcPr>
            <w:tcW w:w="1323" w:type="pct"/>
            <w:tcBorders>
              <w:top w:val="single" w:sz="4" w:space="0" w:color="06357A"/>
            </w:tcBorders>
            <w:shd w:val="clear" w:color="auto" w:fill="auto"/>
            <w:vAlign w:val="center"/>
          </w:tcPr>
          <w:p w14:paraId="6E2E439B" w14:textId="77777777" w:rsidR="003A6119" w:rsidRPr="0078056B" w:rsidRDefault="003A6119" w:rsidP="000A186C">
            <w:pPr>
              <w:pStyle w:val="TableText"/>
              <w:keepNext/>
              <w:rPr>
                <w:rFonts w:asciiTheme="minorHAnsi" w:hAnsiTheme="minorHAnsi" w:cstheme="minorHAnsi"/>
                <w:szCs w:val="20"/>
              </w:rPr>
            </w:pPr>
            <w:r w:rsidRPr="0078056B">
              <w:rPr>
                <w:rFonts w:asciiTheme="minorHAnsi" w:hAnsiTheme="minorHAnsi" w:cstheme="minorHAnsi"/>
                <w:szCs w:val="20"/>
              </w:rPr>
              <w:t>Other undergraduate</w:t>
            </w:r>
          </w:p>
        </w:tc>
        <w:tc>
          <w:tcPr>
            <w:tcW w:w="850" w:type="pct"/>
            <w:tcBorders>
              <w:top w:val="single" w:sz="4" w:space="0" w:color="06357A"/>
            </w:tcBorders>
            <w:shd w:val="clear" w:color="auto" w:fill="auto"/>
          </w:tcPr>
          <w:p w14:paraId="7FE47556" w14:textId="77777777" w:rsidR="003A6119" w:rsidRPr="0078056B" w:rsidRDefault="003A6119" w:rsidP="000A186C">
            <w:pPr>
              <w:pStyle w:val="TableText"/>
              <w:keepNext/>
              <w:jc w:val="center"/>
              <w:rPr>
                <w:rFonts w:asciiTheme="minorHAnsi" w:hAnsiTheme="minorHAnsi" w:cstheme="minorHAnsi"/>
                <w:szCs w:val="20"/>
              </w:rPr>
            </w:pPr>
            <w:r w:rsidRPr="0078056B">
              <w:t>285</w:t>
            </w:r>
          </w:p>
        </w:tc>
        <w:tc>
          <w:tcPr>
            <w:tcW w:w="687" w:type="pct"/>
            <w:tcBorders>
              <w:top w:val="single" w:sz="4" w:space="0" w:color="06357A"/>
            </w:tcBorders>
            <w:shd w:val="clear" w:color="auto" w:fill="auto"/>
          </w:tcPr>
          <w:p w14:paraId="7A7650F6" w14:textId="77777777" w:rsidR="003A6119" w:rsidRPr="0078056B" w:rsidRDefault="003A6119" w:rsidP="000A186C">
            <w:pPr>
              <w:pStyle w:val="TableText"/>
              <w:keepNext/>
              <w:jc w:val="center"/>
              <w:rPr>
                <w:rFonts w:asciiTheme="minorHAnsi" w:hAnsiTheme="minorHAnsi" w:cstheme="minorHAnsi"/>
                <w:szCs w:val="20"/>
              </w:rPr>
            </w:pPr>
            <w:r w:rsidRPr="0078056B">
              <w:t>20</w:t>
            </w:r>
          </w:p>
        </w:tc>
        <w:tc>
          <w:tcPr>
            <w:tcW w:w="764" w:type="pct"/>
            <w:tcBorders>
              <w:top w:val="single" w:sz="4" w:space="0" w:color="06357A"/>
            </w:tcBorders>
            <w:shd w:val="clear" w:color="auto" w:fill="auto"/>
          </w:tcPr>
          <w:p w14:paraId="280CDCCA" w14:textId="77777777" w:rsidR="003A6119" w:rsidRPr="0078056B" w:rsidRDefault="003A6119" w:rsidP="000A186C">
            <w:pPr>
              <w:pStyle w:val="TableText"/>
              <w:keepNext/>
              <w:jc w:val="center"/>
              <w:rPr>
                <w:rFonts w:asciiTheme="minorHAnsi" w:hAnsiTheme="minorHAnsi" w:cstheme="minorHAnsi"/>
                <w:szCs w:val="20"/>
              </w:rPr>
            </w:pPr>
            <w:r w:rsidRPr="0078056B">
              <w:t>5</w:t>
            </w:r>
          </w:p>
        </w:tc>
        <w:tc>
          <w:tcPr>
            <w:tcW w:w="688" w:type="pct"/>
            <w:tcBorders>
              <w:top w:val="single" w:sz="4" w:space="0" w:color="06357A"/>
            </w:tcBorders>
            <w:shd w:val="clear" w:color="auto" w:fill="auto"/>
          </w:tcPr>
          <w:p w14:paraId="107EE8C2" w14:textId="77777777" w:rsidR="003A6119" w:rsidRPr="0078056B" w:rsidRDefault="003A6119" w:rsidP="000A186C">
            <w:pPr>
              <w:pStyle w:val="TableText"/>
              <w:keepNext/>
              <w:jc w:val="center"/>
              <w:rPr>
                <w:rFonts w:asciiTheme="minorHAnsi" w:hAnsiTheme="minorHAnsi" w:cstheme="minorHAnsi"/>
                <w:szCs w:val="20"/>
              </w:rPr>
            </w:pPr>
            <w:r w:rsidRPr="0078056B">
              <w:t>10</w:t>
            </w:r>
          </w:p>
        </w:tc>
        <w:tc>
          <w:tcPr>
            <w:tcW w:w="688" w:type="pct"/>
            <w:tcBorders>
              <w:top w:val="single" w:sz="4" w:space="0" w:color="06357A"/>
            </w:tcBorders>
          </w:tcPr>
          <w:p w14:paraId="6FB416DE" w14:textId="77777777" w:rsidR="003A6119" w:rsidRPr="0078056B" w:rsidRDefault="003A6119" w:rsidP="000A186C">
            <w:pPr>
              <w:pStyle w:val="TableHeading"/>
              <w:keepNext/>
              <w:jc w:val="center"/>
              <w:rPr>
                <w:rFonts w:asciiTheme="minorHAnsi" w:hAnsiTheme="minorHAnsi" w:cstheme="minorHAnsi"/>
                <w:color w:val="133844"/>
                <w:szCs w:val="20"/>
              </w:rPr>
            </w:pPr>
            <w:r w:rsidRPr="0078056B">
              <w:t>315</w:t>
            </w:r>
          </w:p>
        </w:tc>
      </w:tr>
      <w:tr w:rsidR="003A6119" w:rsidRPr="0078056B" w14:paraId="168B3FE2" w14:textId="77777777" w:rsidTr="000A186C">
        <w:tc>
          <w:tcPr>
            <w:tcW w:w="1323" w:type="pct"/>
            <w:shd w:val="clear" w:color="auto" w:fill="auto"/>
            <w:vAlign w:val="center"/>
          </w:tcPr>
          <w:p w14:paraId="6847DE83" w14:textId="77777777" w:rsidR="003A6119" w:rsidRPr="0078056B" w:rsidRDefault="003A6119" w:rsidP="000A186C">
            <w:pPr>
              <w:pStyle w:val="TableText"/>
              <w:keepNext/>
              <w:rPr>
                <w:rFonts w:asciiTheme="minorHAnsi" w:hAnsiTheme="minorHAnsi" w:cstheme="minorHAnsi"/>
                <w:szCs w:val="20"/>
              </w:rPr>
            </w:pPr>
            <w:r w:rsidRPr="0078056B">
              <w:rPr>
                <w:rFonts w:asciiTheme="minorHAnsi" w:hAnsiTheme="minorHAnsi" w:cstheme="minorHAnsi"/>
                <w:szCs w:val="20"/>
              </w:rPr>
              <w:t>First degree</w:t>
            </w:r>
          </w:p>
        </w:tc>
        <w:tc>
          <w:tcPr>
            <w:tcW w:w="850" w:type="pct"/>
            <w:shd w:val="clear" w:color="auto" w:fill="auto"/>
          </w:tcPr>
          <w:p w14:paraId="28304971" w14:textId="77777777" w:rsidR="003A6119" w:rsidRPr="0078056B" w:rsidRDefault="003A6119" w:rsidP="000A186C">
            <w:pPr>
              <w:pStyle w:val="TableText"/>
              <w:keepNext/>
              <w:jc w:val="center"/>
              <w:rPr>
                <w:rFonts w:asciiTheme="minorHAnsi" w:hAnsiTheme="minorHAnsi" w:cstheme="minorHAnsi"/>
                <w:szCs w:val="20"/>
              </w:rPr>
            </w:pPr>
            <w:r w:rsidRPr="0078056B">
              <w:t>0</w:t>
            </w:r>
          </w:p>
        </w:tc>
        <w:tc>
          <w:tcPr>
            <w:tcW w:w="687" w:type="pct"/>
            <w:shd w:val="clear" w:color="auto" w:fill="auto"/>
          </w:tcPr>
          <w:p w14:paraId="5F7E4592" w14:textId="77777777" w:rsidR="003A6119" w:rsidRPr="0078056B" w:rsidRDefault="003A6119" w:rsidP="000A186C">
            <w:pPr>
              <w:pStyle w:val="TableText"/>
              <w:keepNext/>
              <w:jc w:val="center"/>
              <w:rPr>
                <w:rFonts w:asciiTheme="minorHAnsi" w:hAnsiTheme="minorHAnsi" w:cstheme="minorHAnsi"/>
                <w:szCs w:val="20"/>
              </w:rPr>
            </w:pPr>
            <w:r w:rsidRPr="0078056B">
              <w:t>0</w:t>
            </w:r>
          </w:p>
        </w:tc>
        <w:tc>
          <w:tcPr>
            <w:tcW w:w="764" w:type="pct"/>
            <w:shd w:val="clear" w:color="auto" w:fill="auto"/>
          </w:tcPr>
          <w:p w14:paraId="0A3FE3DC" w14:textId="77777777" w:rsidR="003A6119" w:rsidRPr="0078056B" w:rsidRDefault="003A6119" w:rsidP="000A186C">
            <w:pPr>
              <w:pStyle w:val="TableText"/>
              <w:keepNext/>
              <w:jc w:val="center"/>
              <w:rPr>
                <w:rFonts w:asciiTheme="minorHAnsi" w:hAnsiTheme="minorHAnsi" w:cstheme="minorHAnsi"/>
                <w:szCs w:val="20"/>
              </w:rPr>
            </w:pPr>
            <w:r w:rsidRPr="0078056B">
              <w:t>0</w:t>
            </w:r>
          </w:p>
        </w:tc>
        <w:tc>
          <w:tcPr>
            <w:tcW w:w="688" w:type="pct"/>
            <w:shd w:val="clear" w:color="auto" w:fill="auto"/>
          </w:tcPr>
          <w:p w14:paraId="50151F06" w14:textId="77777777" w:rsidR="003A6119" w:rsidRPr="0078056B" w:rsidRDefault="003A6119" w:rsidP="000A186C">
            <w:pPr>
              <w:pStyle w:val="TableText"/>
              <w:keepNext/>
              <w:jc w:val="center"/>
              <w:rPr>
                <w:rFonts w:asciiTheme="minorHAnsi" w:hAnsiTheme="minorHAnsi" w:cstheme="minorHAnsi"/>
                <w:szCs w:val="20"/>
              </w:rPr>
            </w:pPr>
            <w:r w:rsidRPr="0078056B">
              <w:t>0</w:t>
            </w:r>
          </w:p>
        </w:tc>
        <w:tc>
          <w:tcPr>
            <w:tcW w:w="688" w:type="pct"/>
          </w:tcPr>
          <w:p w14:paraId="55541A8C" w14:textId="77777777" w:rsidR="003A6119" w:rsidRPr="0078056B" w:rsidRDefault="003A6119" w:rsidP="000A186C">
            <w:pPr>
              <w:pStyle w:val="TableHeading"/>
              <w:keepNext/>
              <w:jc w:val="center"/>
              <w:rPr>
                <w:rFonts w:asciiTheme="minorHAnsi" w:hAnsiTheme="minorHAnsi" w:cstheme="minorHAnsi"/>
                <w:color w:val="133844"/>
                <w:szCs w:val="20"/>
              </w:rPr>
            </w:pPr>
            <w:r w:rsidRPr="0078056B">
              <w:t>0</w:t>
            </w:r>
          </w:p>
        </w:tc>
      </w:tr>
      <w:tr w:rsidR="003A6119" w:rsidRPr="0078056B" w14:paraId="115D6DD4" w14:textId="77777777" w:rsidTr="000A186C">
        <w:tc>
          <w:tcPr>
            <w:tcW w:w="1323" w:type="pct"/>
            <w:shd w:val="clear" w:color="auto" w:fill="auto"/>
            <w:vAlign w:val="center"/>
          </w:tcPr>
          <w:p w14:paraId="771E7E77" w14:textId="77777777" w:rsidR="003A6119" w:rsidRPr="0078056B" w:rsidRDefault="003A6119" w:rsidP="000A186C">
            <w:pPr>
              <w:pStyle w:val="TableText"/>
              <w:keepNext/>
              <w:rPr>
                <w:rFonts w:asciiTheme="minorHAnsi" w:hAnsiTheme="minorHAnsi" w:cstheme="minorHAnsi"/>
                <w:szCs w:val="20"/>
              </w:rPr>
            </w:pPr>
            <w:r w:rsidRPr="0078056B">
              <w:rPr>
                <w:rFonts w:asciiTheme="minorHAnsi" w:hAnsiTheme="minorHAnsi" w:cstheme="minorHAnsi"/>
                <w:szCs w:val="20"/>
              </w:rPr>
              <w:t>Other postgraduate</w:t>
            </w:r>
          </w:p>
        </w:tc>
        <w:tc>
          <w:tcPr>
            <w:tcW w:w="850" w:type="pct"/>
            <w:shd w:val="clear" w:color="auto" w:fill="auto"/>
          </w:tcPr>
          <w:p w14:paraId="67E6925D" w14:textId="77777777" w:rsidR="003A6119" w:rsidRPr="0078056B" w:rsidRDefault="003A6119" w:rsidP="000A186C">
            <w:pPr>
              <w:pStyle w:val="TableText"/>
              <w:keepNext/>
              <w:jc w:val="center"/>
              <w:rPr>
                <w:rFonts w:asciiTheme="minorHAnsi" w:hAnsiTheme="minorHAnsi" w:cstheme="minorHAnsi"/>
                <w:szCs w:val="20"/>
              </w:rPr>
            </w:pPr>
            <w:r w:rsidRPr="0078056B">
              <w:t>900</w:t>
            </w:r>
          </w:p>
        </w:tc>
        <w:tc>
          <w:tcPr>
            <w:tcW w:w="687" w:type="pct"/>
            <w:shd w:val="clear" w:color="auto" w:fill="auto"/>
          </w:tcPr>
          <w:p w14:paraId="1389F2CC" w14:textId="77777777" w:rsidR="003A6119" w:rsidRPr="0078056B" w:rsidRDefault="003A6119" w:rsidP="000A186C">
            <w:pPr>
              <w:pStyle w:val="TableText"/>
              <w:keepNext/>
              <w:jc w:val="center"/>
              <w:rPr>
                <w:rFonts w:asciiTheme="minorHAnsi" w:hAnsiTheme="minorHAnsi" w:cstheme="minorHAnsi"/>
                <w:szCs w:val="20"/>
              </w:rPr>
            </w:pPr>
            <w:r w:rsidRPr="0078056B">
              <w:t>15</w:t>
            </w:r>
          </w:p>
        </w:tc>
        <w:tc>
          <w:tcPr>
            <w:tcW w:w="764" w:type="pct"/>
            <w:shd w:val="clear" w:color="auto" w:fill="auto"/>
          </w:tcPr>
          <w:p w14:paraId="2E343D00" w14:textId="77777777" w:rsidR="003A6119" w:rsidRPr="0078056B" w:rsidRDefault="003A6119" w:rsidP="000A186C">
            <w:pPr>
              <w:pStyle w:val="TableText"/>
              <w:keepNext/>
              <w:jc w:val="center"/>
              <w:rPr>
                <w:rFonts w:asciiTheme="minorHAnsi" w:hAnsiTheme="minorHAnsi" w:cstheme="minorHAnsi"/>
                <w:szCs w:val="20"/>
              </w:rPr>
            </w:pPr>
            <w:r w:rsidRPr="0078056B">
              <w:t>10</w:t>
            </w:r>
          </w:p>
        </w:tc>
        <w:tc>
          <w:tcPr>
            <w:tcW w:w="688" w:type="pct"/>
            <w:shd w:val="clear" w:color="auto" w:fill="auto"/>
          </w:tcPr>
          <w:p w14:paraId="2514E804" w14:textId="77777777" w:rsidR="003A6119" w:rsidRPr="0078056B" w:rsidRDefault="003A6119" w:rsidP="000A186C">
            <w:pPr>
              <w:pStyle w:val="TableText"/>
              <w:keepNext/>
              <w:jc w:val="center"/>
              <w:rPr>
                <w:rFonts w:asciiTheme="minorHAnsi" w:hAnsiTheme="minorHAnsi" w:cstheme="minorHAnsi"/>
                <w:szCs w:val="20"/>
              </w:rPr>
            </w:pPr>
            <w:r w:rsidRPr="0078056B">
              <w:t>0</w:t>
            </w:r>
          </w:p>
        </w:tc>
        <w:tc>
          <w:tcPr>
            <w:tcW w:w="688" w:type="pct"/>
          </w:tcPr>
          <w:p w14:paraId="2E15B214" w14:textId="77777777" w:rsidR="003A6119" w:rsidRPr="0078056B" w:rsidRDefault="003A6119" w:rsidP="000A186C">
            <w:pPr>
              <w:pStyle w:val="TableHeading"/>
              <w:keepNext/>
              <w:jc w:val="center"/>
              <w:rPr>
                <w:rFonts w:asciiTheme="minorHAnsi" w:hAnsiTheme="minorHAnsi" w:cstheme="minorHAnsi"/>
                <w:color w:val="133844"/>
                <w:szCs w:val="20"/>
              </w:rPr>
            </w:pPr>
            <w:r w:rsidRPr="0078056B">
              <w:t>925</w:t>
            </w:r>
          </w:p>
        </w:tc>
      </w:tr>
      <w:tr w:rsidR="003A6119" w:rsidRPr="0078056B" w14:paraId="3D2D6D76" w14:textId="77777777" w:rsidTr="000A186C">
        <w:tc>
          <w:tcPr>
            <w:tcW w:w="1323" w:type="pct"/>
            <w:shd w:val="clear" w:color="auto" w:fill="auto"/>
            <w:vAlign w:val="center"/>
          </w:tcPr>
          <w:p w14:paraId="484B1935" w14:textId="77777777" w:rsidR="003A6119" w:rsidRPr="0078056B" w:rsidRDefault="003A6119" w:rsidP="000A186C">
            <w:pPr>
              <w:pStyle w:val="TableText"/>
              <w:keepNext/>
              <w:rPr>
                <w:rFonts w:asciiTheme="minorHAnsi" w:hAnsiTheme="minorHAnsi" w:cstheme="minorHAnsi"/>
                <w:szCs w:val="20"/>
              </w:rPr>
            </w:pPr>
            <w:r w:rsidRPr="0078056B">
              <w:rPr>
                <w:rFonts w:asciiTheme="minorHAnsi" w:hAnsiTheme="minorHAnsi" w:cstheme="minorHAnsi"/>
                <w:szCs w:val="20"/>
              </w:rPr>
              <w:t>Higher degree (taught)</w:t>
            </w:r>
          </w:p>
        </w:tc>
        <w:tc>
          <w:tcPr>
            <w:tcW w:w="850" w:type="pct"/>
            <w:shd w:val="clear" w:color="auto" w:fill="auto"/>
          </w:tcPr>
          <w:p w14:paraId="0412F321" w14:textId="77777777" w:rsidR="003A6119" w:rsidRPr="0078056B" w:rsidRDefault="003A6119" w:rsidP="000A186C">
            <w:pPr>
              <w:pStyle w:val="TableText"/>
              <w:keepNext/>
              <w:jc w:val="center"/>
              <w:rPr>
                <w:rFonts w:asciiTheme="minorHAnsi" w:hAnsiTheme="minorHAnsi" w:cstheme="minorHAnsi"/>
                <w:szCs w:val="20"/>
              </w:rPr>
            </w:pPr>
            <w:r w:rsidRPr="0078056B">
              <w:t>875</w:t>
            </w:r>
          </w:p>
        </w:tc>
        <w:tc>
          <w:tcPr>
            <w:tcW w:w="687" w:type="pct"/>
            <w:shd w:val="clear" w:color="auto" w:fill="auto"/>
          </w:tcPr>
          <w:p w14:paraId="6605E98A" w14:textId="77777777" w:rsidR="003A6119" w:rsidRPr="0078056B" w:rsidRDefault="003A6119" w:rsidP="000A186C">
            <w:pPr>
              <w:pStyle w:val="TableText"/>
              <w:keepNext/>
              <w:jc w:val="center"/>
              <w:rPr>
                <w:rFonts w:asciiTheme="minorHAnsi" w:hAnsiTheme="minorHAnsi" w:cstheme="minorHAnsi"/>
                <w:szCs w:val="20"/>
              </w:rPr>
            </w:pPr>
            <w:r w:rsidRPr="0078056B">
              <w:t>30</w:t>
            </w:r>
          </w:p>
        </w:tc>
        <w:tc>
          <w:tcPr>
            <w:tcW w:w="764" w:type="pct"/>
            <w:shd w:val="clear" w:color="auto" w:fill="auto"/>
          </w:tcPr>
          <w:p w14:paraId="0BDD47F3" w14:textId="77777777" w:rsidR="003A6119" w:rsidRPr="0078056B" w:rsidRDefault="003A6119" w:rsidP="000A186C">
            <w:pPr>
              <w:pStyle w:val="TableText"/>
              <w:keepNext/>
              <w:jc w:val="center"/>
              <w:rPr>
                <w:rFonts w:asciiTheme="minorHAnsi" w:hAnsiTheme="minorHAnsi" w:cstheme="minorHAnsi"/>
                <w:szCs w:val="20"/>
              </w:rPr>
            </w:pPr>
            <w:r w:rsidRPr="0078056B">
              <w:t>15</w:t>
            </w:r>
          </w:p>
        </w:tc>
        <w:tc>
          <w:tcPr>
            <w:tcW w:w="688" w:type="pct"/>
            <w:shd w:val="clear" w:color="auto" w:fill="auto"/>
          </w:tcPr>
          <w:p w14:paraId="431DEF92" w14:textId="77777777" w:rsidR="003A6119" w:rsidRPr="0078056B" w:rsidRDefault="003A6119" w:rsidP="000A186C">
            <w:pPr>
              <w:pStyle w:val="TableText"/>
              <w:keepNext/>
              <w:jc w:val="center"/>
              <w:rPr>
                <w:rFonts w:asciiTheme="minorHAnsi" w:hAnsiTheme="minorHAnsi" w:cstheme="minorHAnsi"/>
                <w:szCs w:val="20"/>
              </w:rPr>
            </w:pPr>
            <w:r w:rsidRPr="0078056B">
              <w:t>10</w:t>
            </w:r>
          </w:p>
        </w:tc>
        <w:tc>
          <w:tcPr>
            <w:tcW w:w="688" w:type="pct"/>
          </w:tcPr>
          <w:p w14:paraId="6E7C9A04" w14:textId="77777777" w:rsidR="003A6119" w:rsidRPr="0078056B" w:rsidRDefault="003A6119" w:rsidP="000A186C">
            <w:pPr>
              <w:pStyle w:val="TableHeading"/>
              <w:keepNext/>
              <w:jc w:val="center"/>
              <w:rPr>
                <w:rFonts w:asciiTheme="minorHAnsi" w:hAnsiTheme="minorHAnsi" w:cstheme="minorHAnsi"/>
                <w:color w:val="133844"/>
                <w:szCs w:val="20"/>
              </w:rPr>
            </w:pPr>
            <w:r w:rsidRPr="0078056B">
              <w:t>925</w:t>
            </w:r>
          </w:p>
        </w:tc>
      </w:tr>
      <w:tr w:rsidR="003A6119" w:rsidRPr="0078056B" w14:paraId="7F1B220B" w14:textId="77777777" w:rsidTr="000A186C">
        <w:tc>
          <w:tcPr>
            <w:tcW w:w="1323" w:type="pct"/>
            <w:shd w:val="clear" w:color="auto" w:fill="auto"/>
            <w:vAlign w:val="center"/>
          </w:tcPr>
          <w:p w14:paraId="12CD11D3" w14:textId="77777777" w:rsidR="003A6119" w:rsidRPr="0078056B" w:rsidRDefault="003A6119" w:rsidP="000A186C">
            <w:pPr>
              <w:pStyle w:val="TableText"/>
              <w:keepNext/>
              <w:rPr>
                <w:rFonts w:asciiTheme="minorHAnsi" w:hAnsiTheme="minorHAnsi" w:cstheme="minorHAnsi"/>
                <w:szCs w:val="20"/>
              </w:rPr>
            </w:pPr>
            <w:r w:rsidRPr="0078056B">
              <w:rPr>
                <w:rFonts w:asciiTheme="minorHAnsi" w:hAnsiTheme="minorHAnsi" w:cstheme="minorHAnsi"/>
                <w:szCs w:val="20"/>
              </w:rPr>
              <w:t>Higher degree (research)</w:t>
            </w:r>
          </w:p>
        </w:tc>
        <w:tc>
          <w:tcPr>
            <w:tcW w:w="850" w:type="pct"/>
            <w:shd w:val="clear" w:color="auto" w:fill="auto"/>
          </w:tcPr>
          <w:p w14:paraId="603189D7" w14:textId="77777777" w:rsidR="003A6119" w:rsidRPr="0078056B" w:rsidRDefault="003A6119" w:rsidP="000A186C">
            <w:pPr>
              <w:pStyle w:val="TableText"/>
              <w:keepNext/>
              <w:jc w:val="center"/>
              <w:rPr>
                <w:rFonts w:asciiTheme="minorHAnsi" w:hAnsiTheme="minorHAnsi" w:cstheme="minorHAnsi"/>
                <w:szCs w:val="20"/>
              </w:rPr>
            </w:pPr>
            <w:r w:rsidRPr="0078056B">
              <w:t>95</w:t>
            </w:r>
          </w:p>
        </w:tc>
        <w:tc>
          <w:tcPr>
            <w:tcW w:w="687" w:type="pct"/>
            <w:shd w:val="clear" w:color="auto" w:fill="auto"/>
          </w:tcPr>
          <w:p w14:paraId="6781F42A" w14:textId="77777777" w:rsidR="003A6119" w:rsidRPr="0078056B" w:rsidRDefault="003A6119" w:rsidP="000A186C">
            <w:pPr>
              <w:pStyle w:val="TableText"/>
              <w:keepNext/>
              <w:jc w:val="center"/>
              <w:rPr>
                <w:rFonts w:asciiTheme="minorHAnsi" w:hAnsiTheme="minorHAnsi" w:cstheme="minorHAnsi"/>
                <w:szCs w:val="20"/>
              </w:rPr>
            </w:pPr>
            <w:r w:rsidRPr="0078056B">
              <w:t>0</w:t>
            </w:r>
          </w:p>
        </w:tc>
        <w:tc>
          <w:tcPr>
            <w:tcW w:w="764" w:type="pct"/>
            <w:shd w:val="clear" w:color="auto" w:fill="auto"/>
          </w:tcPr>
          <w:p w14:paraId="7F80E125" w14:textId="77777777" w:rsidR="003A6119" w:rsidRPr="0078056B" w:rsidRDefault="003A6119" w:rsidP="000A186C">
            <w:pPr>
              <w:pStyle w:val="TableText"/>
              <w:keepNext/>
              <w:jc w:val="center"/>
              <w:rPr>
                <w:rFonts w:asciiTheme="minorHAnsi" w:hAnsiTheme="minorHAnsi" w:cstheme="minorHAnsi"/>
                <w:szCs w:val="20"/>
              </w:rPr>
            </w:pPr>
            <w:r w:rsidRPr="0078056B">
              <w:t>0</w:t>
            </w:r>
          </w:p>
        </w:tc>
        <w:tc>
          <w:tcPr>
            <w:tcW w:w="688" w:type="pct"/>
            <w:shd w:val="clear" w:color="auto" w:fill="auto"/>
          </w:tcPr>
          <w:p w14:paraId="0E4A4C3E" w14:textId="77777777" w:rsidR="003A6119" w:rsidRPr="0078056B" w:rsidRDefault="003A6119" w:rsidP="000A186C">
            <w:pPr>
              <w:pStyle w:val="TableText"/>
              <w:keepNext/>
              <w:jc w:val="center"/>
              <w:rPr>
                <w:rFonts w:asciiTheme="minorHAnsi" w:hAnsiTheme="minorHAnsi" w:cstheme="minorHAnsi"/>
                <w:szCs w:val="20"/>
              </w:rPr>
            </w:pPr>
            <w:r w:rsidRPr="0078056B">
              <w:t>0</w:t>
            </w:r>
          </w:p>
        </w:tc>
        <w:tc>
          <w:tcPr>
            <w:tcW w:w="688" w:type="pct"/>
          </w:tcPr>
          <w:p w14:paraId="535BAD7B" w14:textId="77777777" w:rsidR="003A6119" w:rsidRPr="0078056B" w:rsidRDefault="003A6119" w:rsidP="000A186C">
            <w:pPr>
              <w:pStyle w:val="TableHeading"/>
              <w:keepNext/>
              <w:jc w:val="center"/>
              <w:rPr>
                <w:rFonts w:asciiTheme="minorHAnsi" w:hAnsiTheme="minorHAnsi" w:cstheme="minorHAnsi"/>
                <w:color w:val="133844"/>
                <w:szCs w:val="20"/>
              </w:rPr>
            </w:pPr>
            <w:r w:rsidRPr="0078056B">
              <w:t>105</w:t>
            </w:r>
          </w:p>
        </w:tc>
      </w:tr>
      <w:tr w:rsidR="003A6119" w:rsidRPr="0078056B" w14:paraId="355C0482" w14:textId="77777777" w:rsidTr="000A186C">
        <w:tc>
          <w:tcPr>
            <w:tcW w:w="1323" w:type="pct"/>
            <w:tcBorders>
              <w:bottom w:val="single" w:sz="4" w:space="0" w:color="06357A"/>
            </w:tcBorders>
            <w:shd w:val="clear" w:color="auto" w:fill="auto"/>
            <w:vAlign w:val="center"/>
          </w:tcPr>
          <w:p w14:paraId="4EF60272" w14:textId="77777777" w:rsidR="003A6119" w:rsidRPr="0078056B" w:rsidRDefault="003A6119" w:rsidP="000A186C">
            <w:pPr>
              <w:pStyle w:val="TableText"/>
              <w:keepNext/>
              <w:rPr>
                <w:rFonts w:asciiTheme="minorHAnsi" w:hAnsiTheme="minorHAnsi" w:cstheme="minorHAnsi"/>
                <w:b/>
                <w:color w:val="06357A" w:themeColor="accent1"/>
                <w:szCs w:val="20"/>
              </w:rPr>
            </w:pPr>
            <w:r w:rsidRPr="0078056B">
              <w:rPr>
                <w:rFonts w:asciiTheme="minorHAnsi" w:hAnsiTheme="minorHAnsi" w:cstheme="minorHAnsi"/>
                <w:b/>
                <w:color w:val="06357A"/>
                <w:szCs w:val="20"/>
              </w:rPr>
              <w:t>Total</w:t>
            </w:r>
          </w:p>
        </w:tc>
        <w:tc>
          <w:tcPr>
            <w:tcW w:w="850" w:type="pct"/>
            <w:tcBorders>
              <w:bottom w:val="single" w:sz="4" w:space="0" w:color="06357A"/>
            </w:tcBorders>
            <w:shd w:val="clear" w:color="auto" w:fill="auto"/>
          </w:tcPr>
          <w:p w14:paraId="4EC8B265" w14:textId="77777777" w:rsidR="003A6119" w:rsidRPr="0078056B" w:rsidRDefault="003A6119" w:rsidP="000A186C">
            <w:pPr>
              <w:pStyle w:val="TableHeading"/>
              <w:keepNext/>
              <w:jc w:val="center"/>
            </w:pPr>
            <w:r w:rsidRPr="0078056B">
              <w:t>2,155</w:t>
            </w:r>
          </w:p>
        </w:tc>
        <w:tc>
          <w:tcPr>
            <w:tcW w:w="687" w:type="pct"/>
            <w:tcBorders>
              <w:bottom w:val="single" w:sz="4" w:space="0" w:color="06357A"/>
            </w:tcBorders>
            <w:shd w:val="clear" w:color="auto" w:fill="auto"/>
          </w:tcPr>
          <w:p w14:paraId="0470A483" w14:textId="77777777" w:rsidR="003A6119" w:rsidRPr="0078056B" w:rsidRDefault="003A6119" w:rsidP="000A186C">
            <w:pPr>
              <w:pStyle w:val="TableHeading"/>
              <w:keepNext/>
              <w:jc w:val="center"/>
            </w:pPr>
            <w:r w:rsidRPr="0078056B">
              <w:t>70</w:t>
            </w:r>
          </w:p>
        </w:tc>
        <w:tc>
          <w:tcPr>
            <w:tcW w:w="764" w:type="pct"/>
            <w:tcBorders>
              <w:bottom w:val="single" w:sz="4" w:space="0" w:color="06357A"/>
            </w:tcBorders>
            <w:shd w:val="clear" w:color="auto" w:fill="auto"/>
          </w:tcPr>
          <w:p w14:paraId="7063E491" w14:textId="77777777" w:rsidR="003A6119" w:rsidRPr="0078056B" w:rsidRDefault="003A6119" w:rsidP="000A186C">
            <w:pPr>
              <w:pStyle w:val="TableHeading"/>
              <w:keepNext/>
              <w:jc w:val="center"/>
            </w:pPr>
            <w:r w:rsidRPr="0078056B">
              <w:t>30</w:t>
            </w:r>
          </w:p>
        </w:tc>
        <w:tc>
          <w:tcPr>
            <w:tcW w:w="688" w:type="pct"/>
            <w:tcBorders>
              <w:bottom w:val="single" w:sz="4" w:space="0" w:color="06357A"/>
            </w:tcBorders>
            <w:shd w:val="clear" w:color="auto" w:fill="auto"/>
          </w:tcPr>
          <w:p w14:paraId="43448A9B" w14:textId="77777777" w:rsidR="003A6119" w:rsidRPr="0078056B" w:rsidRDefault="003A6119" w:rsidP="000A186C">
            <w:pPr>
              <w:pStyle w:val="TableHeading"/>
              <w:keepNext/>
              <w:jc w:val="center"/>
            </w:pPr>
            <w:r w:rsidRPr="0078056B">
              <w:t>20</w:t>
            </w:r>
          </w:p>
        </w:tc>
        <w:tc>
          <w:tcPr>
            <w:tcW w:w="688" w:type="pct"/>
            <w:tcBorders>
              <w:bottom w:val="single" w:sz="4" w:space="0" w:color="06357A"/>
            </w:tcBorders>
          </w:tcPr>
          <w:p w14:paraId="378646EF" w14:textId="77777777" w:rsidR="003A6119" w:rsidRPr="0078056B" w:rsidRDefault="003A6119" w:rsidP="000A186C">
            <w:pPr>
              <w:pStyle w:val="TableHeading"/>
              <w:keepNext/>
              <w:jc w:val="center"/>
            </w:pPr>
            <w:r w:rsidRPr="0078056B">
              <w:t>2,270</w:t>
            </w:r>
          </w:p>
        </w:tc>
      </w:tr>
      <w:tr w:rsidR="003A6119" w:rsidRPr="0078056B" w14:paraId="55A1F509" w14:textId="77777777" w:rsidTr="000A186C">
        <w:tc>
          <w:tcPr>
            <w:tcW w:w="1323" w:type="pct"/>
            <w:tcBorders>
              <w:top w:val="single" w:sz="4" w:space="0" w:color="06357A"/>
              <w:bottom w:val="single" w:sz="4" w:space="0" w:color="06357A"/>
              <w:right w:val="nil"/>
            </w:tcBorders>
            <w:shd w:val="clear" w:color="auto" w:fill="06357A" w:themeFill="text2"/>
            <w:vAlign w:val="center"/>
          </w:tcPr>
          <w:p w14:paraId="2625C638" w14:textId="77777777" w:rsidR="003A6119" w:rsidRPr="0078056B" w:rsidRDefault="003A6119" w:rsidP="000A186C">
            <w:pPr>
              <w:pStyle w:val="TableText"/>
              <w:keepNext/>
              <w:rPr>
                <w:rFonts w:asciiTheme="minorHAnsi" w:hAnsiTheme="minorHAnsi" w:cstheme="minorHAnsi"/>
                <w:color w:val="FFFFFF" w:themeColor="background1"/>
                <w:szCs w:val="20"/>
              </w:rPr>
            </w:pPr>
            <w:r w:rsidRPr="0078056B">
              <w:rPr>
                <w:rFonts w:asciiTheme="minorHAnsi" w:hAnsiTheme="minorHAnsi" w:cstheme="minorHAnsi"/>
                <w:b/>
                <w:bCs/>
                <w:color w:val="FFFFFF" w:themeColor="background1"/>
                <w:szCs w:val="20"/>
              </w:rPr>
              <w:t>Total</w:t>
            </w:r>
          </w:p>
        </w:tc>
        <w:tc>
          <w:tcPr>
            <w:tcW w:w="850" w:type="pct"/>
            <w:tcBorders>
              <w:top w:val="single" w:sz="4" w:space="0" w:color="06357A"/>
              <w:left w:val="nil"/>
              <w:bottom w:val="single" w:sz="4" w:space="0" w:color="06357A"/>
              <w:right w:val="nil"/>
            </w:tcBorders>
            <w:shd w:val="clear" w:color="auto" w:fill="06357A" w:themeFill="text2"/>
            <w:vAlign w:val="center"/>
          </w:tcPr>
          <w:p w14:paraId="123227C4" w14:textId="77777777" w:rsidR="003A6119" w:rsidRPr="0078056B" w:rsidRDefault="003A6119" w:rsidP="000A186C">
            <w:pPr>
              <w:pStyle w:val="TableText"/>
              <w:keepNext/>
              <w:jc w:val="center"/>
              <w:rPr>
                <w:rFonts w:asciiTheme="minorHAnsi" w:hAnsiTheme="minorHAnsi" w:cstheme="minorHAnsi"/>
                <w:color w:val="FFFFFF" w:themeColor="background1"/>
                <w:szCs w:val="20"/>
              </w:rPr>
            </w:pPr>
          </w:p>
        </w:tc>
        <w:tc>
          <w:tcPr>
            <w:tcW w:w="687" w:type="pct"/>
            <w:tcBorders>
              <w:top w:val="single" w:sz="4" w:space="0" w:color="06357A"/>
              <w:left w:val="nil"/>
              <w:bottom w:val="single" w:sz="4" w:space="0" w:color="06357A"/>
              <w:right w:val="nil"/>
            </w:tcBorders>
            <w:shd w:val="clear" w:color="auto" w:fill="06357A" w:themeFill="text2"/>
            <w:vAlign w:val="center"/>
          </w:tcPr>
          <w:p w14:paraId="292C4061" w14:textId="77777777" w:rsidR="003A6119" w:rsidRPr="0078056B" w:rsidRDefault="003A6119" w:rsidP="000A186C">
            <w:pPr>
              <w:pStyle w:val="TableText"/>
              <w:keepNext/>
              <w:jc w:val="center"/>
              <w:rPr>
                <w:rFonts w:asciiTheme="minorHAnsi" w:hAnsiTheme="minorHAnsi" w:cstheme="minorHAnsi"/>
                <w:color w:val="FFFFFF" w:themeColor="background1"/>
                <w:szCs w:val="20"/>
              </w:rPr>
            </w:pPr>
          </w:p>
        </w:tc>
        <w:tc>
          <w:tcPr>
            <w:tcW w:w="764" w:type="pct"/>
            <w:tcBorders>
              <w:top w:val="single" w:sz="4" w:space="0" w:color="06357A"/>
              <w:left w:val="nil"/>
              <w:bottom w:val="single" w:sz="4" w:space="0" w:color="06357A"/>
              <w:right w:val="nil"/>
            </w:tcBorders>
            <w:shd w:val="clear" w:color="auto" w:fill="06357A" w:themeFill="text2"/>
            <w:vAlign w:val="center"/>
          </w:tcPr>
          <w:p w14:paraId="21AE893B" w14:textId="77777777" w:rsidR="003A6119" w:rsidRPr="0078056B" w:rsidRDefault="003A6119" w:rsidP="000A186C">
            <w:pPr>
              <w:pStyle w:val="TableText"/>
              <w:keepNext/>
              <w:jc w:val="center"/>
              <w:rPr>
                <w:rFonts w:asciiTheme="minorHAnsi" w:hAnsiTheme="minorHAnsi" w:cstheme="minorHAnsi"/>
                <w:color w:val="FFFFFF" w:themeColor="background1"/>
                <w:szCs w:val="20"/>
              </w:rPr>
            </w:pPr>
          </w:p>
        </w:tc>
        <w:tc>
          <w:tcPr>
            <w:tcW w:w="688" w:type="pct"/>
            <w:tcBorders>
              <w:top w:val="single" w:sz="4" w:space="0" w:color="06357A"/>
              <w:left w:val="nil"/>
              <w:bottom w:val="single" w:sz="4" w:space="0" w:color="06357A"/>
              <w:right w:val="nil"/>
            </w:tcBorders>
            <w:shd w:val="clear" w:color="auto" w:fill="06357A" w:themeFill="text2"/>
            <w:vAlign w:val="center"/>
          </w:tcPr>
          <w:p w14:paraId="3FD3548E" w14:textId="77777777" w:rsidR="003A6119" w:rsidRPr="0078056B" w:rsidRDefault="003A6119" w:rsidP="000A186C">
            <w:pPr>
              <w:pStyle w:val="TableText"/>
              <w:keepNext/>
              <w:jc w:val="center"/>
              <w:rPr>
                <w:rFonts w:asciiTheme="minorHAnsi" w:hAnsiTheme="minorHAnsi" w:cstheme="minorHAnsi"/>
                <w:color w:val="FFFFFF" w:themeColor="background1"/>
                <w:szCs w:val="20"/>
              </w:rPr>
            </w:pPr>
          </w:p>
        </w:tc>
        <w:tc>
          <w:tcPr>
            <w:tcW w:w="688" w:type="pct"/>
            <w:tcBorders>
              <w:top w:val="single" w:sz="4" w:space="0" w:color="06357A"/>
              <w:left w:val="nil"/>
              <w:bottom w:val="single" w:sz="4" w:space="0" w:color="06357A"/>
            </w:tcBorders>
            <w:shd w:val="clear" w:color="auto" w:fill="06357A" w:themeFill="text2"/>
            <w:vAlign w:val="center"/>
          </w:tcPr>
          <w:p w14:paraId="295FA74D" w14:textId="77777777" w:rsidR="003A6119" w:rsidRPr="0078056B" w:rsidRDefault="003A6119" w:rsidP="000A186C">
            <w:pPr>
              <w:pStyle w:val="TableHeading"/>
              <w:keepNext/>
              <w:jc w:val="center"/>
              <w:rPr>
                <w:rFonts w:asciiTheme="minorHAnsi" w:hAnsiTheme="minorHAnsi" w:cstheme="minorHAnsi"/>
                <w:szCs w:val="20"/>
              </w:rPr>
            </w:pPr>
          </w:p>
        </w:tc>
      </w:tr>
      <w:tr w:rsidR="003A6119" w:rsidRPr="0078056B" w14:paraId="3DBD36EC" w14:textId="77777777" w:rsidTr="000A186C">
        <w:tc>
          <w:tcPr>
            <w:tcW w:w="1323" w:type="pct"/>
            <w:tcBorders>
              <w:top w:val="single" w:sz="4" w:space="0" w:color="06357A"/>
            </w:tcBorders>
            <w:shd w:val="clear" w:color="auto" w:fill="auto"/>
            <w:vAlign w:val="center"/>
          </w:tcPr>
          <w:p w14:paraId="41423FB9" w14:textId="77777777" w:rsidR="003A6119" w:rsidRPr="0078056B" w:rsidRDefault="003A6119" w:rsidP="000A186C">
            <w:pPr>
              <w:pStyle w:val="TableText"/>
              <w:keepNext/>
              <w:rPr>
                <w:rFonts w:asciiTheme="minorHAnsi" w:hAnsiTheme="minorHAnsi" w:cstheme="minorHAnsi"/>
                <w:szCs w:val="20"/>
              </w:rPr>
            </w:pPr>
            <w:r w:rsidRPr="0078056B">
              <w:rPr>
                <w:rFonts w:asciiTheme="minorHAnsi" w:hAnsiTheme="minorHAnsi" w:cstheme="minorHAnsi"/>
                <w:szCs w:val="20"/>
              </w:rPr>
              <w:t>Other undergraduate</w:t>
            </w:r>
          </w:p>
        </w:tc>
        <w:tc>
          <w:tcPr>
            <w:tcW w:w="850" w:type="pct"/>
            <w:tcBorders>
              <w:top w:val="single" w:sz="4" w:space="0" w:color="06357A"/>
            </w:tcBorders>
            <w:shd w:val="clear" w:color="auto" w:fill="auto"/>
          </w:tcPr>
          <w:p w14:paraId="259373CD" w14:textId="77777777" w:rsidR="003A6119" w:rsidRPr="0078056B" w:rsidRDefault="003A6119" w:rsidP="000A186C">
            <w:pPr>
              <w:pStyle w:val="TableText"/>
              <w:keepNext/>
              <w:jc w:val="center"/>
            </w:pPr>
            <w:r w:rsidRPr="0078056B">
              <w:t>295</w:t>
            </w:r>
          </w:p>
        </w:tc>
        <w:tc>
          <w:tcPr>
            <w:tcW w:w="687" w:type="pct"/>
            <w:tcBorders>
              <w:top w:val="single" w:sz="4" w:space="0" w:color="06357A"/>
            </w:tcBorders>
            <w:shd w:val="clear" w:color="auto" w:fill="auto"/>
          </w:tcPr>
          <w:p w14:paraId="24CE3FEA" w14:textId="77777777" w:rsidR="003A6119" w:rsidRPr="0078056B" w:rsidRDefault="003A6119" w:rsidP="000A186C">
            <w:pPr>
              <w:pStyle w:val="TableText"/>
              <w:keepNext/>
              <w:jc w:val="center"/>
            </w:pPr>
            <w:r w:rsidRPr="0078056B">
              <w:t>20</w:t>
            </w:r>
          </w:p>
        </w:tc>
        <w:tc>
          <w:tcPr>
            <w:tcW w:w="764" w:type="pct"/>
            <w:tcBorders>
              <w:top w:val="single" w:sz="4" w:space="0" w:color="06357A"/>
            </w:tcBorders>
            <w:shd w:val="clear" w:color="auto" w:fill="auto"/>
          </w:tcPr>
          <w:p w14:paraId="1776AF94" w14:textId="77777777" w:rsidR="003A6119" w:rsidRPr="0078056B" w:rsidRDefault="003A6119" w:rsidP="000A186C">
            <w:pPr>
              <w:pStyle w:val="TableText"/>
              <w:keepNext/>
              <w:jc w:val="center"/>
            </w:pPr>
            <w:r w:rsidRPr="0078056B">
              <w:t>5</w:t>
            </w:r>
          </w:p>
        </w:tc>
        <w:tc>
          <w:tcPr>
            <w:tcW w:w="688" w:type="pct"/>
            <w:tcBorders>
              <w:top w:val="single" w:sz="4" w:space="0" w:color="06357A"/>
            </w:tcBorders>
            <w:shd w:val="clear" w:color="auto" w:fill="auto"/>
          </w:tcPr>
          <w:p w14:paraId="3F3A83C0" w14:textId="77777777" w:rsidR="003A6119" w:rsidRPr="0078056B" w:rsidRDefault="003A6119" w:rsidP="000A186C">
            <w:pPr>
              <w:pStyle w:val="TableText"/>
              <w:keepNext/>
              <w:jc w:val="center"/>
            </w:pPr>
            <w:r w:rsidRPr="0078056B">
              <w:t>10</w:t>
            </w:r>
          </w:p>
        </w:tc>
        <w:tc>
          <w:tcPr>
            <w:tcW w:w="688" w:type="pct"/>
            <w:tcBorders>
              <w:top w:val="single" w:sz="4" w:space="0" w:color="06357A"/>
            </w:tcBorders>
          </w:tcPr>
          <w:p w14:paraId="42DD456D" w14:textId="77777777" w:rsidR="003A6119" w:rsidRPr="0078056B" w:rsidRDefault="003A6119" w:rsidP="000A186C">
            <w:pPr>
              <w:pStyle w:val="TableHeading"/>
              <w:keepNext/>
              <w:jc w:val="center"/>
              <w:rPr>
                <w:rFonts w:asciiTheme="minorHAnsi" w:hAnsiTheme="minorHAnsi" w:cstheme="minorHAnsi"/>
                <w:color w:val="133844"/>
                <w:szCs w:val="20"/>
              </w:rPr>
            </w:pPr>
            <w:r w:rsidRPr="0078056B">
              <w:t>325</w:t>
            </w:r>
          </w:p>
        </w:tc>
      </w:tr>
      <w:tr w:rsidR="003A6119" w:rsidRPr="0078056B" w14:paraId="3C923D5C" w14:textId="77777777" w:rsidTr="000A186C">
        <w:tc>
          <w:tcPr>
            <w:tcW w:w="1323" w:type="pct"/>
            <w:shd w:val="clear" w:color="auto" w:fill="auto"/>
            <w:vAlign w:val="center"/>
          </w:tcPr>
          <w:p w14:paraId="1EF0CAC9" w14:textId="77777777" w:rsidR="003A6119" w:rsidRPr="0078056B" w:rsidRDefault="003A6119" w:rsidP="000A186C">
            <w:pPr>
              <w:pStyle w:val="TableText"/>
              <w:keepNext/>
              <w:rPr>
                <w:rFonts w:asciiTheme="minorHAnsi" w:hAnsiTheme="minorHAnsi" w:cstheme="minorHAnsi"/>
                <w:szCs w:val="20"/>
              </w:rPr>
            </w:pPr>
            <w:r w:rsidRPr="0078056B">
              <w:rPr>
                <w:rFonts w:asciiTheme="minorHAnsi" w:hAnsiTheme="minorHAnsi" w:cstheme="minorHAnsi"/>
                <w:szCs w:val="20"/>
              </w:rPr>
              <w:t>First degree</w:t>
            </w:r>
          </w:p>
        </w:tc>
        <w:tc>
          <w:tcPr>
            <w:tcW w:w="850" w:type="pct"/>
            <w:shd w:val="clear" w:color="auto" w:fill="auto"/>
          </w:tcPr>
          <w:p w14:paraId="16A04CB3" w14:textId="77777777" w:rsidR="003A6119" w:rsidRPr="0078056B" w:rsidRDefault="003A6119" w:rsidP="000A186C">
            <w:pPr>
              <w:pStyle w:val="TableText"/>
              <w:keepNext/>
              <w:jc w:val="center"/>
            </w:pPr>
            <w:r w:rsidRPr="0078056B">
              <w:t>6,250</w:t>
            </w:r>
          </w:p>
        </w:tc>
        <w:tc>
          <w:tcPr>
            <w:tcW w:w="687" w:type="pct"/>
            <w:shd w:val="clear" w:color="auto" w:fill="auto"/>
          </w:tcPr>
          <w:p w14:paraId="1EAB340A" w14:textId="77777777" w:rsidR="003A6119" w:rsidRPr="0078056B" w:rsidRDefault="003A6119" w:rsidP="000A186C">
            <w:pPr>
              <w:pStyle w:val="TableText"/>
              <w:keepNext/>
              <w:jc w:val="center"/>
            </w:pPr>
            <w:r w:rsidRPr="0078056B">
              <w:t>175</w:t>
            </w:r>
          </w:p>
        </w:tc>
        <w:tc>
          <w:tcPr>
            <w:tcW w:w="764" w:type="pct"/>
            <w:shd w:val="clear" w:color="auto" w:fill="auto"/>
          </w:tcPr>
          <w:p w14:paraId="28F82246" w14:textId="77777777" w:rsidR="003A6119" w:rsidRPr="0078056B" w:rsidRDefault="003A6119" w:rsidP="000A186C">
            <w:pPr>
              <w:pStyle w:val="TableText"/>
              <w:keepNext/>
              <w:jc w:val="center"/>
            </w:pPr>
            <w:r w:rsidRPr="0078056B">
              <w:t>10</w:t>
            </w:r>
          </w:p>
        </w:tc>
        <w:tc>
          <w:tcPr>
            <w:tcW w:w="688" w:type="pct"/>
            <w:shd w:val="clear" w:color="auto" w:fill="auto"/>
          </w:tcPr>
          <w:p w14:paraId="5247AB93" w14:textId="77777777" w:rsidR="003A6119" w:rsidRPr="0078056B" w:rsidRDefault="003A6119" w:rsidP="000A186C">
            <w:pPr>
              <w:pStyle w:val="TableText"/>
              <w:keepNext/>
              <w:jc w:val="center"/>
            </w:pPr>
            <w:r w:rsidRPr="0078056B">
              <w:t>15</w:t>
            </w:r>
          </w:p>
        </w:tc>
        <w:tc>
          <w:tcPr>
            <w:tcW w:w="688" w:type="pct"/>
          </w:tcPr>
          <w:p w14:paraId="228DFF92" w14:textId="77777777" w:rsidR="003A6119" w:rsidRPr="0078056B" w:rsidRDefault="003A6119" w:rsidP="000A186C">
            <w:pPr>
              <w:pStyle w:val="TableHeading"/>
              <w:keepNext/>
              <w:jc w:val="center"/>
              <w:rPr>
                <w:rFonts w:asciiTheme="minorHAnsi" w:hAnsiTheme="minorHAnsi" w:cstheme="minorHAnsi"/>
                <w:color w:val="133844"/>
                <w:szCs w:val="20"/>
              </w:rPr>
            </w:pPr>
            <w:r w:rsidRPr="0078056B">
              <w:t>6,455</w:t>
            </w:r>
          </w:p>
        </w:tc>
      </w:tr>
      <w:tr w:rsidR="003A6119" w:rsidRPr="0078056B" w14:paraId="3C758762" w14:textId="77777777" w:rsidTr="000A186C">
        <w:tc>
          <w:tcPr>
            <w:tcW w:w="1323" w:type="pct"/>
            <w:shd w:val="clear" w:color="auto" w:fill="auto"/>
            <w:vAlign w:val="center"/>
          </w:tcPr>
          <w:p w14:paraId="5148CA89" w14:textId="77777777" w:rsidR="003A6119" w:rsidRPr="0078056B" w:rsidRDefault="003A6119" w:rsidP="000A186C">
            <w:pPr>
              <w:pStyle w:val="TableText"/>
              <w:keepNext/>
              <w:rPr>
                <w:rFonts w:asciiTheme="minorHAnsi" w:hAnsiTheme="minorHAnsi" w:cstheme="minorHAnsi"/>
                <w:szCs w:val="20"/>
              </w:rPr>
            </w:pPr>
            <w:r w:rsidRPr="0078056B">
              <w:rPr>
                <w:rFonts w:asciiTheme="minorHAnsi" w:hAnsiTheme="minorHAnsi" w:cstheme="minorHAnsi"/>
                <w:szCs w:val="20"/>
              </w:rPr>
              <w:t>Other postgraduate</w:t>
            </w:r>
          </w:p>
        </w:tc>
        <w:tc>
          <w:tcPr>
            <w:tcW w:w="850" w:type="pct"/>
            <w:shd w:val="clear" w:color="auto" w:fill="auto"/>
          </w:tcPr>
          <w:p w14:paraId="708EDAFC" w14:textId="77777777" w:rsidR="003A6119" w:rsidRPr="0078056B" w:rsidRDefault="003A6119" w:rsidP="000A186C">
            <w:pPr>
              <w:pStyle w:val="TableText"/>
              <w:keepNext/>
              <w:jc w:val="center"/>
            </w:pPr>
            <w:r w:rsidRPr="0078056B">
              <w:t>1,350</w:t>
            </w:r>
          </w:p>
        </w:tc>
        <w:tc>
          <w:tcPr>
            <w:tcW w:w="687" w:type="pct"/>
            <w:shd w:val="clear" w:color="auto" w:fill="auto"/>
          </w:tcPr>
          <w:p w14:paraId="3373E0FF" w14:textId="77777777" w:rsidR="003A6119" w:rsidRPr="0078056B" w:rsidRDefault="003A6119" w:rsidP="000A186C">
            <w:pPr>
              <w:pStyle w:val="TableText"/>
              <w:keepNext/>
              <w:jc w:val="center"/>
            </w:pPr>
            <w:r w:rsidRPr="0078056B">
              <w:t>20</w:t>
            </w:r>
          </w:p>
        </w:tc>
        <w:tc>
          <w:tcPr>
            <w:tcW w:w="764" w:type="pct"/>
            <w:shd w:val="clear" w:color="auto" w:fill="auto"/>
          </w:tcPr>
          <w:p w14:paraId="7F8B5C64" w14:textId="77777777" w:rsidR="003A6119" w:rsidRPr="0078056B" w:rsidRDefault="003A6119" w:rsidP="000A186C">
            <w:pPr>
              <w:pStyle w:val="TableText"/>
              <w:keepNext/>
              <w:jc w:val="center"/>
            </w:pPr>
            <w:r w:rsidRPr="0078056B">
              <w:t>15</w:t>
            </w:r>
          </w:p>
        </w:tc>
        <w:tc>
          <w:tcPr>
            <w:tcW w:w="688" w:type="pct"/>
            <w:shd w:val="clear" w:color="auto" w:fill="auto"/>
          </w:tcPr>
          <w:p w14:paraId="20646CA7" w14:textId="77777777" w:rsidR="003A6119" w:rsidRPr="0078056B" w:rsidRDefault="003A6119" w:rsidP="000A186C">
            <w:pPr>
              <w:pStyle w:val="TableText"/>
              <w:keepNext/>
              <w:jc w:val="center"/>
            </w:pPr>
            <w:r w:rsidRPr="0078056B">
              <w:t>5</w:t>
            </w:r>
          </w:p>
        </w:tc>
        <w:tc>
          <w:tcPr>
            <w:tcW w:w="688" w:type="pct"/>
          </w:tcPr>
          <w:p w14:paraId="47A9141D" w14:textId="77777777" w:rsidR="003A6119" w:rsidRPr="0078056B" w:rsidRDefault="003A6119" w:rsidP="000A186C">
            <w:pPr>
              <w:pStyle w:val="TableHeading"/>
              <w:keepNext/>
              <w:jc w:val="center"/>
              <w:rPr>
                <w:rFonts w:asciiTheme="minorHAnsi" w:hAnsiTheme="minorHAnsi" w:cstheme="minorHAnsi"/>
                <w:color w:val="133844"/>
                <w:szCs w:val="20"/>
              </w:rPr>
            </w:pPr>
            <w:r w:rsidRPr="0078056B">
              <w:t>1,390</w:t>
            </w:r>
          </w:p>
        </w:tc>
      </w:tr>
      <w:tr w:rsidR="003A6119" w:rsidRPr="0078056B" w14:paraId="1616221A" w14:textId="77777777" w:rsidTr="000A186C">
        <w:tc>
          <w:tcPr>
            <w:tcW w:w="1323" w:type="pct"/>
            <w:shd w:val="clear" w:color="auto" w:fill="auto"/>
            <w:vAlign w:val="center"/>
          </w:tcPr>
          <w:p w14:paraId="03D79532" w14:textId="77777777" w:rsidR="003A6119" w:rsidRPr="0078056B" w:rsidRDefault="003A6119" w:rsidP="000A186C">
            <w:pPr>
              <w:pStyle w:val="TableText"/>
              <w:keepNext/>
              <w:rPr>
                <w:rFonts w:asciiTheme="minorHAnsi" w:hAnsiTheme="minorHAnsi" w:cstheme="minorHAnsi"/>
                <w:szCs w:val="20"/>
              </w:rPr>
            </w:pPr>
            <w:r w:rsidRPr="0078056B">
              <w:rPr>
                <w:rFonts w:asciiTheme="minorHAnsi" w:hAnsiTheme="minorHAnsi" w:cstheme="minorHAnsi"/>
                <w:szCs w:val="20"/>
              </w:rPr>
              <w:t>Higher degree (taught)</w:t>
            </w:r>
          </w:p>
        </w:tc>
        <w:tc>
          <w:tcPr>
            <w:tcW w:w="850" w:type="pct"/>
            <w:shd w:val="clear" w:color="auto" w:fill="auto"/>
          </w:tcPr>
          <w:p w14:paraId="0083436F" w14:textId="77777777" w:rsidR="003A6119" w:rsidRPr="0078056B" w:rsidRDefault="003A6119" w:rsidP="000A186C">
            <w:pPr>
              <w:pStyle w:val="TableText"/>
              <w:keepNext/>
              <w:jc w:val="center"/>
            </w:pPr>
            <w:r w:rsidRPr="0078056B">
              <w:t>1,980</w:t>
            </w:r>
          </w:p>
        </w:tc>
        <w:tc>
          <w:tcPr>
            <w:tcW w:w="687" w:type="pct"/>
            <w:shd w:val="clear" w:color="auto" w:fill="auto"/>
          </w:tcPr>
          <w:p w14:paraId="46BEA981" w14:textId="77777777" w:rsidR="003A6119" w:rsidRPr="0078056B" w:rsidRDefault="003A6119" w:rsidP="000A186C">
            <w:pPr>
              <w:pStyle w:val="TableText"/>
              <w:keepNext/>
              <w:jc w:val="center"/>
            </w:pPr>
            <w:r w:rsidRPr="0078056B">
              <w:t>80</w:t>
            </w:r>
          </w:p>
        </w:tc>
        <w:tc>
          <w:tcPr>
            <w:tcW w:w="764" w:type="pct"/>
            <w:shd w:val="clear" w:color="auto" w:fill="auto"/>
          </w:tcPr>
          <w:p w14:paraId="1B798BD7" w14:textId="77777777" w:rsidR="003A6119" w:rsidRPr="0078056B" w:rsidRDefault="003A6119" w:rsidP="000A186C">
            <w:pPr>
              <w:pStyle w:val="TableText"/>
              <w:keepNext/>
              <w:jc w:val="center"/>
            </w:pPr>
            <w:r w:rsidRPr="0078056B">
              <w:t>20</w:t>
            </w:r>
          </w:p>
        </w:tc>
        <w:tc>
          <w:tcPr>
            <w:tcW w:w="688" w:type="pct"/>
            <w:shd w:val="clear" w:color="auto" w:fill="auto"/>
          </w:tcPr>
          <w:p w14:paraId="20F66B1C" w14:textId="77777777" w:rsidR="003A6119" w:rsidRPr="0078056B" w:rsidRDefault="003A6119" w:rsidP="000A186C">
            <w:pPr>
              <w:pStyle w:val="TableText"/>
              <w:keepNext/>
              <w:jc w:val="center"/>
            </w:pPr>
            <w:r w:rsidRPr="0078056B">
              <w:t>10</w:t>
            </w:r>
          </w:p>
        </w:tc>
        <w:tc>
          <w:tcPr>
            <w:tcW w:w="688" w:type="pct"/>
          </w:tcPr>
          <w:p w14:paraId="2877C6E6" w14:textId="77777777" w:rsidR="003A6119" w:rsidRPr="0078056B" w:rsidRDefault="003A6119" w:rsidP="000A186C">
            <w:pPr>
              <w:pStyle w:val="TableHeading"/>
              <w:keepNext/>
              <w:jc w:val="center"/>
              <w:rPr>
                <w:rFonts w:asciiTheme="minorHAnsi" w:hAnsiTheme="minorHAnsi" w:cstheme="minorHAnsi"/>
                <w:color w:val="133844"/>
                <w:szCs w:val="20"/>
              </w:rPr>
            </w:pPr>
            <w:r w:rsidRPr="0078056B">
              <w:t>2,085</w:t>
            </w:r>
          </w:p>
        </w:tc>
      </w:tr>
      <w:tr w:rsidR="003A6119" w:rsidRPr="0078056B" w14:paraId="452EBEF6" w14:textId="77777777" w:rsidTr="000A186C">
        <w:tc>
          <w:tcPr>
            <w:tcW w:w="1323" w:type="pct"/>
            <w:shd w:val="clear" w:color="auto" w:fill="auto"/>
            <w:vAlign w:val="center"/>
          </w:tcPr>
          <w:p w14:paraId="6A26E9ED" w14:textId="77777777" w:rsidR="003A6119" w:rsidRPr="0078056B" w:rsidRDefault="003A6119" w:rsidP="000A186C">
            <w:pPr>
              <w:pStyle w:val="TableText"/>
              <w:keepNext/>
              <w:rPr>
                <w:rFonts w:asciiTheme="minorHAnsi" w:hAnsiTheme="minorHAnsi" w:cstheme="minorHAnsi"/>
                <w:szCs w:val="20"/>
              </w:rPr>
            </w:pPr>
            <w:r w:rsidRPr="0078056B">
              <w:rPr>
                <w:rFonts w:asciiTheme="minorHAnsi" w:hAnsiTheme="minorHAnsi" w:cstheme="minorHAnsi"/>
                <w:szCs w:val="20"/>
              </w:rPr>
              <w:t>Higher degree (research)</w:t>
            </w:r>
          </w:p>
        </w:tc>
        <w:tc>
          <w:tcPr>
            <w:tcW w:w="850" w:type="pct"/>
            <w:shd w:val="clear" w:color="auto" w:fill="auto"/>
          </w:tcPr>
          <w:p w14:paraId="71E928EC" w14:textId="77777777" w:rsidR="003A6119" w:rsidRPr="0078056B" w:rsidRDefault="003A6119" w:rsidP="000A186C">
            <w:pPr>
              <w:pStyle w:val="TableText"/>
              <w:keepNext/>
              <w:jc w:val="center"/>
            </w:pPr>
            <w:r w:rsidRPr="0078056B">
              <w:t>545</w:t>
            </w:r>
          </w:p>
        </w:tc>
        <w:tc>
          <w:tcPr>
            <w:tcW w:w="687" w:type="pct"/>
            <w:shd w:val="clear" w:color="auto" w:fill="auto"/>
          </w:tcPr>
          <w:p w14:paraId="18D3E14B" w14:textId="77777777" w:rsidR="003A6119" w:rsidRPr="0078056B" w:rsidRDefault="003A6119" w:rsidP="000A186C">
            <w:pPr>
              <w:pStyle w:val="TableText"/>
              <w:keepNext/>
              <w:jc w:val="center"/>
            </w:pPr>
            <w:r w:rsidRPr="0078056B">
              <w:t>15</w:t>
            </w:r>
          </w:p>
        </w:tc>
        <w:tc>
          <w:tcPr>
            <w:tcW w:w="764" w:type="pct"/>
            <w:shd w:val="clear" w:color="auto" w:fill="auto"/>
          </w:tcPr>
          <w:p w14:paraId="1376C1F5" w14:textId="77777777" w:rsidR="003A6119" w:rsidRPr="0078056B" w:rsidRDefault="003A6119" w:rsidP="000A186C">
            <w:pPr>
              <w:pStyle w:val="TableText"/>
              <w:keepNext/>
              <w:jc w:val="center"/>
            </w:pPr>
            <w:r w:rsidRPr="0078056B">
              <w:t>10</w:t>
            </w:r>
          </w:p>
        </w:tc>
        <w:tc>
          <w:tcPr>
            <w:tcW w:w="688" w:type="pct"/>
            <w:shd w:val="clear" w:color="auto" w:fill="auto"/>
          </w:tcPr>
          <w:p w14:paraId="4DFB80F6" w14:textId="77777777" w:rsidR="003A6119" w:rsidRPr="0078056B" w:rsidRDefault="003A6119" w:rsidP="000A186C">
            <w:pPr>
              <w:pStyle w:val="TableText"/>
              <w:keepNext/>
              <w:jc w:val="center"/>
            </w:pPr>
            <w:r w:rsidRPr="0078056B">
              <w:t>0</w:t>
            </w:r>
          </w:p>
        </w:tc>
        <w:tc>
          <w:tcPr>
            <w:tcW w:w="688" w:type="pct"/>
          </w:tcPr>
          <w:p w14:paraId="448F369B" w14:textId="77777777" w:rsidR="003A6119" w:rsidRPr="0078056B" w:rsidRDefault="003A6119" w:rsidP="000A186C">
            <w:pPr>
              <w:pStyle w:val="TableHeading"/>
              <w:keepNext/>
              <w:jc w:val="center"/>
              <w:rPr>
                <w:rFonts w:asciiTheme="minorHAnsi" w:hAnsiTheme="minorHAnsi" w:cstheme="minorHAnsi"/>
                <w:color w:val="133844"/>
                <w:szCs w:val="20"/>
              </w:rPr>
            </w:pPr>
            <w:r w:rsidRPr="0078056B">
              <w:t>575</w:t>
            </w:r>
          </w:p>
        </w:tc>
      </w:tr>
      <w:tr w:rsidR="003A6119" w:rsidRPr="0078056B" w14:paraId="2DC9C078" w14:textId="77777777" w:rsidTr="000A186C">
        <w:tc>
          <w:tcPr>
            <w:tcW w:w="1323" w:type="pct"/>
            <w:tcBorders>
              <w:bottom w:val="single" w:sz="4" w:space="0" w:color="06357A"/>
            </w:tcBorders>
            <w:shd w:val="clear" w:color="auto" w:fill="auto"/>
            <w:vAlign w:val="center"/>
          </w:tcPr>
          <w:p w14:paraId="2D60B75D" w14:textId="77777777" w:rsidR="003A6119" w:rsidRPr="0078056B" w:rsidRDefault="003A6119" w:rsidP="000A186C">
            <w:pPr>
              <w:pStyle w:val="TableText"/>
              <w:keepNext/>
              <w:rPr>
                <w:rFonts w:asciiTheme="minorHAnsi" w:hAnsiTheme="minorHAnsi" w:cstheme="minorHAnsi"/>
                <w:color w:val="06357A"/>
                <w:szCs w:val="20"/>
              </w:rPr>
            </w:pPr>
            <w:r w:rsidRPr="0078056B">
              <w:rPr>
                <w:rFonts w:asciiTheme="minorHAnsi" w:hAnsiTheme="minorHAnsi" w:cstheme="minorHAnsi"/>
                <w:b/>
                <w:color w:val="06357A"/>
                <w:szCs w:val="20"/>
              </w:rPr>
              <w:t>Total</w:t>
            </w:r>
          </w:p>
        </w:tc>
        <w:tc>
          <w:tcPr>
            <w:tcW w:w="850" w:type="pct"/>
            <w:tcBorders>
              <w:bottom w:val="single" w:sz="4" w:space="0" w:color="06357A"/>
            </w:tcBorders>
            <w:shd w:val="clear" w:color="auto" w:fill="auto"/>
          </w:tcPr>
          <w:p w14:paraId="72673603" w14:textId="77777777" w:rsidR="003A6119" w:rsidRPr="0078056B" w:rsidRDefault="003A6119" w:rsidP="000A186C">
            <w:pPr>
              <w:pStyle w:val="TableHeading"/>
              <w:keepNext/>
              <w:jc w:val="center"/>
              <w:rPr>
                <w:rFonts w:asciiTheme="minorHAnsi" w:hAnsiTheme="minorHAnsi" w:cstheme="minorHAnsi"/>
                <w:color w:val="133844"/>
                <w:szCs w:val="20"/>
              </w:rPr>
            </w:pPr>
            <w:r w:rsidRPr="0078056B">
              <w:t>10,420</w:t>
            </w:r>
          </w:p>
        </w:tc>
        <w:tc>
          <w:tcPr>
            <w:tcW w:w="687" w:type="pct"/>
            <w:tcBorders>
              <w:bottom w:val="single" w:sz="4" w:space="0" w:color="06357A"/>
            </w:tcBorders>
            <w:shd w:val="clear" w:color="auto" w:fill="auto"/>
          </w:tcPr>
          <w:p w14:paraId="7C8FF903" w14:textId="77777777" w:rsidR="003A6119" w:rsidRPr="0078056B" w:rsidRDefault="003A6119" w:rsidP="000A186C">
            <w:pPr>
              <w:pStyle w:val="TableHeading"/>
              <w:keepNext/>
              <w:jc w:val="center"/>
              <w:rPr>
                <w:rFonts w:asciiTheme="minorHAnsi" w:hAnsiTheme="minorHAnsi" w:cstheme="minorHAnsi"/>
                <w:color w:val="133844"/>
                <w:szCs w:val="20"/>
              </w:rPr>
            </w:pPr>
            <w:r w:rsidRPr="0078056B">
              <w:t>315</w:t>
            </w:r>
          </w:p>
        </w:tc>
        <w:tc>
          <w:tcPr>
            <w:tcW w:w="764" w:type="pct"/>
            <w:tcBorders>
              <w:bottom w:val="single" w:sz="4" w:space="0" w:color="06357A"/>
            </w:tcBorders>
            <w:shd w:val="clear" w:color="auto" w:fill="auto"/>
          </w:tcPr>
          <w:p w14:paraId="3A50E5E5" w14:textId="77777777" w:rsidR="003A6119" w:rsidRPr="0078056B" w:rsidRDefault="003A6119" w:rsidP="000A186C">
            <w:pPr>
              <w:pStyle w:val="TableHeading"/>
              <w:keepNext/>
              <w:jc w:val="center"/>
              <w:rPr>
                <w:rFonts w:asciiTheme="minorHAnsi" w:hAnsiTheme="minorHAnsi" w:cstheme="minorHAnsi"/>
                <w:color w:val="133844"/>
                <w:szCs w:val="20"/>
              </w:rPr>
            </w:pPr>
            <w:r w:rsidRPr="0078056B">
              <w:t>60</w:t>
            </w:r>
          </w:p>
        </w:tc>
        <w:tc>
          <w:tcPr>
            <w:tcW w:w="688" w:type="pct"/>
            <w:tcBorders>
              <w:bottom w:val="single" w:sz="4" w:space="0" w:color="06357A"/>
            </w:tcBorders>
            <w:shd w:val="clear" w:color="auto" w:fill="auto"/>
          </w:tcPr>
          <w:p w14:paraId="4C905B21" w14:textId="77777777" w:rsidR="003A6119" w:rsidRPr="0078056B" w:rsidRDefault="003A6119" w:rsidP="000A186C">
            <w:pPr>
              <w:pStyle w:val="TableHeading"/>
              <w:keepNext/>
              <w:jc w:val="center"/>
              <w:rPr>
                <w:rFonts w:asciiTheme="minorHAnsi" w:hAnsiTheme="minorHAnsi" w:cstheme="minorHAnsi"/>
                <w:color w:val="133844"/>
                <w:szCs w:val="20"/>
              </w:rPr>
            </w:pPr>
            <w:r w:rsidRPr="0078056B">
              <w:t>40</w:t>
            </w:r>
          </w:p>
        </w:tc>
        <w:tc>
          <w:tcPr>
            <w:tcW w:w="688" w:type="pct"/>
            <w:tcBorders>
              <w:bottom w:val="single" w:sz="4" w:space="0" w:color="06357A"/>
            </w:tcBorders>
          </w:tcPr>
          <w:p w14:paraId="5904F221" w14:textId="77777777" w:rsidR="003A6119" w:rsidRPr="0078056B" w:rsidRDefault="003A6119" w:rsidP="000A186C">
            <w:pPr>
              <w:pStyle w:val="TableHeading"/>
              <w:keepNext/>
              <w:jc w:val="center"/>
              <w:rPr>
                <w:rFonts w:asciiTheme="minorHAnsi" w:hAnsiTheme="minorHAnsi" w:cstheme="minorHAnsi"/>
                <w:color w:val="133844"/>
                <w:szCs w:val="20"/>
              </w:rPr>
            </w:pPr>
            <w:r w:rsidRPr="0078056B">
              <w:t>10,830</w:t>
            </w:r>
          </w:p>
        </w:tc>
      </w:tr>
    </w:tbl>
    <w:p w14:paraId="2FE98553" w14:textId="77777777" w:rsidR="003A6119" w:rsidRPr="0078056B" w:rsidRDefault="003A6119" w:rsidP="003A6119">
      <w:pPr>
        <w:spacing w:before="0" w:after="0"/>
      </w:pPr>
      <w:r w:rsidRPr="0078056B">
        <w:rPr>
          <w:sz w:val="16"/>
          <w:szCs w:val="16"/>
        </w:rPr>
        <w:t xml:space="preserve">Note: All numbers are rounded to the nearest 5, and the total values may not add up due to this rounding. </w:t>
      </w:r>
      <w:r w:rsidRPr="0078056B">
        <w:rPr>
          <w:rFonts w:asciiTheme="minorHAnsi" w:hAnsiTheme="minorHAnsi"/>
          <w:sz w:val="16"/>
          <w:szCs w:val="20"/>
        </w:rPr>
        <w:t>‘Other undergraduate’ learning includes Certificates of Higher Education, Foundation Degrees, other undergraduate-level certificates, diplomas and qualifications and undergraduate-level credits.</w:t>
      </w:r>
      <w:r w:rsidRPr="0078056B">
        <w:rPr>
          <w:rFonts w:asciiTheme="minorHAnsi" w:hAnsiTheme="minorHAnsi" w:cstheme="minorHAnsi"/>
          <w:sz w:val="16"/>
          <w:szCs w:val="16"/>
        </w:rPr>
        <w:t xml:space="preserve"> ‘Other postgraduate’ learning includes taught work for credit at postgraduate level, Postgraduate Certificates or Professional Graduate Diplomas in Education, and other diplomas and qualifications at postgraduate level.</w:t>
      </w:r>
    </w:p>
    <w:p w14:paraId="2CAC90CD" w14:textId="77777777" w:rsidR="003A6119" w:rsidRPr="0078056B" w:rsidRDefault="003A6119" w:rsidP="003A6119">
      <w:pPr>
        <w:pStyle w:val="TableSource"/>
      </w:pPr>
      <w:r w:rsidRPr="0078056B">
        <w:rPr>
          <w:bCs/>
          <w:iCs/>
        </w:rPr>
        <w:t xml:space="preserve">Source: </w:t>
      </w:r>
      <w:r w:rsidRPr="0078056B">
        <w:t xml:space="preserve">London Economics’ analysis based on </w:t>
      </w:r>
      <w:r w:rsidRPr="0078056B">
        <w:rPr>
          <w:bCs/>
          <w:iCs/>
          <w:szCs w:val="16"/>
        </w:rPr>
        <w:t xml:space="preserve">University of Birmingham </w:t>
      </w:r>
      <w:r w:rsidRPr="0078056B">
        <w:t>HESA data</w:t>
      </w:r>
    </w:p>
    <w:p w14:paraId="733BE588" w14:textId="23D23012" w:rsidR="003A6119" w:rsidRPr="0078056B" w:rsidRDefault="003A6119" w:rsidP="003A6119">
      <w:pPr>
        <w:rPr>
          <w:rFonts w:asciiTheme="minorHAnsi" w:eastAsia="Times New Roman" w:hAnsiTheme="minorHAnsi" w:cs="Arial"/>
        </w:rPr>
      </w:pPr>
      <w:r w:rsidRPr="0078056B">
        <w:rPr>
          <w:rFonts w:asciiTheme="minorHAnsi" w:eastAsia="Times New Roman" w:hAnsiTheme="minorHAnsi" w:cs="Arial"/>
        </w:rPr>
        <w:fldChar w:fldCharType="begin"/>
      </w:r>
      <w:r w:rsidRPr="0078056B">
        <w:rPr>
          <w:rFonts w:asciiTheme="minorHAnsi" w:eastAsia="Times New Roman" w:hAnsiTheme="minorHAnsi" w:cs="Arial"/>
        </w:rPr>
        <w:instrText xml:space="preserve"> REF _Ref161329177 \r \h </w:instrText>
      </w:r>
      <w:r w:rsidR="0078056B">
        <w:rPr>
          <w:rFonts w:asciiTheme="minorHAnsi" w:eastAsia="Times New Roman" w:hAnsiTheme="minorHAnsi" w:cs="Arial"/>
        </w:rPr>
        <w:instrText xml:space="preserve"> \* MERGEFORMAT </w:instrText>
      </w:r>
      <w:r w:rsidRPr="0078056B">
        <w:rPr>
          <w:rFonts w:asciiTheme="minorHAnsi" w:eastAsia="Times New Roman" w:hAnsiTheme="minorHAnsi" w:cs="Arial"/>
        </w:rPr>
      </w:r>
      <w:r w:rsidRPr="0078056B">
        <w:rPr>
          <w:rFonts w:asciiTheme="minorHAnsi" w:eastAsia="Times New Roman" w:hAnsiTheme="minorHAnsi" w:cs="Arial"/>
        </w:rPr>
        <w:fldChar w:fldCharType="separate"/>
      </w:r>
      <w:r w:rsidR="00E33157">
        <w:rPr>
          <w:rFonts w:asciiTheme="minorHAnsi" w:eastAsia="Times New Roman" w:hAnsiTheme="minorHAnsi" w:cs="Arial"/>
        </w:rPr>
        <w:t>Figure 13</w:t>
      </w:r>
      <w:r w:rsidRPr="0078056B">
        <w:rPr>
          <w:rFonts w:asciiTheme="minorHAnsi" w:eastAsia="Times New Roman" w:hAnsiTheme="minorHAnsi" w:cs="Arial"/>
        </w:rPr>
        <w:fldChar w:fldCharType="end"/>
      </w:r>
      <w:r w:rsidRPr="0078056B">
        <w:rPr>
          <w:rFonts w:asciiTheme="minorHAnsi" w:eastAsia="Times New Roman" w:hAnsiTheme="minorHAnsi" w:cs="Arial"/>
        </w:rPr>
        <w:t xml:space="preserve"> presents the distribution of the University of Birmingham’s 2021-22 cohort of student starters by domicile at the Local Authority level. This map illustrates the University’s appeal to prospective students in the West Midlands, with </w:t>
      </w:r>
      <w:r w:rsidRPr="0078056B">
        <w:rPr>
          <w:rFonts w:asciiTheme="minorHAnsi" w:eastAsia="Times New Roman" w:hAnsiTheme="minorHAnsi" w:cs="Arial"/>
          <w:b/>
          <w:bCs/>
          <w:color w:val="06357A" w:themeColor="accent1"/>
        </w:rPr>
        <w:t>40%</w:t>
      </w:r>
      <w:r w:rsidRPr="0078056B">
        <w:rPr>
          <w:rFonts w:asciiTheme="minorHAnsi" w:eastAsia="Times New Roman" w:hAnsiTheme="minorHAnsi" w:cs="Arial"/>
        </w:rPr>
        <w:t xml:space="preserve"> of UK domiciled students starters coming from the West Midlands and </w:t>
      </w:r>
      <w:r w:rsidRPr="0078056B">
        <w:rPr>
          <w:rFonts w:asciiTheme="minorHAnsi" w:eastAsia="Times New Roman" w:hAnsiTheme="minorHAnsi" w:cs="Arial"/>
          <w:b/>
          <w:bCs/>
          <w:color w:val="06357A" w:themeColor="accent1"/>
        </w:rPr>
        <w:t>16%</w:t>
      </w:r>
      <w:r w:rsidRPr="0078056B">
        <w:rPr>
          <w:rFonts w:asciiTheme="minorHAnsi" w:eastAsia="Times New Roman" w:hAnsiTheme="minorHAnsi" w:cs="Arial"/>
          <w:color w:val="06357A" w:themeColor="accent1"/>
        </w:rPr>
        <w:t xml:space="preserve"> </w:t>
      </w:r>
      <w:r w:rsidRPr="0078056B">
        <w:rPr>
          <w:rFonts w:asciiTheme="minorHAnsi" w:eastAsia="Times New Roman" w:hAnsiTheme="minorHAnsi" w:cs="Arial"/>
        </w:rPr>
        <w:t xml:space="preserve">from Birmingham. Elsewhere in the West Midlands, there were at least </w:t>
      </w:r>
      <w:r w:rsidRPr="0078056B">
        <w:rPr>
          <w:rFonts w:asciiTheme="minorHAnsi" w:eastAsia="Times New Roman" w:hAnsiTheme="minorHAnsi" w:cs="Arial"/>
          <w:b/>
          <w:bCs/>
          <w:color w:val="06357A" w:themeColor="text2"/>
        </w:rPr>
        <w:t>200</w:t>
      </w:r>
      <w:r w:rsidRPr="0078056B">
        <w:rPr>
          <w:rFonts w:asciiTheme="minorHAnsi" w:eastAsia="Times New Roman" w:hAnsiTheme="minorHAnsi" w:cs="Arial"/>
          <w:b/>
          <w:bCs/>
        </w:rPr>
        <w:t xml:space="preserve"> </w:t>
      </w:r>
      <w:r w:rsidRPr="0078056B">
        <w:rPr>
          <w:rFonts w:asciiTheme="minorHAnsi" w:eastAsia="Times New Roman" w:hAnsiTheme="minorHAnsi" w:cs="Arial"/>
        </w:rPr>
        <w:t xml:space="preserve">students from each of Sandwell, Dudley, Walsall, Wolverhampton and Solihull. However, the map also shows the geographical draw of students from across the </w:t>
      </w:r>
      <w:r w:rsidR="009207A9" w:rsidRPr="0078056B">
        <w:rPr>
          <w:rFonts w:asciiTheme="minorHAnsi" w:eastAsia="Times New Roman" w:hAnsiTheme="minorHAnsi" w:cs="Arial"/>
        </w:rPr>
        <w:t xml:space="preserve">entire </w:t>
      </w:r>
      <w:r w:rsidRPr="0078056B">
        <w:rPr>
          <w:rFonts w:asciiTheme="minorHAnsi" w:eastAsia="Times New Roman" w:hAnsiTheme="minorHAnsi" w:cs="Arial"/>
        </w:rPr>
        <w:t xml:space="preserve">UK, with </w:t>
      </w:r>
      <w:r w:rsidRPr="0078056B">
        <w:rPr>
          <w:rFonts w:asciiTheme="minorHAnsi" w:eastAsia="Times New Roman" w:hAnsiTheme="minorHAnsi" w:cs="Arial"/>
          <w:b/>
          <w:bCs/>
          <w:color w:val="06357A" w:themeColor="accent1"/>
        </w:rPr>
        <w:t xml:space="preserve">13% </w:t>
      </w:r>
      <w:r w:rsidRPr="0078056B">
        <w:rPr>
          <w:rFonts w:asciiTheme="minorHAnsi" w:eastAsia="Times New Roman" w:hAnsiTheme="minorHAnsi" w:cs="Arial"/>
        </w:rPr>
        <w:t xml:space="preserve">of UK domiciled student starters originating from the South East, </w:t>
      </w:r>
      <w:r w:rsidRPr="0078056B">
        <w:rPr>
          <w:rFonts w:asciiTheme="minorHAnsi" w:eastAsia="Times New Roman" w:hAnsiTheme="minorHAnsi" w:cs="Arial"/>
          <w:b/>
          <w:bCs/>
          <w:color w:val="06357A" w:themeColor="accent1"/>
        </w:rPr>
        <w:t>12%</w:t>
      </w:r>
      <w:r w:rsidRPr="0078056B">
        <w:rPr>
          <w:rFonts w:asciiTheme="minorHAnsi" w:eastAsia="Times New Roman" w:hAnsiTheme="minorHAnsi" w:cs="Arial"/>
          <w:color w:val="06357A" w:themeColor="accent1"/>
        </w:rPr>
        <w:t xml:space="preserve"> </w:t>
      </w:r>
      <w:r w:rsidRPr="0078056B">
        <w:rPr>
          <w:rFonts w:asciiTheme="minorHAnsi" w:eastAsia="Times New Roman" w:hAnsiTheme="minorHAnsi" w:cs="Arial"/>
        </w:rPr>
        <w:t>from London,</w:t>
      </w:r>
      <w:r w:rsidRPr="0078056B">
        <w:rPr>
          <w:rFonts w:asciiTheme="minorHAnsi" w:eastAsia="Times New Roman" w:hAnsiTheme="minorHAnsi" w:cs="Arial"/>
          <w:b/>
          <w:bCs/>
        </w:rPr>
        <w:t xml:space="preserve"> </w:t>
      </w:r>
      <w:r w:rsidRPr="0078056B">
        <w:rPr>
          <w:rFonts w:asciiTheme="minorHAnsi" w:eastAsia="Times New Roman" w:hAnsiTheme="minorHAnsi" w:cs="Arial"/>
          <w:b/>
          <w:bCs/>
          <w:color w:val="06357A" w:themeColor="accent1"/>
        </w:rPr>
        <w:t>8%</w:t>
      </w:r>
      <w:r w:rsidRPr="0078056B">
        <w:rPr>
          <w:rFonts w:asciiTheme="minorHAnsi" w:eastAsia="Times New Roman" w:hAnsiTheme="minorHAnsi" w:cs="Arial"/>
        </w:rPr>
        <w:t xml:space="preserve"> from the East of England,</w:t>
      </w:r>
      <w:r w:rsidRPr="0078056B">
        <w:rPr>
          <w:rFonts w:asciiTheme="minorHAnsi" w:eastAsia="Times New Roman" w:hAnsiTheme="minorHAnsi" w:cs="Arial"/>
          <w:b/>
          <w:bCs/>
        </w:rPr>
        <w:t xml:space="preserve"> </w:t>
      </w:r>
      <w:r w:rsidRPr="0078056B">
        <w:rPr>
          <w:rFonts w:asciiTheme="minorHAnsi" w:eastAsia="Times New Roman" w:hAnsiTheme="minorHAnsi" w:cs="Arial"/>
          <w:b/>
          <w:bCs/>
          <w:color w:val="06357A" w:themeColor="accent1"/>
        </w:rPr>
        <w:t>7%</w:t>
      </w:r>
      <w:r w:rsidRPr="0078056B">
        <w:rPr>
          <w:rFonts w:asciiTheme="minorHAnsi" w:eastAsia="Times New Roman" w:hAnsiTheme="minorHAnsi" w:cs="Arial"/>
          <w:b/>
          <w:bCs/>
        </w:rPr>
        <w:t xml:space="preserve"> </w:t>
      </w:r>
      <w:r w:rsidRPr="0078056B">
        <w:rPr>
          <w:rFonts w:asciiTheme="minorHAnsi" w:eastAsia="Times New Roman" w:hAnsiTheme="minorHAnsi" w:cs="Arial"/>
        </w:rPr>
        <w:t xml:space="preserve">from the East Midlands and </w:t>
      </w:r>
      <w:r w:rsidRPr="0078056B">
        <w:rPr>
          <w:rFonts w:asciiTheme="minorHAnsi" w:eastAsia="Times New Roman" w:hAnsiTheme="minorHAnsi" w:cs="Arial"/>
          <w:b/>
          <w:bCs/>
          <w:color w:val="06357A" w:themeColor="accent1"/>
        </w:rPr>
        <w:t xml:space="preserve">7% </w:t>
      </w:r>
      <w:r w:rsidRPr="0078056B">
        <w:rPr>
          <w:rFonts w:asciiTheme="minorHAnsi" w:eastAsia="Times New Roman" w:hAnsiTheme="minorHAnsi" w:cs="Arial"/>
        </w:rPr>
        <w:t>from the South West.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3A6119" w:rsidRPr="0078056B" w14:paraId="7572170F" w14:textId="77777777" w:rsidTr="000A186C">
        <w:trPr>
          <w:cantSplit/>
        </w:trPr>
        <w:tc>
          <w:tcPr>
            <w:tcW w:w="0" w:type="auto"/>
          </w:tcPr>
          <w:p w14:paraId="5BE1832C" w14:textId="77777777" w:rsidR="003A6119" w:rsidRPr="0078056B" w:rsidRDefault="003A6119" w:rsidP="000A186C">
            <w:pPr>
              <w:pStyle w:val="FigureTitle"/>
            </w:pPr>
            <w:bookmarkStart w:id="199" w:name="_Ref161329177"/>
            <w:bookmarkStart w:id="200" w:name="_Toc168652194"/>
            <w:r w:rsidRPr="0078056B">
              <w:rPr>
                <w:noProof/>
              </w:rPr>
              <w:lastRenderedPageBreak/>
              <w:drawing>
                <wp:anchor distT="0" distB="0" distL="114300" distR="114300" simplePos="0" relativeHeight="251698176" behindDoc="0" locked="0" layoutInCell="1" allowOverlap="1" wp14:anchorId="7B529FF3" wp14:editId="2BCF24F0">
                  <wp:simplePos x="0" y="0"/>
                  <wp:positionH relativeFrom="column">
                    <wp:posOffset>219887</wp:posOffset>
                  </wp:positionH>
                  <wp:positionV relativeFrom="paragraph">
                    <wp:posOffset>397510</wp:posOffset>
                  </wp:positionV>
                  <wp:extent cx="4892675" cy="5261610"/>
                  <wp:effectExtent l="0" t="0" r="3175" b="0"/>
                  <wp:wrapSquare wrapText="bothSides"/>
                  <wp:docPr id="1824563626" name="Picture 1" descr="A map of united kingdom with blue and red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63626" name="Picture 1" descr="A map of united kingdom with blue and red colors&#10;&#10;Description automatically generated"/>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4892675" cy="5261610"/>
                          </a:xfrm>
                          <a:prstGeom prst="rect">
                            <a:avLst/>
                          </a:prstGeom>
                          <a:ln>
                            <a:noFill/>
                          </a:ln>
                          <a:extLst>
                            <a:ext uri="{53640926-AAD7-44D8-BBD7-CCE9431645EC}">
                              <a14:shadowObscured xmlns:a14="http://schemas.microsoft.com/office/drawing/2010/main"/>
                            </a:ext>
                          </a:extLst>
                        </pic:spPr>
                      </pic:pic>
                    </a:graphicData>
                  </a:graphic>
                </wp:anchor>
              </w:drawing>
            </w:r>
            <w:r w:rsidRPr="0078056B">
              <w:t>UK domiciled first-year students in the 2021-22 cohort, by Local Authority of domicile</w:t>
            </w:r>
            <w:bookmarkEnd w:id="199"/>
            <w:bookmarkEnd w:id="200"/>
          </w:p>
        </w:tc>
      </w:tr>
      <w:tr w:rsidR="003A6119" w:rsidRPr="0078056B" w14:paraId="54D8C63F" w14:textId="77777777" w:rsidTr="000A186C">
        <w:trPr>
          <w:cantSplit/>
        </w:trPr>
        <w:tc>
          <w:tcPr>
            <w:tcW w:w="0" w:type="auto"/>
          </w:tcPr>
          <w:p w14:paraId="34EB7FC1" w14:textId="77777777" w:rsidR="003A6119" w:rsidRPr="0078056B" w:rsidRDefault="003A6119" w:rsidP="00257F75">
            <w:pPr>
              <w:pStyle w:val="TableNote"/>
              <w:jc w:val="both"/>
            </w:pPr>
            <w:r w:rsidRPr="0078056B">
              <w:t>Note: We received HESA data on 10,870 first year undergraduate students from the University of Birmingham. We excluded 80 students from Guernsey, Jersey and the Isle of Man or those with an unspecified domicile, resulting in this map being based on 10,790 students. Domicile refers to a student’s home address before starting their qualification at the University of Birmingham.</w:t>
            </w:r>
          </w:p>
          <w:p w14:paraId="4990D8C4" w14:textId="77777777" w:rsidR="003A6119" w:rsidRPr="0078056B" w:rsidRDefault="003A6119" w:rsidP="00257F75">
            <w:pPr>
              <w:pStyle w:val="TableSource"/>
            </w:pPr>
            <w:r w:rsidRPr="0078056B">
              <w:t>Source: London Economics’ analysis based on data from the University of Birmingham and the Office for National Statistics. Contains National Statistics, OS, Royal Mail, Gridlink, ONS, NISRA, NRS and Ordnance Survey data © Crown copyright and database right 2024.</w:t>
            </w:r>
          </w:p>
        </w:tc>
      </w:tr>
    </w:tbl>
    <w:p w14:paraId="53C5F182" w14:textId="77777777" w:rsidR="00A47A97" w:rsidRPr="0078056B" w:rsidRDefault="00A47A97" w:rsidP="00A47A97">
      <w:pPr>
        <w:pStyle w:val="BoxTitle"/>
      </w:pPr>
      <w:bookmarkStart w:id="201" w:name="_Toc168652227"/>
      <w:bookmarkStart w:id="202" w:name="_Ref162276703"/>
      <w:r w:rsidRPr="0078056B">
        <w:t>The University’s role in training public sector workers in the West Midlands</w:t>
      </w:r>
      <w:bookmarkEnd w:id="201"/>
    </w:p>
    <w:tbl>
      <w:tblPr>
        <w:tblW w:w="0" w:type="auto"/>
        <w:shd w:val="clear" w:color="auto" w:fill="D9D9D9"/>
        <w:tblLayout w:type="fixed"/>
        <w:tblLook w:val="0000" w:firstRow="0" w:lastRow="0" w:firstColumn="0" w:lastColumn="0" w:noHBand="0" w:noVBand="0"/>
      </w:tblPr>
      <w:tblGrid>
        <w:gridCol w:w="8844"/>
      </w:tblGrid>
      <w:tr w:rsidR="00A47A97" w:rsidRPr="0078056B" w14:paraId="56D46C4B" w14:textId="77777777" w:rsidTr="00A47A97">
        <w:tc>
          <w:tcPr>
            <w:tcW w:w="8844" w:type="dxa"/>
            <w:shd w:val="clear" w:color="auto" w:fill="DBE9FD"/>
          </w:tcPr>
          <w:p w14:paraId="7ECB6270" w14:textId="5899EE18" w:rsidR="00A47A97" w:rsidRPr="0078056B" w:rsidRDefault="00A47A97" w:rsidP="00A47A97">
            <w:pPr>
              <w:spacing w:before="60"/>
            </w:pPr>
            <w:r w:rsidRPr="0078056B">
              <w:t xml:space="preserve">The University of Birmingham has an important role in training public sector workers in the West Midlands. To demonstrate this, we analysed HESA data relating to student enrolments at higher education providers in the West Midlands in 2021-22 by subject. As </w:t>
            </w:r>
            <w:r w:rsidR="00751611" w:rsidRPr="0078056B">
              <w:fldChar w:fldCharType="begin"/>
            </w:r>
            <w:r w:rsidR="00751611" w:rsidRPr="0078056B">
              <w:instrText xml:space="preserve"> REF _Ref162531935 \r \h </w:instrText>
            </w:r>
            <w:r w:rsidR="0078056B">
              <w:instrText xml:space="preserve"> \* MERGEFORMAT </w:instrText>
            </w:r>
            <w:r w:rsidR="00751611" w:rsidRPr="0078056B">
              <w:fldChar w:fldCharType="separate"/>
            </w:r>
            <w:r w:rsidR="00E33157">
              <w:t>Figure 14</w:t>
            </w:r>
            <w:r w:rsidR="00751611" w:rsidRPr="0078056B">
              <w:fldChar w:fldCharType="end"/>
            </w:r>
            <w:r w:rsidRPr="0078056B">
              <w:t xml:space="preserve"> shows, the University of Birmingham had a total of </w:t>
            </w:r>
            <w:r w:rsidRPr="0078056B">
              <w:rPr>
                <w:b/>
                <w:bCs/>
                <w:color w:val="06357A" w:themeColor="text2"/>
              </w:rPr>
              <w:t>5,380</w:t>
            </w:r>
            <w:r w:rsidRPr="0078056B">
              <w:rPr>
                <w:color w:val="06357A" w:themeColor="text2"/>
              </w:rPr>
              <w:t xml:space="preserve"> </w:t>
            </w:r>
            <w:r w:rsidRPr="0078056B">
              <w:t xml:space="preserve">students studying teacher training, social work, nursing, </w:t>
            </w:r>
            <w:r w:rsidR="003A56F8" w:rsidRPr="0078056B">
              <w:t xml:space="preserve">or </w:t>
            </w:r>
            <w:r w:rsidRPr="0078056B">
              <w:t xml:space="preserve">medicine and dentistry in 2021-22 (across all years of study), which represented </w:t>
            </w:r>
            <w:r w:rsidRPr="0078056B">
              <w:rPr>
                <w:b/>
                <w:bCs/>
                <w:color w:val="06357A" w:themeColor="text2"/>
              </w:rPr>
              <w:t xml:space="preserve">16% </w:t>
            </w:r>
            <w:r w:rsidRPr="0078056B">
              <w:t>of all higher education enrolments in the West Midlands in those subjects. In particular, the University trained nearly half (</w:t>
            </w:r>
            <w:r w:rsidRPr="0078056B">
              <w:rPr>
                <w:b/>
                <w:bCs/>
                <w:color w:val="06357A" w:themeColor="text2"/>
              </w:rPr>
              <w:t>47%</w:t>
            </w:r>
            <w:r w:rsidRPr="0078056B">
              <w:t xml:space="preserve">) of those studying medicine at higher education providers in the West Midlands, </w:t>
            </w:r>
            <w:r w:rsidRPr="0078056B">
              <w:rPr>
                <w:b/>
                <w:bCs/>
                <w:color w:val="06357A" w:themeColor="text2"/>
              </w:rPr>
              <w:t>89%</w:t>
            </w:r>
            <w:r w:rsidRPr="0078056B">
              <w:rPr>
                <w:b/>
                <w:bCs/>
              </w:rPr>
              <w:t xml:space="preserve"> </w:t>
            </w:r>
            <w:r w:rsidRPr="0078056B">
              <w:t xml:space="preserve">of those studying dentistry, </w:t>
            </w:r>
            <w:r w:rsidRPr="0078056B">
              <w:rPr>
                <w:b/>
                <w:bCs/>
                <w:color w:val="06357A" w:themeColor="text2"/>
              </w:rPr>
              <w:t>16%</w:t>
            </w:r>
            <w:r w:rsidRPr="0078056B">
              <w:rPr>
                <w:b/>
                <w:bCs/>
              </w:rPr>
              <w:t xml:space="preserve"> </w:t>
            </w:r>
            <w:r w:rsidRPr="0078056B">
              <w:t xml:space="preserve">of those studying social work, and </w:t>
            </w:r>
            <w:r w:rsidRPr="0078056B">
              <w:rPr>
                <w:b/>
                <w:bCs/>
                <w:color w:val="06357A" w:themeColor="text2"/>
              </w:rPr>
              <w:t>15%</w:t>
            </w:r>
            <w:r w:rsidRPr="0078056B">
              <w:rPr>
                <w:b/>
                <w:bCs/>
              </w:rPr>
              <w:t xml:space="preserve"> </w:t>
            </w:r>
            <w:r w:rsidRPr="0078056B">
              <w:t xml:space="preserve">of those undertaking teacher training. While it is not guaranteed that these individuals will remain </w:t>
            </w:r>
            <w:r w:rsidRPr="0078056B">
              <w:lastRenderedPageBreak/>
              <w:t>in the West Midlands, or in the professions for which they are studying, it highlights the University’s role in securing a domestic pipeline of public sector workers in key professions.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628"/>
            </w:tblGrid>
            <w:tr w:rsidR="00A47A97" w:rsidRPr="0078056B" w14:paraId="3067BCDB" w14:textId="77777777" w:rsidTr="00957CB0">
              <w:trPr>
                <w:cantSplit/>
              </w:trPr>
              <w:tc>
                <w:tcPr>
                  <w:tcW w:w="8844" w:type="dxa"/>
                </w:tcPr>
                <w:p w14:paraId="5B8C4CB6" w14:textId="77777777" w:rsidR="00A47A97" w:rsidRPr="0078056B" w:rsidRDefault="00A47A97" w:rsidP="00A47A97">
                  <w:pPr>
                    <w:pStyle w:val="FigureTitle"/>
                    <w:numPr>
                      <w:ilvl w:val="0"/>
                      <w:numId w:val="32"/>
                    </w:numPr>
                  </w:pPr>
                  <w:bookmarkStart w:id="203" w:name="_Ref162531935"/>
                  <w:bookmarkStart w:id="204" w:name="_Toc168652195"/>
                  <w:r w:rsidRPr="0078056B">
                    <w:t>Enrolments at the University of Birmingham and other higher education providers in the West Midlands across selected subjects, 2021-22</w:t>
                  </w:r>
                  <w:bookmarkEnd w:id="203"/>
                  <w:bookmarkEnd w:id="204"/>
                </w:p>
              </w:tc>
            </w:tr>
            <w:tr w:rsidR="00A47A97" w:rsidRPr="0078056B" w14:paraId="1D22F7ED" w14:textId="77777777" w:rsidTr="00957CB0">
              <w:trPr>
                <w:cantSplit/>
              </w:trPr>
              <w:tc>
                <w:tcPr>
                  <w:tcW w:w="8844" w:type="dxa"/>
                </w:tcPr>
                <w:p w14:paraId="16C4F620" w14:textId="77777777" w:rsidR="00A47A97" w:rsidRPr="0078056B" w:rsidRDefault="00A47A97" w:rsidP="00A47A97">
                  <w:pPr>
                    <w:pStyle w:val="PlaceholderText"/>
                  </w:pPr>
                  <w:r w:rsidRPr="0078056B">
                    <w:rPr>
                      <w:noProof/>
                    </w:rPr>
                    <w:drawing>
                      <wp:inline distT="0" distB="0" distL="0" distR="0" wp14:anchorId="55ED7506" wp14:editId="1D189DD4">
                        <wp:extent cx="5508000" cy="2139992"/>
                        <wp:effectExtent l="0" t="0" r="0" b="0"/>
                        <wp:docPr id="8467978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08000" cy="2139992"/>
                                </a:xfrm>
                                <a:prstGeom prst="rect">
                                  <a:avLst/>
                                </a:prstGeom>
                                <a:noFill/>
                                <a:ln>
                                  <a:noFill/>
                                </a:ln>
                              </pic:spPr>
                            </pic:pic>
                          </a:graphicData>
                        </a:graphic>
                      </wp:inline>
                    </w:drawing>
                  </w:r>
                </w:p>
              </w:tc>
            </w:tr>
            <w:tr w:rsidR="00A47A97" w:rsidRPr="0078056B" w14:paraId="35BE05B3" w14:textId="77777777" w:rsidTr="00957CB0">
              <w:trPr>
                <w:cantSplit/>
              </w:trPr>
              <w:tc>
                <w:tcPr>
                  <w:tcW w:w="8844" w:type="dxa"/>
                </w:tcPr>
                <w:p w14:paraId="618E11D1" w14:textId="77777777" w:rsidR="00A47A97" w:rsidRPr="0078056B" w:rsidRDefault="00A47A97" w:rsidP="00257F75">
                  <w:pPr>
                    <w:pStyle w:val="TableNote"/>
                  </w:pPr>
                  <w:r w:rsidRPr="0078056B">
                    <w:t>Note: Based on all study levels, study modes, domiciles and years of study (i.e. not limited to first year students). Classifications are based on the following Common Aggregation Hierarchy (CAH) level 3 classification: Medicine (01-01-01 medical sciences (non-specific), 01-01-02 medicine (non-specific) and 01-01-03 medicine by specialism); Dentistry (01-01-04 dentistry); Nursing (02-04-01 nursing (non-specific), 02-04-02 adult nursing, 02-04-03 community nursing, 02-04-05 children's nursing, 02-04-07 mental health nursing, 02-04-08 learning disabilities nursing, 02-04-09 others in nursing); Social work (15-04-01 social work); Teacher training (22-01-02 teacher training).</w:t>
                  </w:r>
                </w:p>
                <w:p w14:paraId="224E6D26" w14:textId="2626DB2F" w:rsidR="00A47A97" w:rsidRPr="0078056B" w:rsidRDefault="00A47A97" w:rsidP="00257F75">
                  <w:pPr>
                    <w:pStyle w:val="TableSource"/>
                  </w:pPr>
                  <w:r w:rsidRPr="0078056B">
                    <w:t xml:space="preserve">Source: London Economics’ analysis based on HESA data (HESA, </w:t>
                  </w:r>
                  <w:r w:rsidR="00E87F38" w:rsidRPr="0078056B">
                    <w:t>2023k</w:t>
                  </w:r>
                  <w:r w:rsidRPr="0078056B">
                    <w:t>).</w:t>
                  </w:r>
                </w:p>
              </w:tc>
            </w:tr>
          </w:tbl>
          <w:p w14:paraId="328FEF19" w14:textId="77777777" w:rsidR="00A47A97" w:rsidRPr="0078056B" w:rsidRDefault="00A47A97" w:rsidP="00F5677B">
            <w:pPr>
              <w:pStyle w:val="BoxTitle"/>
              <w:numPr>
                <w:ilvl w:val="0"/>
                <w:numId w:val="0"/>
              </w:numPr>
            </w:pPr>
          </w:p>
        </w:tc>
      </w:tr>
    </w:tbl>
    <w:p w14:paraId="346ABFA1" w14:textId="1BD8021C" w:rsidR="006B58E7" w:rsidRPr="0078056B" w:rsidRDefault="006B58E7" w:rsidP="006B58E7">
      <w:pPr>
        <w:pStyle w:val="Heading2"/>
      </w:pPr>
      <w:bookmarkStart w:id="205" w:name="_Ref163049223"/>
      <w:bookmarkStart w:id="206" w:name="_Toc168652124"/>
      <w:r w:rsidRPr="0078056B">
        <w:lastRenderedPageBreak/>
        <w:t>Methodology</w:t>
      </w:r>
      <w:bookmarkEnd w:id="202"/>
      <w:bookmarkEnd w:id="205"/>
      <w:bookmarkEnd w:id="206"/>
    </w:p>
    <w:p w14:paraId="1B3A4012" w14:textId="48D011A4" w:rsidR="003A6119" w:rsidRPr="0078056B" w:rsidRDefault="003A6119" w:rsidP="003A6119">
      <w:pPr>
        <w:rPr>
          <w:rFonts w:asciiTheme="minorHAnsi" w:hAnsiTheme="minorHAnsi"/>
        </w:rPr>
      </w:pPr>
      <w:r w:rsidRPr="0078056B">
        <w:rPr>
          <w:rFonts w:asciiTheme="minorHAnsi" w:hAnsiTheme="minorHAnsi" w:cstheme="minorHAnsi"/>
        </w:rPr>
        <w:t>The analysis of the impact of the University’s teaching and learning captures the enhanced labour market benefits and taxation receipts (minus the costs of attendance/provision) associated with students in the above cohort completing qualifications at the University of Birmingham. Specifically, t</w:t>
      </w:r>
      <w:r w:rsidRPr="0078056B">
        <w:rPr>
          <w:rFonts w:asciiTheme="minorHAnsi" w:hAnsiTheme="minorHAnsi"/>
        </w:rPr>
        <w:t xml:space="preserve">he fundamental objective of the analysis is to estimate the </w:t>
      </w:r>
      <w:r w:rsidRPr="0078056B">
        <w:rPr>
          <w:rFonts w:asciiTheme="minorHAnsi" w:hAnsiTheme="minorHAnsi"/>
          <w:b/>
          <w:color w:val="06357A"/>
        </w:rPr>
        <w:t>gross and net graduate premium</w:t>
      </w:r>
      <w:r w:rsidRPr="0078056B">
        <w:rPr>
          <w:rFonts w:asciiTheme="minorHAnsi" w:hAnsiTheme="minorHAnsi"/>
          <w:color w:val="06357A"/>
        </w:rPr>
        <w:t xml:space="preserve"> </w:t>
      </w:r>
      <w:r w:rsidRPr="0078056B">
        <w:rPr>
          <w:rFonts w:asciiTheme="minorHAnsi" w:hAnsiTheme="minorHAnsi"/>
        </w:rPr>
        <w:t xml:space="preserve">to the individual and the </w:t>
      </w:r>
      <w:r w:rsidRPr="0078056B">
        <w:rPr>
          <w:rFonts w:asciiTheme="minorHAnsi" w:hAnsiTheme="minorHAnsi"/>
          <w:b/>
          <w:color w:val="06357A"/>
        </w:rPr>
        <w:t>gross and net public purse benefit</w:t>
      </w:r>
      <w:r w:rsidRPr="0078056B">
        <w:rPr>
          <w:rFonts w:asciiTheme="minorHAnsi" w:hAnsiTheme="minorHAnsi"/>
          <w:color w:val="041E42"/>
        </w:rPr>
        <w:t xml:space="preserve"> </w:t>
      </w:r>
      <w:r w:rsidRPr="0078056B">
        <w:rPr>
          <w:rFonts w:asciiTheme="minorHAnsi" w:hAnsiTheme="minorHAnsi"/>
        </w:rPr>
        <w:t xml:space="preserve">to the Exchequer associated with higher education qualification attainment, defined as follows (and presented in </w:t>
      </w:r>
      <w:r w:rsidRPr="0078056B">
        <w:rPr>
          <w:rFonts w:asciiTheme="minorHAnsi" w:hAnsiTheme="minorHAnsi"/>
        </w:rPr>
        <w:fldChar w:fldCharType="begin"/>
      </w:r>
      <w:r w:rsidRPr="0078056B">
        <w:rPr>
          <w:rFonts w:asciiTheme="minorHAnsi" w:hAnsiTheme="minorHAnsi"/>
        </w:rPr>
        <w:instrText xml:space="preserve"> REF _Ref27655178 \r \h </w:instrText>
      </w:r>
      <w:r w:rsidR="0078056B">
        <w:rPr>
          <w:rFonts w:asciiTheme="minorHAnsi" w:hAnsiTheme="minorHAnsi"/>
        </w:rPr>
        <w:instrText xml:space="preserve"> \* MERGEFORMAT </w:instrText>
      </w:r>
      <w:r w:rsidRPr="0078056B">
        <w:rPr>
          <w:rFonts w:asciiTheme="minorHAnsi" w:hAnsiTheme="minorHAnsi"/>
        </w:rPr>
      </w:r>
      <w:r w:rsidRPr="0078056B">
        <w:rPr>
          <w:rFonts w:asciiTheme="minorHAnsi" w:hAnsiTheme="minorHAnsi"/>
        </w:rPr>
        <w:fldChar w:fldCharType="separate"/>
      </w:r>
      <w:r w:rsidR="00E33157">
        <w:rPr>
          <w:rFonts w:asciiTheme="minorHAnsi" w:hAnsiTheme="minorHAnsi"/>
        </w:rPr>
        <w:t>Figure 15</w:t>
      </w:r>
      <w:r w:rsidRPr="0078056B">
        <w:rPr>
          <w:rFonts w:asciiTheme="minorHAnsi" w:hAnsiTheme="minorHAnsi"/>
        </w:rPr>
        <w:fldChar w:fldCharType="end"/>
      </w:r>
      <w:r w:rsidRPr="0078056B">
        <w:rPr>
          <w:rFonts w:asciiTheme="minorHAnsi" w:hAnsiTheme="minorHAnsi"/>
        </w:rPr>
        <w:t>)</w:t>
      </w:r>
      <w:r w:rsidRPr="0078056B">
        <w:rPr>
          <w:rStyle w:val="FootnoteReference"/>
          <w:rFonts w:asciiTheme="minorHAnsi" w:hAnsiTheme="minorHAnsi"/>
        </w:rPr>
        <w:footnoteReference w:id="42"/>
      </w:r>
      <w:r w:rsidRPr="0078056B">
        <w:rPr>
          <w:rFonts w:asciiTheme="minorHAnsi" w:hAnsiTheme="minorHAnsi"/>
        </w:rPr>
        <w:t>:</w:t>
      </w:r>
    </w:p>
    <w:p w14:paraId="24B8BC92" w14:textId="77777777" w:rsidR="003A6119" w:rsidRPr="0078056B" w:rsidRDefault="003A6119" w:rsidP="003A6119">
      <w:pPr>
        <w:pStyle w:val="MinorBullet1"/>
        <w:numPr>
          <w:ilvl w:val="0"/>
          <w:numId w:val="21"/>
        </w:numPr>
      </w:pPr>
      <w:r w:rsidRPr="0078056B">
        <w:t xml:space="preserve">The </w:t>
      </w:r>
      <w:r w:rsidRPr="0078056B">
        <w:rPr>
          <w:rFonts w:asciiTheme="minorHAnsi" w:hAnsiTheme="minorHAnsi"/>
          <w:b/>
          <w:i/>
          <w:iCs/>
          <w:color w:val="06357A"/>
        </w:rPr>
        <w:t>gross</w:t>
      </w:r>
      <w:r w:rsidRPr="0078056B">
        <w:rPr>
          <w:rFonts w:asciiTheme="minorHAnsi" w:hAnsiTheme="minorHAnsi"/>
          <w:b/>
          <w:color w:val="06357A"/>
        </w:rPr>
        <w:t xml:space="preserve"> graduate premium</w:t>
      </w:r>
      <w:r w:rsidRPr="0078056B">
        <w:rPr>
          <w:color w:val="041E42"/>
        </w:rPr>
        <w:t xml:space="preserve"> </w:t>
      </w:r>
      <w:r w:rsidRPr="0078056B">
        <w:t xml:space="preserve">associated with qualification attainment is defined as the </w:t>
      </w:r>
      <w:r w:rsidRPr="0078056B">
        <w:rPr>
          <w:rFonts w:asciiTheme="minorHAnsi" w:hAnsiTheme="minorHAnsi"/>
          <w:b/>
          <w:color w:val="06357A"/>
        </w:rPr>
        <w:t>present value</w:t>
      </w:r>
      <w:r w:rsidRPr="0078056B">
        <w:rPr>
          <w:color w:val="041E42"/>
        </w:rPr>
        <w:t xml:space="preserve"> </w:t>
      </w:r>
      <w:r w:rsidRPr="0078056B">
        <w:rPr>
          <w:rFonts w:asciiTheme="minorHAnsi" w:hAnsiTheme="minorHAnsi"/>
          <w:b/>
          <w:color w:val="06357A"/>
        </w:rPr>
        <w:t>of enhanced after-tax earnings</w:t>
      </w:r>
      <w:r w:rsidRPr="0078056B">
        <w:rPr>
          <w:color w:val="041E42"/>
        </w:rPr>
        <w:t xml:space="preserve"> </w:t>
      </w:r>
      <w:r w:rsidRPr="0078056B">
        <w:t>(i.e. after income tax, National Insurance and VAT are removed, and following the deduction of any foregone earnings during study) relative to an individual in possession of the counterfactual qualification;</w:t>
      </w:r>
    </w:p>
    <w:p w14:paraId="5E26F232" w14:textId="77777777" w:rsidR="003A6119" w:rsidRPr="0078056B" w:rsidRDefault="003A6119" w:rsidP="003A6119">
      <w:pPr>
        <w:pStyle w:val="MinorBullet1"/>
        <w:numPr>
          <w:ilvl w:val="0"/>
          <w:numId w:val="21"/>
        </w:numPr>
      </w:pPr>
      <w:r w:rsidRPr="0078056B">
        <w:t xml:space="preserve">The </w:t>
      </w:r>
      <w:r w:rsidRPr="0078056B">
        <w:rPr>
          <w:rFonts w:asciiTheme="minorHAnsi" w:hAnsiTheme="minorHAnsi"/>
          <w:b/>
          <w:i/>
          <w:iCs/>
          <w:color w:val="06357A"/>
        </w:rPr>
        <w:t>gross</w:t>
      </w:r>
      <w:r w:rsidRPr="0078056B">
        <w:rPr>
          <w:rFonts w:asciiTheme="minorHAnsi" w:hAnsiTheme="minorHAnsi"/>
          <w:b/>
          <w:color w:val="06357A"/>
        </w:rPr>
        <w:t xml:space="preserve"> benefit to the public purse</w:t>
      </w:r>
      <w:r w:rsidRPr="0078056B">
        <w:rPr>
          <w:b/>
          <w:color w:val="041E42"/>
        </w:rPr>
        <w:t xml:space="preserve"> </w:t>
      </w:r>
      <w:r w:rsidRPr="0078056B">
        <w:t xml:space="preserve">is defined as the </w:t>
      </w:r>
      <w:r w:rsidRPr="0078056B">
        <w:rPr>
          <w:rFonts w:asciiTheme="minorHAnsi" w:hAnsiTheme="minorHAnsi"/>
          <w:b/>
          <w:color w:val="06357A"/>
        </w:rPr>
        <w:t>present value</w:t>
      </w:r>
      <w:r w:rsidRPr="0078056B">
        <w:t xml:space="preserve"> </w:t>
      </w:r>
      <w:r w:rsidRPr="0078056B">
        <w:rPr>
          <w:rFonts w:asciiTheme="minorHAnsi" w:hAnsiTheme="minorHAnsi"/>
          <w:b/>
          <w:color w:val="06357A"/>
        </w:rPr>
        <w:t>of enhanced taxation</w:t>
      </w:r>
      <w:r w:rsidRPr="0078056B">
        <w:rPr>
          <w:b/>
          <w:color w:val="041E42"/>
        </w:rPr>
        <w:t xml:space="preserve"> </w:t>
      </w:r>
      <w:r w:rsidRPr="0078056B">
        <w:t>(i.e. income tax, National Insurance and VAT, following the deduction of the costs of foregone tax earnings during study) relative to an individual in possession of the counterfactual qualification;</w:t>
      </w:r>
    </w:p>
    <w:p w14:paraId="17265B1B" w14:textId="77777777" w:rsidR="003A6119" w:rsidRPr="0078056B" w:rsidRDefault="003A6119" w:rsidP="003A6119">
      <w:pPr>
        <w:pStyle w:val="MinorBullet1"/>
        <w:numPr>
          <w:ilvl w:val="0"/>
          <w:numId w:val="21"/>
        </w:numPr>
      </w:pPr>
      <w:r w:rsidRPr="0078056B">
        <w:t xml:space="preserve">The </w:t>
      </w:r>
      <w:r w:rsidRPr="0078056B">
        <w:rPr>
          <w:rFonts w:asciiTheme="minorHAnsi" w:hAnsiTheme="minorHAnsi"/>
          <w:b/>
          <w:i/>
          <w:iCs/>
          <w:color w:val="06357A"/>
        </w:rPr>
        <w:t>net</w:t>
      </w:r>
      <w:r w:rsidRPr="0078056B">
        <w:rPr>
          <w:rFonts w:asciiTheme="minorHAnsi" w:hAnsiTheme="minorHAnsi"/>
          <w:b/>
          <w:color w:val="06357A"/>
        </w:rPr>
        <w:t xml:space="preserve"> graduate premium</w:t>
      </w:r>
      <w:r w:rsidRPr="0078056B">
        <w:rPr>
          <w:color w:val="041E42"/>
        </w:rPr>
        <w:t xml:space="preserve"> </w:t>
      </w:r>
      <w:r w:rsidRPr="0078056B">
        <w:t xml:space="preserve">is defined as the gross graduate premium </w:t>
      </w:r>
      <w:r w:rsidRPr="0078056B">
        <w:rPr>
          <w:i/>
        </w:rPr>
        <w:t>minus</w:t>
      </w:r>
      <w:r w:rsidRPr="0078056B">
        <w:t xml:space="preserve"> the present value of the direct costs associated with qualification attainment; and</w:t>
      </w:r>
    </w:p>
    <w:p w14:paraId="3581E6B6" w14:textId="77777777" w:rsidR="003A6119" w:rsidRPr="0078056B" w:rsidRDefault="003A6119" w:rsidP="003A6119">
      <w:pPr>
        <w:pStyle w:val="MinorBullet1"/>
        <w:numPr>
          <w:ilvl w:val="0"/>
          <w:numId w:val="21"/>
        </w:numPr>
      </w:pPr>
      <w:r w:rsidRPr="0078056B">
        <w:t xml:space="preserve">Similarly, the </w:t>
      </w:r>
      <w:r w:rsidRPr="0078056B">
        <w:rPr>
          <w:rFonts w:asciiTheme="minorHAnsi" w:hAnsiTheme="minorHAnsi"/>
          <w:b/>
          <w:i/>
          <w:iCs/>
          <w:color w:val="06357A"/>
        </w:rPr>
        <w:t>net</w:t>
      </w:r>
      <w:r w:rsidRPr="0078056B">
        <w:rPr>
          <w:rFonts w:asciiTheme="minorHAnsi" w:hAnsiTheme="minorHAnsi"/>
          <w:b/>
          <w:color w:val="06357A"/>
        </w:rPr>
        <w:t xml:space="preserve"> benefit to the public purse</w:t>
      </w:r>
      <w:r w:rsidRPr="0078056B">
        <w:t xml:space="preserve"> is defined as the gross public purse benefit minus the direct Exchequer costs of provision during the period of attainment. </w:t>
      </w:r>
    </w:p>
    <w:p w14:paraId="5824BFB9" w14:textId="7A8A9690" w:rsidR="006B58E7" w:rsidRPr="0078056B" w:rsidRDefault="006B58E7" w:rsidP="006B58E7">
      <w:r w:rsidRPr="0078056B">
        <w:lastRenderedPageBreak/>
        <w:t xml:space="preserve">The analysis examines the benefits of a single cohort of students (i.e. the cohort of the 2021-22 starters) across </w:t>
      </w:r>
      <w:r w:rsidR="005252F7" w:rsidRPr="0078056B">
        <w:t xml:space="preserve">their </w:t>
      </w:r>
      <w:r w:rsidRPr="0078056B">
        <w:t xml:space="preserve">lifetimes in present value terms (i.e. in today’s money). A detailed methodology is presented in Annex </w:t>
      </w:r>
      <w:r w:rsidRPr="0078056B">
        <w:fldChar w:fldCharType="begin"/>
      </w:r>
      <w:r w:rsidRPr="0078056B">
        <w:instrText xml:space="preserve"> REF _Ref162254768 \r \h  \* MERGEFORMAT </w:instrText>
      </w:r>
      <w:r w:rsidRPr="0078056B">
        <w:fldChar w:fldCharType="separate"/>
      </w:r>
      <w:r w:rsidR="00E33157">
        <w:t>A2.3</w:t>
      </w:r>
      <w:r w:rsidRPr="0078056B">
        <w:fldChar w:fldCharType="end"/>
      </w:r>
      <w:r w:rsidRPr="0078056B">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3A6119" w:rsidRPr="0078056B" w14:paraId="712D418B" w14:textId="77777777" w:rsidTr="000A186C">
        <w:trPr>
          <w:cantSplit/>
        </w:trPr>
        <w:tc>
          <w:tcPr>
            <w:tcW w:w="0" w:type="auto"/>
          </w:tcPr>
          <w:p w14:paraId="537CAE08" w14:textId="77777777" w:rsidR="003A6119" w:rsidRPr="0078056B" w:rsidRDefault="003A6119" w:rsidP="000A186C">
            <w:pPr>
              <w:pStyle w:val="FigureTitle"/>
            </w:pPr>
            <w:bookmarkStart w:id="207" w:name="_Ref27655178"/>
            <w:bookmarkStart w:id="208" w:name="_Toc36037500"/>
            <w:bookmarkStart w:id="209" w:name="_Toc75247079"/>
            <w:bookmarkStart w:id="210" w:name="_Toc75502470"/>
            <w:bookmarkStart w:id="211" w:name="_Toc77715285"/>
            <w:bookmarkStart w:id="212" w:name="_Toc106102783"/>
            <w:bookmarkStart w:id="213" w:name="_Toc111554757"/>
            <w:bookmarkStart w:id="214" w:name="_Toc112336047"/>
            <w:bookmarkStart w:id="215" w:name="_Toc138171611"/>
            <w:bookmarkStart w:id="216" w:name="_Toc148543137"/>
            <w:bookmarkStart w:id="217" w:name="_Toc160636348"/>
            <w:bookmarkStart w:id="218" w:name="_Toc168652196"/>
            <w:r w:rsidRPr="0078056B">
              <w:t>Overview of gross and net graduate premium, and gross and net Exchequer benefit</w:t>
            </w:r>
            <w:bookmarkEnd w:id="207"/>
            <w:bookmarkEnd w:id="208"/>
            <w:bookmarkEnd w:id="209"/>
            <w:bookmarkEnd w:id="210"/>
            <w:bookmarkEnd w:id="211"/>
            <w:bookmarkEnd w:id="212"/>
            <w:bookmarkEnd w:id="213"/>
            <w:bookmarkEnd w:id="214"/>
            <w:bookmarkEnd w:id="215"/>
            <w:bookmarkEnd w:id="216"/>
            <w:bookmarkEnd w:id="217"/>
            <w:bookmarkEnd w:id="218"/>
          </w:p>
        </w:tc>
      </w:tr>
      <w:tr w:rsidR="003A6119" w:rsidRPr="0078056B" w14:paraId="3FBF59BD" w14:textId="77777777" w:rsidTr="000A186C">
        <w:trPr>
          <w:cantSplit/>
        </w:trPr>
        <w:tc>
          <w:tcPr>
            <w:tcW w:w="0" w:type="auto"/>
          </w:tcPr>
          <w:p w14:paraId="436E52AE" w14:textId="77777777" w:rsidR="003A6119" w:rsidRPr="0078056B" w:rsidRDefault="003A6119" w:rsidP="003A6119">
            <w:pPr>
              <w:pStyle w:val="PlaceholderText"/>
              <w:ind w:left="794"/>
            </w:pPr>
          </w:p>
          <w:p w14:paraId="70386D20" w14:textId="2D843191" w:rsidR="003A6119" w:rsidRPr="0078056B" w:rsidRDefault="003A6119" w:rsidP="00383BF9">
            <w:pPr>
              <w:pStyle w:val="PlaceholderText"/>
              <w:jc w:val="center"/>
            </w:pPr>
            <w:r w:rsidRPr="0078056B">
              <w:rPr>
                <w:noProof/>
              </w:rPr>
              <w:drawing>
                <wp:inline distT="0" distB="0" distL="0" distR="0" wp14:anchorId="44C8E82C" wp14:editId="5AF326E4">
                  <wp:extent cx="5559425" cy="3358580"/>
                  <wp:effectExtent l="0" t="0" r="3175" b="0"/>
                  <wp:docPr id="893430570" name="Picture 8"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30570" name="Picture 8" descr="A diagram of a company&#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74907" cy="3367933"/>
                          </a:xfrm>
                          <a:prstGeom prst="rect">
                            <a:avLst/>
                          </a:prstGeom>
                          <a:noFill/>
                        </pic:spPr>
                      </pic:pic>
                    </a:graphicData>
                  </a:graphic>
                </wp:inline>
              </w:drawing>
            </w:r>
          </w:p>
        </w:tc>
      </w:tr>
      <w:tr w:rsidR="003A6119" w:rsidRPr="0078056B" w14:paraId="4E04E361" w14:textId="77777777" w:rsidTr="000A186C">
        <w:trPr>
          <w:cantSplit/>
        </w:trPr>
        <w:tc>
          <w:tcPr>
            <w:tcW w:w="0" w:type="auto"/>
          </w:tcPr>
          <w:p w14:paraId="2AE27DE7" w14:textId="77777777" w:rsidR="003A6119" w:rsidRPr="0078056B" w:rsidRDefault="003A6119" w:rsidP="003A6119">
            <w:pPr>
              <w:pStyle w:val="TableSource"/>
            </w:pPr>
            <w:r w:rsidRPr="0078056B">
              <w:t>Source: London Economics’ analysis based on Department for Business, Innovation and Skills (2011a)</w:t>
            </w:r>
          </w:p>
        </w:tc>
      </w:tr>
    </w:tbl>
    <w:p w14:paraId="253DF72B" w14:textId="3C64BA89" w:rsidR="00D9176F" w:rsidRPr="0078056B" w:rsidRDefault="00D9176F" w:rsidP="00D9176F">
      <w:pPr>
        <w:pStyle w:val="BoxTitle"/>
      </w:pPr>
      <w:bookmarkStart w:id="219" w:name="_Toc168652228"/>
      <w:bookmarkStart w:id="220" w:name="_Toc146871897"/>
      <w:bookmarkStart w:id="221" w:name="_Toc160636321"/>
      <w:r w:rsidRPr="0078056B">
        <w:t>The University’s role in facilitating apprenticeships</w:t>
      </w:r>
      <w:bookmarkEnd w:id="219"/>
    </w:p>
    <w:tbl>
      <w:tblPr>
        <w:tblW w:w="0" w:type="auto"/>
        <w:shd w:val="clear" w:color="auto" w:fill="D9D9D9"/>
        <w:tblLayout w:type="fixed"/>
        <w:tblLook w:val="0000" w:firstRow="0" w:lastRow="0" w:firstColumn="0" w:lastColumn="0" w:noHBand="0" w:noVBand="0"/>
      </w:tblPr>
      <w:tblGrid>
        <w:gridCol w:w="8844"/>
      </w:tblGrid>
      <w:tr w:rsidR="00D9176F" w:rsidRPr="0078056B" w14:paraId="305AD0E8" w14:textId="77777777" w:rsidTr="00A47A97">
        <w:tc>
          <w:tcPr>
            <w:tcW w:w="8844" w:type="dxa"/>
            <w:shd w:val="clear" w:color="auto" w:fill="DBE9FD"/>
          </w:tcPr>
          <w:p w14:paraId="7CBE6CA4" w14:textId="1C94702D" w:rsidR="00D9176F" w:rsidRPr="0078056B" w:rsidRDefault="00D9176F" w:rsidP="007F6D69">
            <w:pPr>
              <w:spacing w:before="60" w:after="60"/>
            </w:pPr>
            <w:r w:rsidRPr="0078056B">
              <w:t xml:space="preserve">As a large employer, the University of Birmingham pays the Apprenticeship Levy to support apprentices. </w:t>
            </w:r>
            <w:r w:rsidR="005A41EE" w:rsidRPr="0078056B">
              <w:t xml:space="preserve">Based on a contribution of 0.5% on </w:t>
            </w:r>
            <w:r w:rsidR="005B244F">
              <w:t xml:space="preserve">its </w:t>
            </w:r>
            <w:r w:rsidR="005A41EE" w:rsidRPr="0078056B">
              <w:t>total pay</w:t>
            </w:r>
            <w:r w:rsidR="005B244F">
              <w:t xml:space="preserve"> </w:t>
            </w:r>
            <w:r w:rsidR="005A41EE" w:rsidRPr="0078056B">
              <w:t xml:space="preserve">bill </w:t>
            </w:r>
            <w:r w:rsidR="005B244F">
              <w:t>above</w:t>
            </w:r>
            <w:r w:rsidR="005A41EE" w:rsidRPr="0078056B">
              <w:t xml:space="preserve"> £3 million, in </w:t>
            </w:r>
            <w:r w:rsidRPr="0078056B">
              <w:t xml:space="preserve">the next 12 months, the University's planned expenditure from </w:t>
            </w:r>
            <w:r w:rsidR="00EF3DA0" w:rsidRPr="0078056B">
              <w:t xml:space="preserve">its ongoing </w:t>
            </w:r>
            <w:r w:rsidRPr="0078056B">
              <w:t xml:space="preserve">Levy </w:t>
            </w:r>
            <w:r w:rsidR="005A41EE" w:rsidRPr="0078056B">
              <w:t xml:space="preserve">contributions </w:t>
            </w:r>
            <w:r w:rsidRPr="0078056B">
              <w:t xml:space="preserve">is around </w:t>
            </w:r>
            <w:r w:rsidRPr="0078056B">
              <w:rPr>
                <w:b/>
                <w:bCs/>
                <w:color w:val="06357A" w:themeColor="text2"/>
              </w:rPr>
              <w:t>£930,000</w:t>
            </w:r>
            <w:r w:rsidRPr="0078056B">
              <w:t>, with around one</w:t>
            </w:r>
            <w:r w:rsidR="00C26610" w:rsidRPr="0078056B">
              <w:t>-</w:t>
            </w:r>
            <w:r w:rsidRPr="0078056B">
              <w:t xml:space="preserve">third of that going to facilitate apprenticeships in other organisations in the West Midlands Combined Authority. The University itself had </w:t>
            </w:r>
            <w:r w:rsidRPr="0078056B">
              <w:rPr>
                <w:b/>
                <w:bCs/>
                <w:color w:val="06357A" w:themeColor="text2"/>
              </w:rPr>
              <w:t>86</w:t>
            </w:r>
            <w:r w:rsidRPr="0078056B">
              <w:rPr>
                <w:b/>
                <w:bCs/>
              </w:rPr>
              <w:t xml:space="preserve"> </w:t>
            </w:r>
            <w:r w:rsidRPr="0078056B">
              <w:t>apprentices</w:t>
            </w:r>
            <w:r w:rsidRPr="0078056B">
              <w:rPr>
                <w:b/>
                <w:bCs/>
              </w:rPr>
              <w:t xml:space="preserve"> </w:t>
            </w:r>
            <w:r w:rsidRPr="0078056B">
              <w:t xml:space="preserve">in 2022, with </w:t>
            </w:r>
            <w:r w:rsidRPr="0078056B">
              <w:rPr>
                <w:b/>
                <w:bCs/>
                <w:color w:val="06357A" w:themeColor="text2"/>
              </w:rPr>
              <w:t>89%</w:t>
            </w:r>
            <w:r w:rsidRPr="0078056B">
              <w:rPr>
                <w:b/>
                <w:bCs/>
              </w:rPr>
              <w:t xml:space="preserve"> </w:t>
            </w:r>
            <w:r w:rsidRPr="0078056B">
              <w:t xml:space="preserve">of new entrants progressing into jobs at the University in 2022. In total, the University has hosted </w:t>
            </w:r>
            <w:r w:rsidRPr="0078056B">
              <w:rPr>
                <w:b/>
                <w:bCs/>
                <w:color w:val="06357A" w:themeColor="text2"/>
              </w:rPr>
              <w:t>423</w:t>
            </w:r>
            <w:r w:rsidRPr="0078056B">
              <w:rPr>
                <w:b/>
                <w:bCs/>
              </w:rPr>
              <w:t xml:space="preserve"> </w:t>
            </w:r>
            <w:r w:rsidRPr="0078056B">
              <w:t xml:space="preserve">apprentices since </w:t>
            </w:r>
            <w:r w:rsidR="00400506" w:rsidRPr="0078056B">
              <w:t xml:space="preserve">the introduction of the Levy in </w:t>
            </w:r>
            <w:r w:rsidRPr="0078056B">
              <w:t xml:space="preserve">2016, with half </w:t>
            </w:r>
            <w:r w:rsidR="00400506" w:rsidRPr="0078056B">
              <w:t xml:space="preserve">of these </w:t>
            </w:r>
            <w:r w:rsidRPr="0078056B">
              <w:t xml:space="preserve">being new entrants and half being existing staff.  </w:t>
            </w:r>
          </w:p>
        </w:tc>
      </w:tr>
    </w:tbl>
    <w:p w14:paraId="2C93DFA0" w14:textId="0C49C89F" w:rsidR="003A6119" w:rsidRPr="0078056B" w:rsidRDefault="003A6119" w:rsidP="003A6119">
      <w:pPr>
        <w:pStyle w:val="Heading2"/>
        <w:rPr>
          <w:rFonts w:asciiTheme="minorHAnsi" w:hAnsiTheme="minorHAnsi" w:cstheme="minorHAnsi"/>
        </w:rPr>
      </w:pPr>
      <w:bookmarkStart w:id="222" w:name="_Toc168652125"/>
      <w:r w:rsidRPr="0078056B">
        <w:rPr>
          <w:rFonts w:asciiTheme="minorHAnsi" w:hAnsiTheme="minorHAnsi" w:cstheme="minorHAnsi"/>
        </w:rPr>
        <w:lastRenderedPageBreak/>
        <w:t>Impact of the University’s teaching and learning activities</w:t>
      </w:r>
      <w:bookmarkEnd w:id="220"/>
      <w:bookmarkEnd w:id="221"/>
      <w:bookmarkEnd w:id="222"/>
    </w:p>
    <w:p w14:paraId="3FF6B95E" w14:textId="77777777" w:rsidR="003A6119" w:rsidRPr="0078056B" w:rsidRDefault="003A6119" w:rsidP="003A6119">
      <w:pPr>
        <w:pStyle w:val="Heading3"/>
      </w:pPr>
      <w:bookmarkStart w:id="223" w:name="_Ref143856365"/>
      <w:r w:rsidRPr="0078056B">
        <w:t>Estimated net graduate premium and net Exchequer benefit per student</w:t>
      </w:r>
      <w:bookmarkEnd w:id="223"/>
    </w:p>
    <w:p w14:paraId="7732267C" w14:textId="079B41B5" w:rsidR="003A6119" w:rsidRPr="0078056B" w:rsidRDefault="0021730A" w:rsidP="003A6119">
      <w:r w:rsidRPr="0078056B">
        <w:fldChar w:fldCharType="begin"/>
      </w:r>
      <w:r w:rsidRPr="0078056B">
        <w:instrText xml:space="preserve"> REF _Ref161750259 \r \h </w:instrText>
      </w:r>
      <w:r w:rsidR="00935E7D" w:rsidRPr="0078056B">
        <w:instrText xml:space="preserve"> \* MERGEFORMAT </w:instrText>
      </w:r>
      <w:r w:rsidRPr="0078056B">
        <w:fldChar w:fldCharType="separate"/>
      </w:r>
      <w:r w:rsidR="00E33157">
        <w:t>Table 8</w:t>
      </w:r>
      <w:r w:rsidRPr="0078056B">
        <w:fldChar w:fldCharType="end"/>
      </w:r>
      <w:r w:rsidR="003A6119" w:rsidRPr="0078056B">
        <w:rPr>
          <w:noProof/>
          <w:lang w:eastAsia="en-GB"/>
        </w:rPr>
        <mc:AlternateContent>
          <mc:Choice Requires="wps">
            <w:drawing>
              <wp:anchor distT="0" distB="0" distL="114300" distR="114300" simplePos="0" relativeHeight="251695104" behindDoc="1" locked="1" layoutInCell="0" allowOverlap="1" wp14:anchorId="436CE9C7" wp14:editId="415D53C4">
                <wp:simplePos x="0" y="0"/>
                <wp:positionH relativeFrom="margin">
                  <wp:align>right</wp:align>
                </wp:positionH>
                <wp:positionV relativeFrom="paragraph">
                  <wp:posOffset>52070</wp:posOffset>
                </wp:positionV>
                <wp:extent cx="1901190" cy="1171575"/>
                <wp:effectExtent l="38100" t="38100" r="99060" b="104775"/>
                <wp:wrapSquare wrapText="bothSides"/>
                <wp:docPr id="1042"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1171575"/>
                        </a:xfrm>
                        <a:prstGeom prst="rect">
                          <a:avLst/>
                        </a:prstGeom>
                        <a:solidFill>
                          <a:schemeClr val="tx2"/>
                        </a:solidFill>
                        <a:ln w="9525">
                          <a:noFill/>
                          <a:miter lim="800000"/>
                          <a:headEnd/>
                          <a:tailEnd/>
                        </a:ln>
                        <a:effectLst>
                          <a:outerShdw blurRad="50800" dist="38100" dir="2700000" algn="tl" rotWithShape="0">
                            <a:prstClr val="black">
                              <a:alpha val="40000"/>
                            </a:prstClr>
                          </a:outerShdw>
                        </a:effectLst>
                      </wps:spPr>
                      <wps:txbx>
                        <w:txbxContent>
                          <w:p w14:paraId="284044D4" w14:textId="77777777" w:rsidR="003A6119" w:rsidRPr="003541E0" w:rsidRDefault="003A6119" w:rsidP="003A6119">
                            <w:pPr>
                              <w:spacing w:before="60" w:after="60"/>
                              <w:jc w:val="center"/>
                              <w:rPr>
                                <w:b/>
                                <w:color w:val="FFFFFF" w:themeColor="background1"/>
                                <w:sz w:val="28"/>
                                <w:szCs w:val="28"/>
                              </w:rPr>
                            </w:pPr>
                            <w:r w:rsidRPr="0078056B">
                              <w:rPr>
                                <w:b/>
                                <w:color w:val="FFFFFF" w:themeColor="background1"/>
                                <w:sz w:val="28"/>
                                <w:szCs w:val="28"/>
                              </w:rPr>
                              <w:t>The net graduate premium for a representative full-time first degree student stands at £79,000.</w:t>
                            </w:r>
                          </w:p>
                        </w:txbxContent>
                      </wps:txbx>
                      <wps:bodyPr rot="0" vert="horz" wrap="square" lIns="18000" tIns="18000" rIns="18000" bIns="1800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36CE9C7" id="Text Box 1042" o:spid="_x0000_s1037" type="#_x0000_t202" style="position:absolute;left:0;text-align:left;margin-left:98.5pt;margin-top:4.1pt;width:149.7pt;height:92.25pt;z-index:-251621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IPagIAAMEEAAAOAAAAZHJzL2Uyb0RvYy54bWysVO9v0zAQ/Y7E/2D5O0tSKNuipdPYGEIa&#10;P8RAfL7YTmPN8RnbbTL+es5O2xX4hqhUy1fb797de9eLy2kwbKt80GgbXp2UnCkrUGq7bvi3r7cv&#10;zjgLEawEg1Y1/FEFfrl6/uxidLVaYI9GKs8IxIZ6dA3vY3R1UQTRqwHCCTpl6bBDP0Ck0K8L6WEk&#10;9MEUi7J8XYzopfMoVAj06818yFcZv+uUiJ+6LqjITMOJW8yrz2ub1mJ1AfXag+u12NGAf2AxgLaU&#10;9AB1AxHYxuu/oAYtPAbs4onAocCu00LlGqiaqvyjmvsenMq1UHOCO7Qp/D9Y8XF77z57Fqc3OJGA&#10;uYjg7lA8BGbxuge7Vlfe49grkJS4Si0rRhfq3dPU6lCHBNKOH1CSyLCJmIGmzg+pK1QnI3QS4PHQ&#10;dDVFJlLK87KiL2eCzqrqtFqeLnMOqPfPnQ/xncKBpU3DPama4WF7F2KiA/X+SsoW0Gh5q43JQXKS&#10;ujaebYE8EKfFDvy3W8ayseHny8UyA1tMz7M3Bh3JoEYPDT8r02e2TOrGWyvzlQjazHsiYmzKqrL1&#10;iF2ufkMQ970cWWs2/gvIhi9LAuNM6lTPy7NqDsiXi9M5CQOzpoGKhjOP8buOfTZD6l6CTOUeamoN&#10;iIe5Icb1MBf6as911xy6nRuFezI5OuKZNU0yzoLGqZ2YJqpVVjxp3KJ8JJWJT5aSpp42PfqfnI00&#10;QQ0PPzbgFWfmvU1OSf2ikTsO/HHQHgdgBUE1XETP2Rxcx3lQN87rdU+5ZndavCJ/dTor/8Rr50qa&#10;k1zZbqbTIB7H+dbTP8/qFwAAAP//AwBQSwMEFAAGAAgAAAAhADqoDEbbAAAABgEAAA8AAABkcnMv&#10;ZG93bnJldi54bWxMj8FOwzAQRO9I/IO1SNyoQwSlSeNUgOCEqNTCgeM23iYR8Tqy3Tb9e5YTHEcz&#10;mnlTrSY3qCOF2Hs2cDvLQBE33vbcGvj8eL1ZgIoJ2eLgmQycKcKqvryosLT+xBs6blOrpIRjiQa6&#10;lMZS69h05DDO/Egs3t4Hh0lkaLUNeJJyN+g8y+baYc+y0OFIzx0139uDMxDH+M4v5/A13xSEb2tK&#10;T9m9Neb6anpcgko0pb8w/OILOtTCtPMHtlENBuRIMrDIQYmZF8UdqJ2kivwBdF3p//j1DwAAAP//&#10;AwBQSwECLQAUAAYACAAAACEAtoM4kv4AAADhAQAAEwAAAAAAAAAAAAAAAAAAAAAAW0NvbnRlbnRf&#10;VHlwZXNdLnhtbFBLAQItABQABgAIAAAAIQA4/SH/1gAAAJQBAAALAAAAAAAAAAAAAAAAAC8BAABf&#10;cmVscy8ucmVsc1BLAQItABQABgAIAAAAIQDakSIPagIAAMEEAAAOAAAAAAAAAAAAAAAAAC4CAABk&#10;cnMvZTJvRG9jLnhtbFBLAQItABQABgAIAAAAIQA6qAxG2wAAAAYBAAAPAAAAAAAAAAAAAAAAAMQE&#10;AABkcnMvZG93bnJldi54bWxQSwUGAAAAAAQABADzAAAAzAUAAAAA&#10;" o:allowincell="f" fillcolor="#06357a [3215]" stroked="f">
                <v:shadow on="t" color="black" opacity="26214f" origin="-.5,-.5" offset=".74836mm,.74836mm"/>
                <v:textbox inset=".5mm,.5mm,.5mm,.5mm">
                  <w:txbxContent>
                    <w:p w14:paraId="284044D4" w14:textId="77777777" w:rsidR="003A6119" w:rsidRPr="003541E0" w:rsidRDefault="003A6119" w:rsidP="003A6119">
                      <w:pPr>
                        <w:spacing w:before="60" w:after="60"/>
                        <w:jc w:val="center"/>
                        <w:rPr>
                          <w:b/>
                          <w:color w:val="FFFFFF" w:themeColor="background1"/>
                          <w:sz w:val="28"/>
                          <w:szCs w:val="28"/>
                        </w:rPr>
                      </w:pPr>
                      <w:r w:rsidRPr="0078056B">
                        <w:rPr>
                          <w:b/>
                          <w:color w:val="FFFFFF" w:themeColor="background1"/>
                          <w:sz w:val="28"/>
                          <w:szCs w:val="28"/>
                        </w:rPr>
                        <w:t>The net graduate premium for a representative full-time first degree student stands at £79,000.</w:t>
                      </w:r>
                    </w:p>
                  </w:txbxContent>
                </v:textbox>
                <w10:wrap type="square" anchorx="margin"/>
                <w10:anchorlock/>
              </v:shape>
            </w:pict>
          </mc:Fallback>
        </mc:AlternateContent>
      </w:r>
      <w:r w:rsidR="003A6119" w:rsidRPr="0078056B">
        <w:t xml:space="preserve"> presents the net graduate premiums and net Exchequer benefits achieved by UK domiciled students</w:t>
      </w:r>
      <w:r w:rsidR="003A6119" w:rsidRPr="0078056B">
        <w:rPr>
          <w:rStyle w:val="FootnoteReference"/>
        </w:rPr>
        <w:footnoteReference w:id="43"/>
      </w:r>
      <w:r w:rsidR="003A6119" w:rsidRPr="0078056B">
        <w:t xml:space="preserve"> starting qualifications at the University of Birmingham in the 2021-22 academic year (by study mode, on average across men and women</w:t>
      </w:r>
      <w:r w:rsidR="003A6119" w:rsidRPr="0078056B">
        <w:rPr>
          <w:rStyle w:val="FootnoteReference"/>
        </w:rPr>
        <w:footnoteReference w:id="44"/>
      </w:r>
      <w:r w:rsidR="003A6119" w:rsidRPr="0078056B">
        <w:t xml:space="preserve">, and on average across students from all domiciles). </w:t>
      </w:r>
    </w:p>
    <w:p w14:paraId="59FB4CFF" w14:textId="32C58F36" w:rsidR="003A6119" w:rsidRPr="0078056B" w:rsidRDefault="003A6119" w:rsidP="003A6119">
      <w:r w:rsidRPr="0078056B">
        <w:t xml:space="preserve">The analysis indicates that the estimated </w:t>
      </w:r>
      <w:r w:rsidRPr="0078056B">
        <w:rPr>
          <w:rFonts w:asciiTheme="minorHAnsi" w:hAnsiTheme="minorHAnsi"/>
          <w:b/>
          <w:color w:val="06357A"/>
        </w:rPr>
        <w:t>net graduate premium</w:t>
      </w:r>
      <w:r w:rsidRPr="0078056B">
        <w:rPr>
          <w:color w:val="0B5ED7" w:themeColor="accent2"/>
        </w:rPr>
        <w:t xml:space="preserve"> </w:t>
      </w:r>
      <w:r w:rsidRPr="0078056B">
        <w:t>achieved by a representative</w:t>
      </w:r>
      <w:r w:rsidRPr="0078056B">
        <w:rPr>
          <w:vertAlign w:val="superscript"/>
        </w:rPr>
        <w:footnoteReference w:id="45"/>
      </w:r>
      <w:r w:rsidRPr="0078056B">
        <w:t xml:space="preserve"> student in the 2021-22 cohort completing a </w:t>
      </w:r>
      <w:r w:rsidRPr="0078056B">
        <w:rPr>
          <w:rFonts w:asciiTheme="minorHAnsi" w:hAnsiTheme="minorHAnsi"/>
          <w:b/>
          <w:color w:val="06357A"/>
        </w:rPr>
        <w:t>full-time first degree</w:t>
      </w:r>
      <w:r w:rsidRPr="0078056B">
        <w:rPr>
          <w:color w:val="0B5ED7" w:themeColor="accent2"/>
        </w:rPr>
        <w:t xml:space="preserve"> </w:t>
      </w:r>
      <w:r w:rsidRPr="0078056B">
        <w:t xml:space="preserve">at the University of Birmingham </w:t>
      </w:r>
      <w:r w:rsidRPr="0078056B">
        <w:rPr>
          <w:rFonts w:asciiTheme="minorHAnsi" w:hAnsiTheme="minorHAnsi"/>
          <w:szCs w:val="16"/>
        </w:rPr>
        <w:t>(</w:t>
      </w:r>
      <w:r w:rsidRPr="0078056B">
        <w:t>with a</w:t>
      </w:r>
      <w:r w:rsidR="00C26610" w:rsidRPr="0078056B">
        <w:t>n</w:t>
      </w:r>
      <w:r w:rsidRPr="0078056B">
        <w:t xml:space="preserve"> RQF Level 3 qualification as their highest level of prior attainment</w:t>
      </w:r>
      <w:r w:rsidRPr="0078056B">
        <w:rPr>
          <w:rStyle w:val="FootnoteReference"/>
        </w:rPr>
        <w:footnoteReference w:id="46"/>
      </w:r>
      <w:r w:rsidRPr="0078056B">
        <w:t xml:space="preserve">) is approximately </w:t>
      </w:r>
      <w:r w:rsidRPr="0078056B">
        <w:rPr>
          <w:rFonts w:asciiTheme="minorHAnsi" w:hAnsiTheme="minorHAnsi"/>
          <w:b/>
          <w:color w:val="06357A"/>
        </w:rPr>
        <w:t>£79,000</w:t>
      </w:r>
      <w:r w:rsidRPr="0078056B">
        <w:t xml:space="preserve"> in today’s money terms. At postgraduate level, the net (post)graduate premiums for a representative</w:t>
      </w:r>
      <w:r w:rsidRPr="0078056B">
        <w:rPr>
          <w:rStyle w:val="FootnoteReference"/>
        </w:rPr>
        <w:footnoteReference w:id="47"/>
      </w:r>
      <w:r w:rsidRPr="0078056B">
        <w:t xml:space="preserve"> student completing a full-time postgraduate taught or postgraduate research degree at the University of Birmingham (relative to a first degree) stand at approximately </w:t>
      </w:r>
      <w:r w:rsidRPr="0078056B">
        <w:rPr>
          <w:rFonts w:asciiTheme="minorHAnsi" w:hAnsiTheme="minorHAnsi"/>
          <w:b/>
          <w:color w:val="06357A"/>
        </w:rPr>
        <w:t>£59,000</w:t>
      </w:r>
      <w:r w:rsidRPr="0078056B">
        <w:t xml:space="preserve"> and </w:t>
      </w:r>
      <w:r w:rsidRPr="0078056B">
        <w:rPr>
          <w:rFonts w:asciiTheme="minorHAnsi" w:hAnsiTheme="minorHAnsi"/>
          <w:b/>
          <w:color w:val="06357A"/>
        </w:rPr>
        <w:t>£109,000</w:t>
      </w:r>
      <w:r w:rsidRPr="0078056B">
        <w:t xml:space="preserve">, respectively. </w:t>
      </w:r>
    </w:p>
    <w:p w14:paraId="18C5A67C" w14:textId="3424CDD2" w:rsidR="003A6119" w:rsidRPr="0078056B" w:rsidRDefault="0021730A" w:rsidP="0021730A">
      <w:pPr>
        <w:pStyle w:val="TableTitle"/>
      </w:pPr>
      <w:bookmarkStart w:id="224" w:name="_Ref161750259"/>
      <w:bookmarkStart w:id="225" w:name="_Toc168652163"/>
      <w:r w:rsidRPr="0078056B">
        <w:t>Net graduate premium and net Exchequer benefit per UK domiciled student at the University of Birmingham, by study level and mode</w:t>
      </w:r>
      <w:bookmarkEnd w:id="224"/>
      <w:bookmarkEnd w:id="225"/>
    </w:p>
    <w:tbl>
      <w:tblPr>
        <w:tblW w:w="5000" w:type="pct"/>
        <w:tblBorders>
          <w:top w:val="single" w:sz="4" w:space="0" w:color="BFBFBF"/>
          <w:bottom w:val="single" w:sz="4" w:space="0" w:color="BFBFBF"/>
          <w:insideH w:val="single" w:sz="4" w:space="0" w:color="BFBFBF"/>
          <w:insideV w:val="single" w:sz="4" w:space="0" w:color="BFBFBF"/>
        </w:tblBorders>
        <w:tblCellMar>
          <w:left w:w="0" w:type="dxa"/>
          <w:right w:w="0" w:type="dxa"/>
        </w:tblCellMar>
        <w:tblLook w:val="0000" w:firstRow="0" w:lastRow="0" w:firstColumn="0" w:lastColumn="0" w:noHBand="0" w:noVBand="0"/>
      </w:tblPr>
      <w:tblGrid>
        <w:gridCol w:w="2264"/>
        <w:gridCol w:w="1645"/>
        <w:gridCol w:w="1645"/>
        <w:gridCol w:w="1645"/>
        <w:gridCol w:w="1645"/>
      </w:tblGrid>
      <w:tr w:rsidR="003A6119" w:rsidRPr="0078056B" w14:paraId="0C1AC6A7" w14:textId="77777777" w:rsidTr="000A186C">
        <w:trPr>
          <w:trHeight w:val="283"/>
        </w:trPr>
        <w:tc>
          <w:tcPr>
            <w:tcW w:w="1280" w:type="pct"/>
            <w:vMerge w:val="restart"/>
            <w:tcBorders>
              <w:top w:val="single" w:sz="4" w:space="0" w:color="06357A"/>
            </w:tcBorders>
            <w:shd w:val="clear" w:color="auto" w:fill="auto"/>
            <w:vAlign w:val="center"/>
          </w:tcPr>
          <w:p w14:paraId="7190A056" w14:textId="77777777" w:rsidR="003A6119" w:rsidRPr="0078056B" w:rsidRDefault="003A6119" w:rsidP="000A186C">
            <w:pPr>
              <w:pStyle w:val="TableHeading"/>
              <w:keepNext/>
              <w:ind w:left="57" w:right="57"/>
              <w:rPr>
                <w:b w:val="0"/>
                <w:szCs w:val="20"/>
              </w:rPr>
            </w:pPr>
            <w:r w:rsidRPr="0078056B">
              <w:rPr>
                <w:szCs w:val="20"/>
              </w:rPr>
              <w:t>Level of study</w:t>
            </w:r>
          </w:p>
        </w:tc>
        <w:tc>
          <w:tcPr>
            <w:tcW w:w="1860" w:type="pct"/>
            <w:gridSpan w:val="2"/>
            <w:tcBorders>
              <w:top w:val="single" w:sz="4" w:space="0" w:color="06357A"/>
              <w:bottom w:val="single" w:sz="4" w:space="0" w:color="06357A"/>
            </w:tcBorders>
            <w:shd w:val="clear" w:color="auto" w:fill="0B5ED7"/>
            <w:vAlign w:val="center"/>
          </w:tcPr>
          <w:p w14:paraId="5463F369" w14:textId="77777777" w:rsidR="003A6119" w:rsidRPr="0078056B" w:rsidRDefault="003A6119" w:rsidP="000A186C">
            <w:pPr>
              <w:pStyle w:val="TableHeading"/>
              <w:keepNext/>
              <w:ind w:left="57" w:right="57"/>
              <w:jc w:val="center"/>
              <w:rPr>
                <w:b w:val="0"/>
                <w:color w:val="FFFFFF" w:themeColor="background1"/>
                <w:szCs w:val="20"/>
              </w:rPr>
            </w:pPr>
            <w:r w:rsidRPr="0078056B">
              <w:rPr>
                <w:color w:val="FFFFFF" w:themeColor="background1"/>
                <w:szCs w:val="20"/>
              </w:rPr>
              <w:t>Net graduate premium</w:t>
            </w:r>
          </w:p>
        </w:tc>
        <w:tc>
          <w:tcPr>
            <w:tcW w:w="1860" w:type="pct"/>
            <w:gridSpan w:val="2"/>
            <w:tcBorders>
              <w:top w:val="single" w:sz="4" w:space="0" w:color="06357A"/>
              <w:bottom w:val="single" w:sz="4" w:space="0" w:color="06357A"/>
            </w:tcBorders>
            <w:shd w:val="clear" w:color="auto" w:fill="06357A" w:themeFill="text2"/>
            <w:vAlign w:val="center"/>
          </w:tcPr>
          <w:p w14:paraId="197DD9D7" w14:textId="77777777" w:rsidR="003A6119" w:rsidRPr="0078056B" w:rsidRDefault="003A6119" w:rsidP="000A186C">
            <w:pPr>
              <w:pStyle w:val="TableHeading"/>
              <w:keepNext/>
              <w:ind w:left="57" w:right="57"/>
              <w:jc w:val="center"/>
              <w:rPr>
                <w:b w:val="0"/>
                <w:color w:val="FFFFFF" w:themeColor="background1"/>
                <w:szCs w:val="20"/>
              </w:rPr>
            </w:pPr>
            <w:r w:rsidRPr="0078056B">
              <w:rPr>
                <w:color w:val="FFFFFF" w:themeColor="background1"/>
                <w:szCs w:val="20"/>
              </w:rPr>
              <w:t>Net public purse benefit</w:t>
            </w:r>
          </w:p>
        </w:tc>
      </w:tr>
      <w:tr w:rsidR="003A6119" w:rsidRPr="0078056B" w14:paraId="6259D591" w14:textId="77777777" w:rsidTr="000A186C">
        <w:trPr>
          <w:trHeight w:val="283"/>
        </w:trPr>
        <w:tc>
          <w:tcPr>
            <w:tcW w:w="1280" w:type="pct"/>
            <w:vMerge/>
            <w:tcBorders>
              <w:bottom w:val="single" w:sz="4" w:space="0" w:color="06357A"/>
            </w:tcBorders>
            <w:shd w:val="clear" w:color="auto" w:fill="auto"/>
            <w:vAlign w:val="center"/>
          </w:tcPr>
          <w:p w14:paraId="7A43BB52" w14:textId="77777777" w:rsidR="003A6119" w:rsidRPr="0078056B" w:rsidRDefault="003A6119" w:rsidP="000A186C">
            <w:pPr>
              <w:pStyle w:val="TableHeading"/>
              <w:keepNext/>
              <w:ind w:left="57" w:right="57"/>
              <w:rPr>
                <w:szCs w:val="20"/>
              </w:rPr>
            </w:pPr>
          </w:p>
        </w:tc>
        <w:tc>
          <w:tcPr>
            <w:tcW w:w="930" w:type="pct"/>
            <w:tcBorders>
              <w:top w:val="single" w:sz="4" w:space="0" w:color="06357A"/>
              <w:bottom w:val="single" w:sz="4" w:space="0" w:color="06357A"/>
            </w:tcBorders>
            <w:shd w:val="clear" w:color="auto" w:fill="auto"/>
            <w:vAlign w:val="center"/>
          </w:tcPr>
          <w:p w14:paraId="13764402" w14:textId="77777777" w:rsidR="003A6119" w:rsidRPr="0078056B" w:rsidRDefault="003A6119" w:rsidP="000A186C">
            <w:pPr>
              <w:pStyle w:val="TableHeading"/>
              <w:keepNext/>
              <w:ind w:left="57" w:right="57"/>
              <w:jc w:val="center"/>
              <w:rPr>
                <w:szCs w:val="20"/>
              </w:rPr>
            </w:pPr>
            <w:r w:rsidRPr="0078056B">
              <w:rPr>
                <w:szCs w:val="20"/>
              </w:rPr>
              <w:t xml:space="preserve">Full-time </w:t>
            </w:r>
          </w:p>
          <w:p w14:paraId="3B1BC716" w14:textId="77777777" w:rsidR="003A6119" w:rsidRPr="0078056B" w:rsidRDefault="003A6119" w:rsidP="000A186C">
            <w:pPr>
              <w:pStyle w:val="TableHeading"/>
              <w:keepNext/>
              <w:ind w:left="57" w:right="57"/>
              <w:jc w:val="center"/>
              <w:rPr>
                <w:b w:val="0"/>
                <w:szCs w:val="20"/>
              </w:rPr>
            </w:pPr>
            <w:r w:rsidRPr="0078056B">
              <w:rPr>
                <w:szCs w:val="20"/>
              </w:rPr>
              <w:t>students</w:t>
            </w:r>
          </w:p>
        </w:tc>
        <w:tc>
          <w:tcPr>
            <w:tcW w:w="930" w:type="pct"/>
            <w:tcBorders>
              <w:top w:val="single" w:sz="4" w:space="0" w:color="06357A"/>
              <w:bottom w:val="single" w:sz="4" w:space="0" w:color="06357A"/>
            </w:tcBorders>
            <w:shd w:val="clear" w:color="auto" w:fill="auto"/>
            <w:vAlign w:val="center"/>
          </w:tcPr>
          <w:p w14:paraId="33B15FF9" w14:textId="77777777" w:rsidR="003A6119" w:rsidRPr="0078056B" w:rsidRDefault="003A6119" w:rsidP="000A186C">
            <w:pPr>
              <w:pStyle w:val="TableHeading"/>
              <w:keepNext/>
              <w:ind w:left="57" w:right="57"/>
              <w:jc w:val="center"/>
              <w:rPr>
                <w:b w:val="0"/>
                <w:szCs w:val="20"/>
              </w:rPr>
            </w:pPr>
            <w:r w:rsidRPr="0078056B">
              <w:rPr>
                <w:szCs w:val="20"/>
              </w:rPr>
              <w:t>Part-time students</w:t>
            </w:r>
          </w:p>
        </w:tc>
        <w:tc>
          <w:tcPr>
            <w:tcW w:w="930" w:type="pct"/>
            <w:tcBorders>
              <w:top w:val="single" w:sz="4" w:space="0" w:color="06357A"/>
              <w:bottom w:val="single" w:sz="4" w:space="0" w:color="06357A"/>
            </w:tcBorders>
            <w:vAlign w:val="center"/>
          </w:tcPr>
          <w:p w14:paraId="36BBAA26" w14:textId="77777777" w:rsidR="003A6119" w:rsidRPr="0078056B" w:rsidRDefault="003A6119" w:rsidP="000A186C">
            <w:pPr>
              <w:pStyle w:val="TableHeading"/>
              <w:keepNext/>
              <w:ind w:left="57" w:right="57"/>
              <w:jc w:val="center"/>
              <w:rPr>
                <w:szCs w:val="20"/>
              </w:rPr>
            </w:pPr>
            <w:r w:rsidRPr="0078056B">
              <w:rPr>
                <w:szCs w:val="20"/>
              </w:rPr>
              <w:t xml:space="preserve">Full-time </w:t>
            </w:r>
          </w:p>
          <w:p w14:paraId="587B53B6" w14:textId="77777777" w:rsidR="003A6119" w:rsidRPr="0078056B" w:rsidRDefault="003A6119" w:rsidP="000A186C">
            <w:pPr>
              <w:pStyle w:val="TableHeading"/>
              <w:keepNext/>
              <w:ind w:left="57" w:right="57"/>
              <w:jc w:val="center"/>
              <w:rPr>
                <w:szCs w:val="20"/>
              </w:rPr>
            </w:pPr>
            <w:r w:rsidRPr="0078056B">
              <w:rPr>
                <w:szCs w:val="20"/>
              </w:rPr>
              <w:t>students</w:t>
            </w:r>
          </w:p>
        </w:tc>
        <w:tc>
          <w:tcPr>
            <w:tcW w:w="930" w:type="pct"/>
            <w:tcBorders>
              <w:top w:val="single" w:sz="4" w:space="0" w:color="06357A"/>
              <w:bottom w:val="single" w:sz="4" w:space="0" w:color="06357A"/>
            </w:tcBorders>
            <w:shd w:val="clear" w:color="auto" w:fill="auto"/>
            <w:vAlign w:val="center"/>
          </w:tcPr>
          <w:p w14:paraId="0E475A24" w14:textId="77777777" w:rsidR="003A6119" w:rsidRPr="0078056B" w:rsidRDefault="003A6119" w:rsidP="000A186C">
            <w:pPr>
              <w:pStyle w:val="TableHeading"/>
              <w:keepNext/>
              <w:ind w:left="57" w:right="57"/>
              <w:jc w:val="center"/>
              <w:rPr>
                <w:b w:val="0"/>
                <w:szCs w:val="20"/>
              </w:rPr>
            </w:pPr>
            <w:r w:rsidRPr="0078056B">
              <w:rPr>
                <w:szCs w:val="20"/>
              </w:rPr>
              <w:t>Part-time students</w:t>
            </w:r>
          </w:p>
        </w:tc>
      </w:tr>
      <w:tr w:rsidR="003A6119" w:rsidRPr="0078056B" w14:paraId="4BDB86D1" w14:textId="77777777" w:rsidTr="000A186C">
        <w:trPr>
          <w:trHeight w:val="283"/>
        </w:trPr>
        <w:tc>
          <w:tcPr>
            <w:tcW w:w="1280" w:type="pct"/>
            <w:tcBorders>
              <w:top w:val="single" w:sz="4" w:space="0" w:color="06357A"/>
              <w:bottom w:val="single" w:sz="4" w:space="0" w:color="D9D9D9" w:themeColor="background1" w:themeShade="D9"/>
            </w:tcBorders>
            <w:shd w:val="clear" w:color="auto" w:fill="auto"/>
            <w:vAlign w:val="center"/>
          </w:tcPr>
          <w:p w14:paraId="2B630840" w14:textId="77777777" w:rsidR="003A6119" w:rsidRPr="0078056B" w:rsidRDefault="003A6119" w:rsidP="000A186C">
            <w:pPr>
              <w:pStyle w:val="TableText"/>
              <w:keepNext/>
              <w:ind w:left="57" w:right="57"/>
              <w:rPr>
                <w:szCs w:val="20"/>
                <w:vertAlign w:val="superscript"/>
              </w:rPr>
            </w:pPr>
            <w:r w:rsidRPr="0078056B">
              <w:rPr>
                <w:szCs w:val="20"/>
              </w:rPr>
              <w:t>Other undergraduate</w:t>
            </w:r>
            <w:r w:rsidRPr="0078056B">
              <w:rPr>
                <w:szCs w:val="20"/>
                <w:vertAlign w:val="superscript"/>
              </w:rPr>
              <w:t>1</w:t>
            </w:r>
          </w:p>
        </w:tc>
        <w:tc>
          <w:tcPr>
            <w:tcW w:w="930" w:type="pct"/>
            <w:tcBorders>
              <w:top w:val="single" w:sz="4" w:space="0" w:color="06357A"/>
              <w:bottom w:val="single" w:sz="4" w:space="0" w:color="D9D9D9" w:themeColor="background1" w:themeShade="D9"/>
            </w:tcBorders>
            <w:shd w:val="clear" w:color="auto" w:fill="auto"/>
          </w:tcPr>
          <w:p w14:paraId="11403A4C" w14:textId="77777777" w:rsidR="003A6119" w:rsidRPr="0078056B" w:rsidRDefault="003A6119" w:rsidP="000A186C">
            <w:pPr>
              <w:pStyle w:val="TableText"/>
              <w:keepNext/>
              <w:ind w:left="57" w:right="57"/>
              <w:jc w:val="center"/>
              <w:rPr>
                <w:rFonts w:cs="Calibri"/>
                <w:color w:val="000000"/>
                <w:szCs w:val="20"/>
              </w:rPr>
            </w:pPr>
            <w:r w:rsidRPr="0078056B">
              <w:t>£67,000</w:t>
            </w:r>
          </w:p>
        </w:tc>
        <w:tc>
          <w:tcPr>
            <w:tcW w:w="930" w:type="pct"/>
            <w:tcBorders>
              <w:top w:val="single" w:sz="4" w:space="0" w:color="06357A"/>
              <w:bottom w:val="single" w:sz="4" w:space="0" w:color="D9D9D9" w:themeColor="background1" w:themeShade="D9"/>
            </w:tcBorders>
            <w:shd w:val="clear" w:color="auto" w:fill="auto"/>
          </w:tcPr>
          <w:p w14:paraId="68092E2E" w14:textId="77777777" w:rsidR="003A6119" w:rsidRPr="0078056B" w:rsidRDefault="003A6119" w:rsidP="000A186C">
            <w:pPr>
              <w:pStyle w:val="TableText"/>
              <w:keepNext/>
              <w:ind w:left="57" w:right="57"/>
              <w:jc w:val="center"/>
              <w:rPr>
                <w:rFonts w:cs="Calibri"/>
                <w:color w:val="000000"/>
                <w:szCs w:val="20"/>
              </w:rPr>
            </w:pPr>
            <w:r w:rsidRPr="0078056B">
              <w:rPr>
                <w:rFonts w:cs="Calibri"/>
                <w:color w:val="000000"/>
                <w:szCs w:val="20"/>
              </w:rPr>
              <w:t>£86,000</w:t>
            </w:r>
          </w:p>
        </w:tc>
        <w:tc>
          <w:tcPr>
            <w:tcW w:w="930" w:type="pct"/>
            <w:tcBorders>
              <w:top w:val="single" w:sz="4" w:space="0" w:color="06357A"/>
              <w:bottom w:val="single" w:sz="4" w:space="0" w:color="D9D9D9" w:themeColor="background1" w:themeShade="D9"/>
            </w:tcBorders>
          </w:tcPr>
          <w:p w14:paraId="433D79DF" w14:textId="77777777" w:rsidR="003A6119" w:rsidRPr="0078056B" w:rsidRDefault="003A6119" w:rsidP="000A186C">
            <w:pPr>
              <w:pStyle w:val="TableText"/>
              <w:keepNext/>
              <w:ind w:left="57" w:right="57"/>
              <w:jc w:val="center"/>
              <w:rPr>
                <w:rFonts w:cs="Calibri"/>
                <w:color w:val="000000"/>
                <w:szCs w:val="20"/>
              </w:rPr>
            </w:pPr>
            <w:r w:rsidRPr="0078056B">
              <w:t>£57,000</w:t>
            </w:r>
          </w:p>
        </w:tc>
        <w:tc>
          <w:tcPr>
            <w:tcW w:w="930" w:type="pct"/>
            <w:tcBorders>
              <w:top w:val="single" w:sz="4" w:space="0" w:color="06357A"/>
              <w:bottom w:val="single" w:sz="4" w:space="0" w:color="D9D9D9" w:themeColor="background1" w:themeShade="D9"/>
            </w:tcBorders>
            <w:shd w:val="clear" w:color="auto" w:fill="auto"/>
          </w:tcPr>
          <w:p w14:paraId="28792DB7" w14:textId="77777777" w:rsidR="003A6119" w:rsidRPr="0078056B" w:rsidRDefault="003A6119" w:rsidP="000A186C">
            <w:pPr>
              <w:pStyle w:val="TableText"/>
              <w:keepNext/>
              <w:ind w:left="57" w:right="57"/>
              <w:jc w:val="center"/>
              <w:rPr>
                <w:rFonts w:cs="Calibri"/>
                <w:color w:val="000000"/>
                <w:szCs w:val="20"/>
              </w:rPr>
            </w:pPr>
            <w:r w:rsidRPr="0078056B">
              <w:t>£68,000</w:t>
            </w:r>
          </w:p>
        </w:tc>
      </w:tr>
      <w:tr w:rsidR="003A6119" w:rsidRPr="0078056B" w14:paraId="6BD0C4BE" w14:textId="77777777" w:rsidTr="000A186C">
        <w:trPr>
          <w:trHeight w:val="283"/>
        </w:trPr>
        <w:tc>
          <w:tcPr>
            <w:tcW w:w="1280" w:type="pct"/>
            <w:shd w:val="clear" w:color="auto" w:fill="auto"/>
            <w:vAlign w:val="center"/>
          </w:tcPr>
          <w:p w14:paraId="3FCFE8C0" w14:textId="77777777" w:rsidR="003A6119" w:rsidRPr="0078056B" w:rsidRDefault="003A6119" w:rsidP="000A186C">
            <w:pPr>
              <w:pStyle w:val="TableText"/>
              <w:keepNext/>
              <w:ind w:left="57" w:right="57"/>
              <w:rPr>
                <w:szCs w:val="20"/>
              </w:rPr>
            </w:pPr>
            <w:r w:rsidRPr="0078056B">
              <w:rPr>
                <w:szCs w:val="20"/>
              </w:rPr>
              <w:t>First degree</w:t>
            </w:r>
            <w:r w:rsidRPr="0078056B">
              <w:rPr>
                <w:szCs w:val="20"/>
                <w:vertAlign w:val="superscript"/>
              </w:rPr>
              <w:t>1</w:t>
            </w:r>
          </w:p>
        </w:tc>
        <w:tc>
          <w:tcPr>
            <w:tcW w:w="930" w:type="pct"/>
            <w:shd w:val="clear" w:color="auto" w:fill="auto"/>
          </w:tcPr>
          <w:p w14:paraId="2620EC03" w14:textId="77777777" w:rsidR="003A6119" w:rsidRPr="0078056B" w:rsidRDefault="003A6119" w:rsidP="000A186C">
            <w:pPr>
              <w:pStyle w:val="TableText"/>
              <w:keepNext/>
              <w:ind w:left="57" w:right="57"/>
              <w:jc w:val="center"/>
              <w:rPr>
                <w:rFonts w:cs="Calibri"/>
                <w:color w:val="000000"/>
                <w:szCs w:val="20"/>
              </w:rPr>
            </w:pPr>
            <w:r w:rsidRPr="0078056B">
              <w:t>£79,000</w:t>
            </w:r>
          </w:p>
        </w:tc>
        <w:tc>
          <w:tcPr>
            <w:tcW w:w="930" w:type="pct"/>
            <w:shd w:val="clear" w:color="auto" w:fill="auto"/>
          </w:tcPr>
          <w:p w14:paraId="580AF5E5" w14:textId="77777777" w:rsidR="003A6119" w:rsidRPr="0078056B" w:rsidRDefault="003A6119" w:rsidP="000A186C">
            <w:pPr>
              <w:pStyle w:val="TableText"/>
              <w:keepNext/>
              <w:ind w:left="57" w:right="57"/>
              <w:jc w:val="center"/>
              <w:rPr>
                <w:rFonts w:cs="Calibri"/>
                <w:color w:val="000000"/>
                <w:szCs w:val="20"/>
              </w:rPr>
            </w:pPr>
            <w:r w:rsidRPr="0078056B">
              <w:rPr>
                <w:rFonts w:cs="Calibri"/>
                <w:color w:val="000000"/>
                <w:szCs w:val="20"/>
              </w:rPr>
              <w:t>-</w:t>
            </w:r>
          </w:p>
        </w:tc>
        <w:tc>
          <w:tcPr>
            <w:tcW w:w="930" w:type="pct"/>
          </w:tcPr>
          <w:p w14:paraId="378844FB" w14:textId="77777777" w:rsidR="003A6119" w:rsidRPr="0078056B" w:rsidRDefault="003A6119" w:rsidP="000A186C">
            <w:pPr>
              <w:pStyle w:val="TableText"/>
              <w:keepNext/>
              <w:ind w:left="57" w:right="57"/>
              <w:jc w:val="center"/>
              <w:rPr>
                <w:rFonts w:cs="Calibri"/>
                <w:color w:val="000000"/>
                <w:szCs w:val="20"/>
              </w:rPr>
            </w:pPr>
            <w:r w:rsidRPr="0078056B">
              <w:t>£78,000</w:t>
            </w:r>
          </w:p>
        </w:tc>
        <w:tc>
          <w:tcPr>
            <w:tcW w:w="930" w:type="pct"/>
            <w:shd w:val="clear" w:color="auto" w:fill="auto"/>
          </w:tcPr>
          <w:p w14:paraId="01CB3584" w14:textId="77777777" w:rsidR="003A6119" w:rsidRPr="0078056B" w:rsidRDefault="003A6119" w:rsidP="000A186C">
            <w:pPr>
              <w:pStyle w:val="TableText"/>
              <w:keepNext/>
              <w:ind w:left="57" w:right="57"/>
              <w:jc w:val="center"/>
              <w:rPr>
                <w:rFonts w:cs="Calibri"/>
                <w:color w:val="000000"/>
                <w:szCs w:val="20"/>
              </w:rPr>
            </w:pPr>
            <w:r w:rsidRPr="0078056B">
              <w:rPr>
                <w:rFonts w:cs="Calibri"/>
                <w:color w:val="000000"/>
                <w:szCs w:val="20"/>
              </w:rPr>
              <w:t>-</w:t>
            </w:r>
          </w:p>
        </w:tc>
      </w:tr>
      <w:tr w:rsidR="003A6119" w:rsidRPr="0078056B" w14:paraId="2A594649" w14:textId="77777777" w:rsidTr="000A186C">
        <w:trPr>
          <w:trHeight w:val="283"/>
        </w:trPr>
        <w:tc>
          <w:tcPr>
            <w:tcW w:w="1280" w:type="pct"/>
            <w:shd w:val="clear" w:color="auto" w:fill="auto"/>
            <w:vAlign w:val="center"/>
          </w:tcPr>
          <w:p w14:paraId="4318AB48" w14:textId="77777777" w:rsidR="003A6119" w:rsidRPr="0078056B" w:rsidRDefault="003A6119" w:rsidP="000A186C">
            <w:pPr>
              <w:pStyle w:val="TableText"/>
              <w:keepNext/>
              <w:ind w:left="57" w:right="57"/>
              <w:rPr>
                <w:szCs w:val="20"/>
              </w:rPr>
            </w:pPr>
            <w:r w:rsidRPr="0078056B">
              <w:rPr>
                <w:szCs w:val="20"/>
              </w:rPr>
              <w:t>Other postgraduate</w:t>
            </w:r>
            <w:r w:rsidRPr="0078056B">
              <w:rPr>
                <w:szCs w:val="20"/>
                <w:vertAlign w:val="superscript"/>
              </w:rPr>
              <w:t>2</w:t>
            </w:r>
          </w:p>
        </w:tc>
        <w:tc>
          <w:tcPr>
            <w:tcW w:w="930" w:type="pct"/>
            <w:shd w:val="clear" w:color="auto" w:fill="auto"/>
          </w:tcPr>
          <w:p w14:paraId="246FB61C" w14:textId="77777777" w:rsidR="003A6119" w:rsidRPr="0078056B" w:rsidRDefault="003A6119" w:rsidP="000A186C">
            <w:pPr>
              <w:pStyle w:val="TableText"/>
              <w:keepNext/>
              <w:ind w:left="57" w:right="57"/>
              <w:jc w:val="center"/>
              <w:rPr>
                <w:rFonts w:cs="Calibri"/>
                <w:color w:val="FF0000"/>
                <w:szCs w:val="20"/>
              </w:rPr>
            </w:pPr>
            <w:r w:rsidRPr="0078056B">
              <w:t>£22,000</w:t>
            </w:r>
          </w:p>
        </w:tc>
        <w:tc>
          <w:tcPr>
            <w:tcW w:w="930" w:type="pct"/>
            <w:shd w:val="clear" w:color="auto" w:fill="auto"/>
          </w:tcPr>
          <w:p w14:paraId="6CAA188D" w14:textId="77777777" w:rsidR="003A6119" w:rsidRPr="0078056B" w:rsidRDefault="003A6119" w:rsidP="000A186C">
            <w:pPr>
              <w:pStyle w:val="TableText"/>
              <w:keepNext/>
              <w:ind w:left="57" w:right="57"/>
              <w:jc w:val="center"/>
              <w:rPr>
                <w:rFonts w:cs="Calibri"/>
                <w:color w:val="FF0000"/>
                <w:szCs w:val="20"/>
              </w:rPr>
            </w:pPr>
            <w:r w:rsidRPr="0078056B">
              <w:t>£23,000</w:t>
            </w:r>
          </w:p>
        </w:tc>
        <w:tc>
          <w:tcPr>
            <w:tcW w:w="930" w:type="pct"/>
          </w:tcPr>
          <w:p w14:paraId="547CC4E5" w14:textId="77777777" w:rsidR="003A6119" w:rsidRPr="0078056B" w:rsidRDefault="003A6119" w:rsidP="000A186C">
            <w:pPr>
              <w:pStyle w:val="TableText"/>
              <w:keepNext/>
              <w:ind w:left="57" w:right="57"/>
              <w:jc w:val="center"/>
              <w:rPr>
                <w:rFonts w:cs="Calibri"/>
                <w:color w:val="000000"/>
                <w:szCs w:val="20"/>
              </w:rPr>
            </w:pPr>
            <w:r w:rsidRPr="0078056B">
              <w:t>£31,000</w:t>
            </w:r>
          </w:p>
        </w:tc>
        <w:tc>
          <w:tcPr>
            <w:tcW w:w="930" w:type="pct"/>
            <w:shd w:val="clear" w:color="auto" w:fill="auto"/>
          </w:tcPr>
          <w:p w14:paraId="519A5FC7" w14:textId="77777777" w:rsidR="003A6119" w:rsidRPr="0078056B" w:rsidRDefault="003A6119" w:rsidP="000A186C">
            <w:pPr>
              <w:pStyle w:val="TableText"/>
              <w:keepNext/>
              <w:ind w:left="57" w:right="57"/>
              <w:jc w:val="center"/>
              <w:rPr>
                <w:rFonts w:cs="Calibri"/>
                <w:color w:val="000000"/>
                <w:szCs w:val="20"/>
              </w:rPr>
            </w:pPr>
            <w:r w:rsidRPr="0078056B">
              <w:t>£25,000</w:t>
            </w:r>
          </w:p>
        </w:tc>
      </w:tr>
      <w:tr w:rsidR="003A6119" w:rsidRPr="0078056B" w14:paraId="698A324A" w14:textId="77777777" w:rsidTr="000A186C">
        <w:trPr>
          <w:trHeight w:val="283"/>
        </w:trPr>
        <w:tc>
          <w:tcPr>
            <w:tcW w:w="1280" w:type="pct"/>
            <w:shd w:val="clear" w:color="auto" w:fill="auto"/>
            <w:vAlign w:val="center"/>
          </w:tcPr>
          <w:p w14:paraId="3DEA3510" w14:textId="77777777" w:rsidR="003A6119" w:rsidRPr="0078056B" w:rsidRDefault="003A6119" w:rsidP="000A186C">
            <w:pPr>
              <w:pStyle w:val="TableText"/>
              <w:keepNext/>
              <w:ind w:left="57" w:right="57"/>
              <w:rPr>
                <w:szCs w:val="20"/>
                <w:vertAlign w:val="superscript"/>
              </w:rPr>
            </w:pPr>
            <w:r w:rsidRPr="0078056B">
              <w:rPr>
                <w:szCs w:val="20"/>
              </w:rPr>
              <w:t>Higher degree (taught)</w:t>
            </w:r>
            <w:r w:rsidRPr="0078056B">
              <w:rPr>
                <w:szCs w:val="20"/>
                <w:vertAlign w:val="superscript"/>
              </w:rPr>
              <w:t>2</w:t>
            </w:r>
          </w:p>
        </w:tc>
        <w:tc>
          <w:tcPr>
            <w:tcW w:w="930" w:type="pct"/>
            <w:shd w:val="clear" w:color="auto" w:fill="auto"/>
          </w:tcPr>
          <w:p w14:paraId="5D0278C8" w14:textId="77777777" w:rsidR="003A6119" w:rsidRPr="0078056B" w:rsidRDefault="003A6119" w:rsidP="000A186C">
            <w:pPr>
              <w:pStyle w:val="TableText"/>
              <w:keepNext/>
              <w:ind w:left="57" w:right="57"/>
              <w:jc w:val="center"/>
              <w:rPr>
                <w:rFonts w:cs="Calibri"/>
                <w:color w:val="000000"/>
                <w:szCs w:val="20"/>
              </w:rPr>
            </w:pPr>
            <w:r w:rsidRPr="0078056B">
              <w:t>£59,000</w:t>
            </w:r>
          </w:p>
        </w:tc>
        <w:tc>
          <w:tcPr>
            <w:tcW w:w="930" w:type="pct"/>
            <w:shd w:val="clear" w:color="auto" w:fill="auto"/>
          </w:tcPr>
          <w:p w14:paraId="42E085EB" w14:textId="77777777" w:rsidR="003A6119" w:rsidRPr="0078056B" w:rsidRDefault="003A6119" w:rsidP="000A186C">
            <w:pPr>
              <w:pStyle w:val="TableText"/>
              <w:keepNext/>
              <w:ind w:left="57" w:right="57"/>
              <w:jc w:val="center"/>
              <w:rPr>
                <w:rFonts w:cs="Calibri"/>
                <w:color w:val="000000"/>
                <w:szCs w:val="20"/>
              </w:rPr>
            </w:pPr>
            <w:r w:rsidRPr="0078056B">
              <w:t>£45,000</w:t>
            </w:r>
          </w:p>
        </w:tc>
        <w:tc>
          <w:tcPr>
            <w:tcW w:w="930" w:type="pct"/>
          </w:tcPr>
          <w:p w14:paraId="3A7E6C7A" w14:textId="77777777" w:rsidR="003A6119" w:rsidRPr="0078056B" w:rsidRDefault="003A6119" w:rsidP="000A186C">
            <w:pPr>
              <w:pStyle w:val="TableText"/>
              <w:keepNext/>
              <w:ind w:left="57" w:right="57"/>
              <w:jc w:val="center"/>
              <w:rPr>
                <w:rFonts w:cs="Calibri"/>
                <w:color w:val="000000"/>
                <w:szCs w:val="20"/>
              </w:rPr>
            </w:pPr>
            <w:r w:rsidRPr="0078056B">
              <w:t>£67,000</w:t>
            </w:r>
          </w:p>
        </w:tc>
        <w:tc>
          <w:tcPr>
            <w:tcW w:w="930" w:type="pct"/>
            <w:shd w:val="clear" w:color="auto" w:fill="auto"/>
          </w:tcPr>
          <w:p w14:paraId="1F145193" w14:textId="77777777" w:rsidR="003A6119" w:rsidRPr="0078056B" w:rsidRDefault="003A6119" w:rsidP="000A186C">
            <w:pPr>
              <w:pStyle w:val="TableText"/>
              <w:keepNext/>
              <w:ind w:left="57" w:right="57"/>
              <w:jc w:val="center"/>
              <w:rPr>
                <w:rFonts w:cs="Calibri"/>
                <w:color w:val="000000"/>
                <w:szCs w:val="20"/>
              </w:rPr>
            </w:pPr>
            <w:r w:rsidRPr="0078056B">
              <w:t>£47,000</w:t>
            </w:r>
          </w:p>
        </w:tc>
      </w:tr>
      <w:tr w:rsidR="003A6119" w:rsidRPr="0078056B" w14:paraId="12E112C4" w14:textId="77777777" w:rsidTr="000A186C">
        <w:trPr>
          <w:trHeight w:val="283"/>
        </w:trPr>
        <w:tc>
          <w:tcPr>
            <w:tcW w:w="1280" w:type="pct"/>
            <w:tcBorders>
              <w:bottom w:val="single" w:sz="4" w:space="0" w:color="06357A"/>
            </w:tcBorders>
            <w:shd w:val="clear" w:color="auto" w:fill="auto"/>
            <w:vAlign w:val="center"/>
          </w:tcPr>
          <w:p w14:paraId="75B8426E" w14:textId="77777777" w:rsidR="003A6119" w:rsidRPr="0078056B" w:rsidRDefault="003A6119" w:rsidP="000A186C">
            <w:pPr>
              <w:pStyle w:val="TableText"/>
              <w:keepNext/>
              <w:ind w:left="57" w:right="57"/>
              <w:rPr>
                <w:szCs w:val="20"/>
                <w:vertAlign w:val="superscript"/>
              </w:rPr>
            </w:pPr>
            <w:r w:rsidRPr="0078056B">
              <w:rPr>
                <w:szCs w:val="20"/>
              </w:rPr>
              <w:t>Higher degree (research)</w:t>
            </w:r>
            <w:r w:rsidRPr="0078056B">
              <w:rPr>
                <w:szCs w:val="20"/>
                <w:vertAlign w:val="superscript"/>
              </w:rPr>
              <w:t>2</w:t>
            </w:r>
          </w:p>
        </w:tc>
        <w:tc>
          <w:tcPr>
            <w:tcW w:w="930" w:type="pct"/>
            <w:tcBorders>
              <w:bottom w:val="single" w:sz="4" w:space="0" w:color="06357A"/>
            </w:tcBorders>
            <w:shd w:val="clear" w:color="auto" w:fill="auto"/>
          </w:tcPr>
          <w:p w14:paraId="38D97856" w14:textId="77777777" w:rsidR="003A6119" w:rsidRPr="0078056B" w:rsidRDefault="003A6119" w:rsidP="000A186C">
            <w:pPr>
              <w:pStyle w:val="TableText"/>
              <w:keepNext/>
              <w:ind w:left="57" w:right="57"/>
              <w:jc w:val="center"/>
              <w:rPr>
                <w:rFonts w:cs="Calibri"/>
                <w:color w:val="000000"/>
                <w:szCs w:val="20"/>
              </w:rPr>
            </w:pPr>
            <w:r w:rsidRPr="0078056B">
              <w:t>£109,000</w:t>
            </w:r>
          </w:p>
        </w:tc>
        <w:tc>
          <w:tcPr>
            <w:tcW w:w="930" w:type="pct"/>
            <w:tcBorders>
              <w:bottom w:val="single" w:sz="4" w:space="0" w:color="06357A"/>
            </w:tcBorders>
            <w:shd w:val="clear" w:color="auto" w:fill="auto"/>
          </w:tcPr>
          <w:p w14:paraId="09EA572F" w14:textId="77777777" w:rsidR="003A6119" w:rsidRPr="0078056B" w:rsidRDefault="003A6119" w:rsidP="000A186C">
            <w:pPr>
              <w:pStyle w:val="TableText"/>
              <w:keepNext/>
              <w:ind w:left="57" w:right="57"/>
              <w:jc w:val="center"/>
              <w:rPr>
                <w:rFonts w:cs="Calibri"/>
                <w:color w:val="000000"/>
                <w:szCs w:val="20"/>
              </w:rPr>
            </w:pPr>
            <w:r w:rsidRPr="0078056B">
              <w:t>£62,000</w:t>
            </w:r>
          </w:p>
        </w:tc>
        <w:tc>
          <w:tcPr>
            <w:tcW w:w="930" w:type="pct"/>
            <w:tcBorders>
              <w:bottom w:val="single" w:sz="4" w:space="0" w:color="06357A"/>
            </w:tcBorders>
          </w:tcPr>
          <w:p w14:paraId="7E1F54AD" w14:textId="77777777" w:rsidR="003A6119" w:rsidRPr="0078056B" w:rsidRDefault="003A6119" w:rsidP="000A186C">
            <w:pPr>
              <w:pStyle w:val="TableText"/>
              <w:keepNext/>
              <w:ind w:left="57" w:right="57"/>
              <w:jc w:val="center"/>
              <w:rPr>
                <w:rFonts w:cs="Calibri"/>
                <w:color w:val="000000"/>
                <w:szCs w:val="20"/>
              </w:rPr>
            </w:pPr>
            <w:r w:rsidRPr="0078056B">
              <w:t>£108,000</w:t>
            </w:r>
          </w:p>
        </w:tc>
        <w:tc>
          <w:tcPr>
            <w:tcW w:w="930" w:type="pct"/>
            <w:tcBorders>
              <w:bottom w:val="single" w:sz="4" w:space="0" w:color="06357A"/>
            </w:tcBorders>
            <w:shd w:val="clear" w:color="auto" w:fill="auto"/>
          </w:tcPr>
          <w:p w14:paraId="1300704E" w14:textId="77777777" w:rsidR="003A6119" w:rsidRPr="0078056B" w:rsidRDefault="003A6119" w:rsidP="000A186C">
            <w:pPr>
              <w:pStyle w:val="TableText"/>
              <w:keepNext/>
              <w:ind w:left="57" w:right="57"/>
              <w:jc w:val="center"/>
              <w:rPr>
                <w:rFonts w:cs="Calibri"/>
                <w:color w:val="000000"/>
                <w:szCs w:val="20"/>
              </w:rPr>
            </w:pPr>
            <w:r w:rsidRPr="0078056B">
              <w:t>£60,000</w:t>
            </w:r>
          </w:p>
        </w:tc>
      </w:tr>
    </w:tbl>
    <w:p w14:paraId="7814FC7F" w14:textId="77777777" w:rsidR="008C1EE2" w:rsidRPr="0078056B" w:rsidRDefault="003A6119" w:rsidP="008C1EE2">
      <w:pPr>
        <w:pStyle w:val="TableNote"/>
        <w:keepNext/>
      </w:pPr>
      <w:r w:rsidRPr="0078056B">
        <w:t>Note: All estimates constitute weighted averages across men and women (weighted by the estimated number of student completers in the 2021-22 cohort) and are presented in 2021-22 prices, discounted to reflect net present values, and rounded to the nearest £1,000.</w:t>
      </w:r>
    </w:p>
    <w:p w14:paraId="5F99A60B" w14:textId="3CCF4EF6" w:rsidR="003A6119" w:rsidRPr="0078056B" w:rsidRDefault="003A6119" w:rsidP="008C1EE2">
      <w:pPr>
        <w:pStyle w:val="TableNote"/>
        <w:keepNext/>
      </w:pPr>
      <w:r w:rsidRPr="0078056B">
        <w:t>We assume that the gross graduate premium / Exchequer benefit associated with any HE qualification attainment can never be negative – i.e. students will never incur a wage/employment penalty from achieving additional qualifications. In instances where this would be the case, we instead assume a £0 gross graduate premium / Exchequer benefit (while the costs of qualification attainment would still be incurred). Gaps may arise where there are no students in the 2021-22 University of Birmingham cohort expected to complete the given qualification (with the given characteristics).</w:t>
      </w:r>
    </w:p>
    <w:p w14:paraId="2483E0B8" w14:textId="79497306" w:rsidR="003A6119" w:rsidRPr="0078056B" w:rsidRDefault="003A6119" w:rsidP="008C1EE2">
      <w:pPr>
        <w:pStyle w:val="TableNote"/>
        <w:keepNext/>
      </w:pPr>
      <w:r w:rsidRPr="0078056B">
        <w:rPr>
          <w:vertAlign w:val="superscript"/>
        </w:rPr>
        <w:t xml:space="preserve">1 </w:t>
      </w:r>
      <w:r w:rsidRPr="0078056B">
        <w:t xml:space="preserve">Net graduate premiums and net public purse benefits associated with qualifications at ‘other undergraduate’ and first degree level are estimated relative to possession of Level 3 qualifications (see Annex </w:t>
      </w:r>
      <w:r w:rsidRPr="0078056B">
        <w:fldChar w:fldCharType="begin"/>
      </w:r>
      <w:r w:rsidRPr="0078056B">
        <w:instrText xml:space="preserve"> REF _Ref454898098 \r \h </w:instrText>
      </w:r>
      <w:r w:rsidR="00935E7D" w:rsidRPr="0078056B">
        <w:instrText xml:space="preserve"> \* MERGEFORMAT </w:instrText>
      </w:r>
      <w:r w:rsidRPr="0078056B">
        <w:fldChar w:fldCharType="separate"/>
      </w:r>
      <w:r w:rsidR="00E33157">
        <w:t>A2.3.3</w:t>
      </w:r>
      <w:r w:rsidRPr="0078056B">
        <w:fldChar w:fldCharType="end"/>
      </w:r>
      <w:r w:rsidRPr="0078056B">
        <w:t xml:space="preserve"> for further detail). </w:t>
      </w:r>
    </w:p>
    <w:p w14:paraId="7250BBD2" w14:textId="77777777" w:rsidR="003A6119" w:rsidRPr="0078056B" w:rsidRDefault="003A6119" w:rsidP="008C1EE2">
      <w:pPr>
        <w:pStyle w:val="TableNote"/>
        <w:keepNext/>
        <w:rPr>
          <w:vertAlign w:val="superscript"/>
        </w:rPr>
      </w:pPr>
      <w:r w:rsidRPr="0078056B">
        <w:rPr>
          <w:vertAlign w:val="superscript"/>
        </w:rPr>
        <w:t xml:space="preserve">2 </w:t>
      </w:r>
      <w:r w:rsidRPr="0078056B">
        <w:t xml:space="preserve">Net graduate premiums and net public purse benefits associated with qualifications at ‘other postgraduate’, higher degree (taught) and higher degree (research) level are estimated relative to the possession of first degrees. </w:t>
      </w:r>
    </w:p>
    <w:p w14:paraId="1E426459" w14:textId="77777777" w:rsidR="003A6119" w:rsidRPr="0078056B" w:rsidRDefault="003A6119" w:rsidP="003A6119">
      <w:pPr>
        <w:pStyle w:val="TableNote"/>
        <w:rPr>
          <w:b/>
          <w:i/>
        </w:rPr>
      </w:pPr>
      <w:r w:rsidRPr="0078056B">
        <w:rPr>
          <w:b/>
          <w:i/>
        </w:rPr>
        <w:t>Source: London Economics’ analysis</w:t>
      </w:r>
    </w:p>
    <w:p w14:paraId="741063F3" w14:textId="77777777" w:rsidR="003A6119" w:rsidRPr="0078056B" w:rsidRDefault="003A6119" w:rsidP="003A6119">
      <w:r w:rsidRPr="0078056B">
        <w:rPr>
          <w:noProof/>
          <w:lang w:eastAsia="en-GB"/>
        </w:rPr>
        <w:lastRenderedPageBreak/>
        <mc:AlternateContent>
          <mc:Choice Requires="wps">
            <w:drawing>
              <wp:anchor distT="0" distB="0" distL="114300" distR="114300" simplePos="0" relativeHeight="251696128" behindDoc="1" locked="0" layoutInCell="0" allowOverlap="1" wp14:anchorId="7F406FE8" wp14:editId="0640F7CD">
                <wp:simplePos x="0" y="0"/>
                <wp:positionH relativeFrom="margin">
                  <wp:posOffset>-6086</wp:posOffset>
                </wp:positionH>
                <wp:positionV relativeFrom="paragraph">
                  <wp:posOffset>735965</wp:posOffset>
                </wp:positionV>
                <wp:extent cx="1692000" cy="1440000"/>
                <wp:effectExtent l="38100" t="38100" r="99060" b="103505"/>
                <wp:wrapSquare wrapText="bothSides"/>
                <wp:docPr id="1061"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000" cy="1440000"/>
                        </a:xfrm>
                        <a:prstGeom prst="rect">
                          <a:avLst/>
                        </a:prstGeom>
                        <a:solidFill>
                          <a:schemeClr val="tx2"/>
                        </a:solidFill>
                        <a:ln w="9525">
                          <a:noFill/>
                          <a:miter lim="800000"/>
                          <a:headEnd/>
                          <a:tailEnd/>
                        </a:ln>
                        <a:effectLst>
                          <a:outerShdw blurRad="50800" dist="38100" dir="2700000" algn="tl" rotWithShape="0">
                            <a:prstClr val="black">
                              <a:alpha val="40000"/>
                            </a:prstClr>
                          </a:outerShdw>
                        </a:effectLst>
                      </wps:spPr>
                      <wps:txbx>
                        <w:txbxContent>
                          <w:p w14:paraId="5DC363CE" w14:textId="77777777" w:rsidR="003A6119" w:rsidRPr="003541E0" w:rsidRDefault="003A6119" w:rsidP="003A6119">
                            <w:pPr>
                              <w:spacing w:before="60" w:after="60"/>
                              <w:jc w:val="center"/>
                              <w:rPr>
                                <w:b/>
                                <w:color w:val="FFFFFF" w:themeColor="background1"/>
                                <w:sz w:val="28"/>
                                <w:szCs w:val="28"/>
                              </w:rPr>
                            </w:pPr>
                            <w:r w:rsidRPr="0078056B">
                              <w:rPr>
                                <w:b/>
                                <w:color w:val="FFFFFF" w:themeColor="background1"/>
                                <w:sz w:val="28"/>
                                <w:szCs w:val="28"/>
                              </w:rPr>
                              <w:t>The net public purse benefit associated with a representative full-time first degree student stands at £78,000.</w:t>
                            </w:r>
                          </w:p>
                        </w:txbxContent>
                      </wps:txbx>
                      <wps:bodyPr rot="0" vert="horz" wrap="square" lIns="18000" tIns="18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F406FE8" id="Text Box 1061" o:spid="_x0000_s1038" type="#_x0000_t202" style="position:absolute;left:0;text-align:left;margin-left:-.5pt;margin-top:57.95pt;width:133.25pt;height:113.4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zZZAIAAL8EAAAOAAAAZHJzL2Uyb0RvYy54bWysVE1v2zAMvQ/YfxB0X51kbZcadYquXYcB&#10;3QfWDTvTkhwLlUVNUmKnv36U7KRBdxt2EURLeuR7j/Tl1dAZtlU+aLQVn5/MOFNWoNR2XfGfP+7e&#10;LDkLEawEg1ZVfKcCv1q9fnXZu1ItsEUjlWcEYkPZu4q3MbqyKIJoVQfhBJ2ydNig7yBS6NeF9NAT&#10;emeKxWx2XvTopfMoVAj09XY85KuM3zRKxK9NE1RkpuJUW8yrz2ud1mJ1CeXag2u1mMqAf6iiA20p&#10;6QHqFiKwjdd/QXVaeAzYxBOBXYFNo4XKHIjNfPaCzUMLTmUuJE5wB5nC/4MVX7YP7ptncXiPAxmY&#10;SQR3j+IxMIs3Ldi1uvYe+1aBpMTzJFnRu1BOT5PUoQwJpO4/oySTYRMxAw2N75IqxJMROhmwO4iu&#10;hshESnl+QUbSkaCz+ekp7bMtBZT7586H+FFhx9Km4p5czfCwvQ8xlQPl/krKFtBoeaeNyUHqJHVj&#10;PNsC9UAcFpnAi1vGsr7iF2eLswxsMT3PvdHpSA1qdFfxZSptapmkxgcr85UI2ox7KsTYlFXl1qPq&#10;MvsNQTy0sme12fjvICt+NiMwzqROfN4u52NAfbl4NyZhYNY0UNFw5jH+0rHNzZDUS5CJ7oFTbUA8&#10;joIY18JI9FjH6XYWCvfF5OiozuxpsnE0NA71wDSVOs+CJY9rlDtymerJVtLU06ZF/8RZTxNU8fB7&#10;A15xZj7Z1ClJLxq548AfB/VxAFYQFDHmbNzexHFMN87rdUuZxt60eE3d1ejs+3NVU0/SlGRe00Sn&#10;MTyO863n/87qDwAAAP//AwBQSwMEFAAGAAgAAAAhAP4KN3LgAAAACgEAAA8AAABkcnMvZG93bnJl&#10;di54bWxMj8FOwzAQRO9I/IO1SNxaJylpS4hTFSTgVolA1aubbJOo9jqKt034e8wJjrMzmn2TbyZr&#10;xBUH3zlSEM8jEEiVqztqFHx9vs7WIDxrqrVxhAq+0cOmuL3JdVa7kT7wWnIjQgn5TCtomftMSl+1&#10;aLWfux4peCc3WM1BDo2sBz2GcmtkEkVLaXVH4UOre3xpsTqXF6tg3Ddvhqcz757N6TDuV+/lNloo&#10;dX83bZ9AME78F4Zf/IAORWA6ugvVXhgFszhM4XCP00cQIZAs0xTEUcHiIVmBLHL5f0LxAwAA//8D&#10;AFBLAQItABQABgAIAAAAIQC2gziS/gAAAOEBAAATAAAAAAAAAAAAAAAAAAAAAABbQ29udGVudF9U&#10;eXBlc10ueG1sUEsBAi0AFAAGAAgAAAAhADj9If/WAAAAlAEAAAsAAAAAAAAAAAAAAAAALwEAAF9y&#10;ZWxzLy5yZWxzUEsBAi0AFAAGAAgAAAAhACidLNlkAgAAvwQAAA4AAAAAAAAAAAAAAAAALgIAAGRy&#10;cy9lMm9Eb2MueG1sUEsBAi0AFAAGAAgAAAAhAP4KN3LgAAAACgEAAA8AAAAAAAAAAAAAAAAAvgQA&#10;AGRycy9kb3ducmV2LnhtbFBLBQYAAAAABAAEAPMAAADLBQAAAAA=&#10;" o:allowincell="f" fillcolor="#06357a [3215]" stroked="f">
                <v:shadow on="t" color="black" opacity="26214f" origin="-.5,-.5" offset=".74836mm,.74836mm"/>
                <v:textbox inset=".5mm,.5mm,.5mm,.5mm">
                  <w:txbxContent>
                    <w:p w14:paraId="5DC363CE" w14:textId="77777777" w:rsidR="003A6119" w:rsidRPr="003541E0" w:rsidRDefault="003A6119" w:rsidP="003A6119">
                      <w:pPr>
                        <w:spacing w:before="60" w:after="60"/>
                        <w:jc w:val="center"/>
                        <w:rPr>
                          <w:b/>
                          <w:color w:val="FFFFFF" w:themeColor="background1"/>
                          <w:sz w:val="28"/>
                          <w:szCs w:val="28"/>
                        </w:rPr>
                      </w:pPr>
                      <w:r w:rsidRPr="0078056B">
                        <w:rPr>
                          <w:b/>
                          <w:color w:val="FFFFFF" w:themeColor="background1"/>
                          <w:sz w:val="28"/>
                          <w:szCs w:val="28"/>
                        </w:rPr>
                        <w:t>The net public purse benefit associated with a representative full-time first degree student stands at £78,000.</w:t>
                      </w:r>
                    </w:p>
                  </w:txbxContent>
                </v:textbox>
                <w10:wrap type="square" anchorx="margin"/>
              </v:shape>
            </w:pict>
          </mc:Fallback>
        </mc:AlternateContent>
      </w:r>
      <w:r w:rsidRPr="0078056B">
        <w:t xml:space="preserve">There are also substantial </w:t>
      </w:r>
      <w:r w:rsidRPr="0078056B">
        <w:rPr>
          <w:rFonts w:asciiTheme="minorHAnsi" w:hAnsiTheme="minorHAnsi"/>
          <w:b/>
          <w:color w:val="06357A"/>
        </w:rPr>
        <w:t>net graduate premiums</w:t>
      </w:r>
      <w:r w:rsidRPr="0078056B">
        <w:rPr>
          <w:color w:val="0B5ED7" w:themeColor="accent2"/>
        </w:rPr>
        <w:t xml:space="preserve"> </w:t>
      </w:r>
      <w:r w:rsidRPr="0078056B">
        <w:t xml:space="preserve">for </w:t>
      </w:r>
      <w:r w:rsidRPr="0078056B">
        <w:rPr>
          <w:rFonts w:asciiTheme="minorHAnsi" w:hAnsiTheme="minorHAnsi"/>
          <w:b/>
          <w:color w:val="06357A"/>
        </w:rPr>
        <w:t>part-time</w:t>
      </w:r>
      <w:r w:rsidRPr="0078056B">
        <w:rPr>
          <w:b/>
          <w:bCs/>
          <w:color w:val="0B5ED7" w:themeColor="accent2"/>
        </w:rPr>
        <w:t xml:space="preserve"> </w:t>
      </w:r>
      <w:r w:rsidRPr="0078056B">
        <w:t xml:space="preserve">students. For instance, for a representative part-time student in the cohort completing a postgraduate taught degree, the estimated net graduate premium stands at approximately </w:t>
      </w:r>
      <w:r w:rsidRPr="0078056B">
        <w:rPr>
          <w:rFonts w:asciiTheme="minorHAnsi" w:hAnsiTheme="minorHAnsi"/>
          <w:b/>
          <w:color w:val="06357A"/>
        </w:rPr>
        <w:t>£45,000</w:t>
      </w:r>
      <w:r w:rsidRPr="0078056B">
        <w:rPr>
          <w:bCs/>
        </w:rPr>
        <w:t xml:space="preserve">. </w:t>
      </w:r>
      <w:r w:rsidRPr="0078056B">
        <w:t>The fact that part-time students tend to complete their studies later in life</w:t>
      </w:r>
      <w:r w:rsidRPr="0078056B">
        <w:rPr>
          <w:rStyle w:val="FootnoteReference"/>
        </w:rPr>
        <w:footnoteReference w:id="48"/>
      </w:r>
      <w:r w:rsidRPr="0078056B">
        <w:t xml:space="preserve"> (resulting in fewer years spent in the labour market post-graduation) results in </w:t>
      </w:r>
      <w:r w:rsidRPr="0078056B">
        <w:rPr>
          <w:bCs/>
        </w:rPr>
        <w:t>a relative reduction in the net graduate premiums for part-tim</w:t>
      </w:r>
      <w:r w:rsidRPr="0078056B">
        <w:t xml:space="preserve">e students compared to full-time students. However, it is assumed that part-time students are able to combine work with their academic studies and thus do not incur any </w:t>
      </w:r>
      <w:r w:rsidRPr="0078056B">
        <w:rPr>
          <w:i/>
          <w:iCs/>
        </w:rPr>
        <w:t>opportunity</w:t>
      </w:r>
      <w:r w:rsidRPr="0078056B">
        <w:t xml:space="preserve"> </w:t>
      </w:r>
      <w:r w:rsidRPr="0078056B">
        <w:rPr>
          <w:i/>
          <w:iCs/>
        </w:rPr>
        <w:t>costs</w:t>
      </w:r>
      <w:r w:rsidRPr="0078056B">
        <w:t xml:space="preserve"> in the form of foregone earnings. In the case of postgraduate taught qualifications</w:t>
      </w:r>
      <w:r w:rsidRPr="0078056B">
        <w:rPr>
          <w:rStyle w:val="FootnoteReference"/>
        </w:rPr>
        <w:footnoteReference w:id="49"/>
      </w:r>
      <w:r w:rsidRPr="0078056B">
        <w:t xml:space="preserve">, part-time net graduate premiums tend to be lower than the corresponding premiums for full-time students, suggesting that the former effect likely dominates the latter in this case. </w:t>
      </w:r>
    </w:p>
    <w:p w14:paraId="33D75544" w14:textId="77777777" w:rsidR="003A6119" w:rsidRPr="0078056B" w:rsidRDefault="003A6119" w:rsidP="003A6119">
      <w:r w:rsidRPr="0078056B">
        <w:t xml:space="preserve">In terms of the benefits to the public purse, the </w:t>
      </w:r>
      <w:r w:rsidRPr="0078056B">
        <w:rPr>
          <w:rFonts w:asciiTheme="minorHAnsi" w:hAnsiTheme="minorHAnsi"/>
          <w:b/>
          <w:color w:val="06357A"/>
        </w:rPr>
        <w:t>net Exchequer benefit</w:t>
      </w:r>
      <w:r w:rsidRPr="0078056B">
        <w:rPr>
          <w:b/>
          <w:color w:val="0B5ED7" w:themeColor="accent2"/>
        </w:rPr>
        <w:t xml:space="preserve"> </w:t>
      </w:r>
      <w:r w:rsidRPr="0078056B">
        <w:t xml:space="preserve">for a representative </w:t>
      </w:r>
      <w:r w:rsidRPr="0078056B">
        <w:rPr>
          <w:rFonts w:asciiTheme="minorHAnsi" w:hAnsiTheme="minorHAnsi"/>
          <w:b/>
          <w:color w:val="06357A"/>
        </w:rPr>
        <w:t>full-time</w:t>
      </w:r>
      <w:r w:rsidRPr="0078056B">
        <w:rPr>
          <w:color w:val="0B5ED7" w:themeColor="accent2"/>
        </w:rPr>
        <w:t xml:space="preserve"> </w:t>
      </w:r>
      <w:r w:rsidRPr="0078056B">
        <w:rPr>
          <w:rFonts w:asciiTheme="minorHAnsi" w:hAnsiTheme="minorHAnsi"/>
          <w:b/>
          <w:color w:val="06357A"/>
        </w:rPr>
        <w:t>first degree student</w:t>
      </w:r>
      <w:r w:rsidRPr="0078056B">
        <w:t xml:space="preserve"> (again with a Level 3 qualification as their highest level of prior attainment) stands at approximately </w:t>
      </w:r>
      <w:r w:rsidRPr="0078056B">
        <w:rPr>
          <w:rFonts w:asciiTheme="minorHAnsi" w:hAnsiTheme="minorHAnsi"/>
          <w:b/>
          <w:color w:val="06357A"/>
        </w:rPr>
        <w:t>£78,000</w:t>
      </w:r>
      <w:r w:rsidRPr="0078056B">
        <w:t xml:space="preserve"> in 2021-22 money terms. The net Exchequer benefits for a representative student completing a full-time postgraduate taught or postgraduate research degree (relative to a first degree) were estimated at approximately </w:t>
      </w:r>
      <w:r w:rsidRPr="0078056B">
        <w:rPr>
          <w:rFonts w:asciiTheme="minorHAnsi" w:hAnsiTheme="minorHAnsi"/>
          <w:b/>
          <w:color w:val="06357A"/>
        </w:rPr>
        <w:t>£67,000</w:t>
      </w:r>
      <w:r w:rsidRPr="0078056B">
        <w:t xml:space="preserve"> and </w:t>
      </w:r>
      <w:r w:rsidRPr="0078056B">
        <w:rPr>
          <w:rFonts w:asciiTheme="minorHAnsi" w:hAnsiTheme="minorHAnsi"/>
          <w:b/>
          <w:color w:val="06357A"/>
        </w:rPr>
        <w:t>£108,000</w:t>
      </w:r>
      <w:r w:rsidRPr="0078056B">
        <w:rPr>
          <w:bCs/>
        </w:rPr>
        <w:t>,</w:t>
      </w:r>
      <w:r w:rsidRPr="0078056B">
        <w:t xml:space="preserve"> respectively. </w:t>
      </w:r>
    </w:p>
    <w:p w14:paraId="66EEF26F" w14:textId="77777777" w:rsidR="003A6119" w:rsidRPr="0078056B" w:rsidRDefault="003A6119" w:rsidP="003A6119">
      <w:r w:rsidRPr="0078056B">
        <w:t xml:space="preserve">Again, there are also substantial net Exchequer benefits associated with </w:t>
      </w:r>
      <w:r w:rsidRPr="0078056B">
        <w:rPr>
          <w:rFonts w:asciiTheme="minorHAnsi" w:hAnsiTheme="minorHAnsi"/>
          <w:b/>
          <w:color w:val="06357A"/>
        </w:rPr>
        <w:t>part-time students</w:t>
      </w:r>
      <w:r w:rsidRPr="0078056B">
        <w:t xml:space="preserve">. For instance, the net Exchequer benefits for a representative part-time student undertaking a postgraduate taught or postgraduate research degree (relative to a first degree) stand at approximately </w:t>
      </w:r>
      <w:r w:rsidRPr="0078056B">
        <w:rPr>
          <w:rFonts w:asciiTheme="minorHAnsi" w:hAnsiTheme="minorHAnsi"/>
          <w:b/>
          <w:color w:val="06357A"/>
        </w:rPr>
        <w:t>£47,000</w:t>
      </w:r>
      <w:r w:rsidRPr="0078056B">
        <w:rPr>
          <w:b/>
          <w:color w:val="06357A" w:themeColor="accent1"/>
        </w:rPr>
        <w:t xml:space="preserve"> </w:t>
      </w:r>
      <w:r w:rsidRPr="0078056B">
        <w:t>and</w:t>
      </w:r>
      <w:r w:rsidRPr="0078056B">
        <w:rPr>
          <w:b/>
          <w:color w:val="06357A" w:themeColor="accent1"/>
        </w:rPr>
        <w:t xml:space="preserve"> </w:t>
      </w:r>
      <w:r w:rsidRPr="0078056B">
        <w:rPr>
          <w:rFonts w:asciiTheme="minorHAnsi" w:hAnsiTheme="minorHAnsi"/>
          <w:b/>
          <w:color w:val="06357A"/>
        </w:rPr>
        <w:t>£60,000</w:t>
      </w:r>
      <w:r w:rsidRPr="0078056B">
        <w:rPr>
          <w:b/>
          <w:color w:val="06357A" w:themeColor="accent1"/>
        </w:rPr>
        <w:t xml:space="preserve"> </w:t>
      </w:r>
      <w:r w:rsidRPr="0078056B">
        <w:rPr>
          <w:bCs/>
        </w:rPr>
        <w:t>(respectively)</w:t>
      </w:r>
      <w:r w:rsidRPr="0078056B">
        <w:t>.</w:t>
      </w:r>
    </w:p>
    <w:p w14:paraId="77D77944" w14:textId="77777777" w:rsidR="003A6119" w:rsidRPr="0078056B" w:rsidRDefault="003A6119" w:rsidP="003A6119">
      <w:pPr>
        <w:pStyle w:val="Heading3"/>
      </w:pPr>
      <w:r w:rsidRPr="0078056B">
        <w:t>Total impact of teaching and learning activities at the University of Birmingham</w:t>
      </w:r>
    </w:p>
    <w:p w14:paraId="205429F4" w14:textId="40853E48" w:rsidR="003A6119" w:rsidRPr="0078056B" w:rsidRDefault="003A6119" w:rsidP="003A6119">
      <w:pPr>
        <w:rPr>
          <w:rFonts w:eastAsia="Calibri" w:cs="Times New Roman"/>
          <w:b/>
        </w:rPr>
      </w:pPr>
      <w:r w:rsidRPr="0078056B">
        <w:rPr>
          <w:rFonts w:eastAsia="Calibri" w:cs="Times New Roman"/>
        </w:rPr>
        <w:t xml:space="preserve">Combining the information on the number of UK domiciled students in the 2021-22 University of Birmingham cohort, expected completion rates, and the net graduate and public purse benefits associated with the different qualification levels (relative to students’ specific prior attainment), the analysis estimates that the </w:t>
      </w:r>
      <w:r w:rsidRPr="0078056B">
        <w:rPr>
          <w:rFonts w:eastAsia="Calibri" w:cs="Times New Roman"/>
          <w:b/>
          <w:color w:val="06357A"/>
        </w:rPr>
        <w:t>aggregate economic benefit of the University of Birmingham’s</w:t>
      </w:r>
      <w:r w:rsidRPr="0078056B">
        <w:rPr>
          <w:rFonts w:eastAsia="Calibri" w:cs="Times New Roman"/>
        </w:rPr>
        <w:t xml:space="preserve"> </w:t>
      </w:r>
      <w:r w:rsidRPr="0078056B">
        <w:rPr>
          <w:rFonts w:eastAsia="Calibri" w:cs="Times New Roman"/>
          <w:b/>
          <w:color w:val="06357A"/>
        </w:rPr>
        <w:t>teaching and learning activities</w:t>
      </w:r>
      <w:r w:rsidRPr="0078056B">
        <w:rPr>
          <w:rFonts w:eastAsia="Calibri" w:cs="Times New Roman"/>
        </w:rPr>
        <w:t xml:space="preserve"> associated with the 2021-22 cohort amounts to approximately </w:t>
      </w:r>
      <w:r w:rsidRPr="0078056B">
        <w:rPr>
          <w:rFonts w:asciiTheme="minorHAnsi" w:hAnsiTheme="minorHAnsi"/>
          <w:b/>
          <w:color w:val="06357A"/>
        </w:rPr>
        <w:t>£1,346 million</w:t>
      </w:r>
      <w:r w:rsidRPr="0078056B">
        <w:rPr>
          <w:rFonts w:eastAsia="Calibri" w:cs="Times New Roman"/>
          <w:b/>
          <w:color w:val="06357A"/>
        </w:rPr>
        <w:t xml:space="preserve"> </w:t>
      </w:r>
      <w:r w:rsidRPr="0078056B">
        <w:rPr>
          <w:rFonts w:eastAsia="Calibri" w:cs="Times New Roman"/>
          <w:bCs/>
        </w:rPr>
        <w:t>(see</w:t>
      </w:r>
      <w:r w:rsidRPr="0078056B">
        <w:rPr>
          <w:rFonts w:eastAsia="Calibri" w:cs="Times New Roman"/>
        </w:rPr>
        <w:t xml:space="preserve"> </w:t>
      </w:r>
      <w:r w:rsidR="0021730A" w:rsidRPr="0078056B">
        <w:rPr>
          <w:rFonts w:eastAsia="Calibri" w:cs="Times New Roman"/>
        </w:rPr>
        <w:fldChar w:fldCharType="begin"/>
      </w:r>
      <w:r w:rsidR="0021730A" w:rsidRPr="0078056B">
        <w:rPr>
          <w:rFonts w:eastAsia="Calibri" w:cs="Times New Roman"/>
        </w:rPr>
        <w:instrText xml:space="preserve"> REF _Ref161750297 \r \h </w:instrText>
      </w:r>
      <w:r w:rsidR="0078056B">
        <w:rPr>
          <w:rFonts w:eastAsia="Calibri" w:cs="Times New Roman"/>
        </w:rPr>
        <w:instrText xml:space="preserve"> \* MERGEFORMAT </w:instrText>
      </w:r>
      <w:r w:rsidR="0021730A" w:rsidRPr="0078056B">
        <w:rPr>
          <w:rFonts w:eastAsia="Calibri" w:cs="Times New Roman"/>
        </w:rPr>
      </w:r>
      <w:r w:rsidR="0021730A" w:rsidRPr="0078056B">
        <w:rPr>
          <w:rFonts w:eastAsia="Calibri" w:cs="Times New Roman"/>
        </w:rPr>
        <w:fldChar w:fldCharType="separate"/>
      </w:r>
      <w:r w:rsidR="00E33157">
        <w:rPr>
          <w:rFonts w:eastAsia="Calibri" w:cs="Times New Roman"/>
        </w:rPr>
        <w:t>Table 9</w:t>
      </w:r>
      <w:r w:rsidR="0021730A" w:rsidRPr="0078056B">
        <w:rPr>
          <w:rFonts w:eastAsia="Calibri" w:cs="Times New Roman"/>
        </w:rPr>
        <w:fldChar w:fldCharType="end"/>
      </w:r>
      <w:r w:rsidRPr="0078056B">
        <w:rPr>
          <w:rFonts w:eastAsia="Calibri" w:cs="Times New Roman"/>
        </w:rPr>
        <w:t>).</w:t>
      </w:r>
    </w:p>
    <w:p w14:paraId="57DA400B" w14:textId="77777777" w:rsidR="003A6119" w:rsidRPr="0078056B" w:rsidRDefault="003A6119" w:rsidP="003A6119">
      <w:pPr>
        <w:rPr>
          <w:rFonts w:eastAsia="Calibri" w:cs="Times New Roman"/>
        </w:rPr>
      </w:pPr>
      <w:r w:rsidRPr="0078056B">
        <w:rPr>
          <w:noProof/>
          <w:lang w:eastAsia="en-GB"/>
        </w:rPr>
        <mc:AlternateContent>
          <mc:Choice Requires="wps">
            <w:drawing>
              <wp:anchor distT="0" distB="0" distL="114300" distR="114300" simplePos="0" relativeHeight="251697152" behindDoc="1" locked="0" layoutInCell="0" allowOverlap="1" wp14:anchorId="5F919C6A" wp14:editId="2CDE1C23">
                <wp:simplePos x="0" y="0"/>
                <wp:positionH relativeFrom="margin">
                  <wp:posOffset>3401060</wp:posOffset>
                </wp:positionH>
                <wp:positionV relativeFrom="paragraph">
                  <wp:posOffset>113929</wp:posOffset>
                </wp:positionV>
                <wp:extent cx="2245360" cy="1450340"/>
                <wp:effectExtent l="38100" t="38100" r="97790" b="92710"/>
                <wp:wrapSquare wrapText="bothSides"/>
                <wp:docPr id="337583824" name="Text Box 337583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1450340"/>
                        </a:xfrm>
                        <a:prstGeom prst="rect">
                          <a:avLst/>
                        </a:prstGeom>
                        <a:solidFill>
                          <a:schemeClr val="tx2"/>
                        </a:solidFill>
                        <a:ln w="9525">
                          <a:noFill/>
                          <a:miter lim="800000"/>
                          <a:headEnd/>
                          <a:tailEnd/>
                        </a:ln>
                        <a:effectLst>
                          <a:outerShdw blurRad="50800" dist="38100" dir="2700000" algn="tl" rotWithShape="0">
                            <a:prstClr val="black">
                              <a:alpha val="40000"/>
                            </a:prstClr>
                          </a:outerShdw>
                        </a:effectLst>
                      </wps:spPr>
                      <wps:txbx>
                        <w:txbxContent>
                          <w:p w14:paraId="34AFBC50" w14:textId="547D8C73" w:rsidR="003A6119" w:rsidRPr="003541E0" w:rsidRDefault="003A6119" w:rsidP="003A6119">
                            <w:pPr>
                              <w:spacing w:before="60" w:after="60"/>
                              <w:jc w:val="center"/>
                              <w:rPr>
                                <w:b/>
                                <w:color w:val="FFFFFF" w:themeColor="background1"/>
                                <w:sz w:val="28"/>
                                <w:szCs w:val="28"/>
                              </w:rPr>
                            </w:pPr>
                            <w:r w:rsidRPr="0078056B">
                              <w:rPr>
                                <w:b/>
                                <w:color w:val="FFFFFF"/>
                                <w:sz w:val="28"/>
                                <w:szCs w:val="28"/>
                              </w:rPr>
                              <w:t xml:space="preserve">The total economic impact of teaching and learning generated by the 2021-22 cohort of University of Birmingham students </w:t>
                            </w:r>
                            <w:r w:rsidR="007F22C8">
                              <w:rPr>
                                <w:b/>
                                <w:color w:val="FFFFFF"/>
                                <w:sz w:val="28"/>
                                <w:szCs w:val="28"/>
                              </w:rPr>
                              <w:t xml:space="preserve">stood </w:t>
                            </w:r>
                            <w:r w:rsidRPr="0078056B">
                              <w:rPr>
                                <w:b/>
                                <w:color w:val="FFFFFF"/>
                                <w:sz w:val="28"/>
                                <w:szCs w:val="28"/>
                              </w:rPr>
                              <w:t>at £1.35 billion.</w:t>
                            </w:r>
                          </w:p>
                        </w:txbxContent>
                      </wps:txbx>
                      <wps:bodyPr rot="0" vert="horz" wrap="square" lIns="18000" tIns="18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F919C6A" id="Text Box 337583824" o:spid="_x0000_s1039" type="#_x0000_t202" style="position:absolute;left:0;text-align:left;margin-left:267.8pt;margin-top:8.95pt;width:176.8pt;height:114.2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CXawIAAL8EAAAOAAAAZHJzL2Uyb0RvYy54bWysVE1v2zAMvQ/YfxB0X+04SZcZdYquXYcB&#10;3QfWDTvTshwLlUVNUmK3v36UnKRBdxuWgyBa0iPfe2QuLsdes510XqGp+Ows50wagY0ym4r//HH7&#10;ZsWZD2Aa0GhkxR+l55fr168uBlvKAjvUjXSMQIwvB1vxLgRbZpkXnezBn6GVhg5bdD0ECt0maxwM&#10;hN7rrMjz82xA11iHQnpPX2+mQ75O+G0rRfjatl4GpitOtYW0urTWcc3WF1BuHNhOiX0Z8A9V9KAM&#10;JT1C3UAAtnXqL6heCYce23AmsM+wbZWQiQOxmeUv2Nx3YGXiQuJ4e5TJ/z9Y8WV3b785Fsb3OJKB&#10;iYS3dygePDN43YHZyCvncOgkNJR4FiXLBuvL/dMotS99BKmHz9iQybANmIDG1vVRFeLJCJ0MeDyK&#10;LsfABH0sisVyfk5Hgs5mi2U+XyRbMigPz63z4aPEnsVNxR25muBhd+dDLAfKw5WYzaNWza3SOgWx&#10;k+S1dmwH1ANhLBKBF7e0YUPF3y2LZQI2GJ+n3uhVoAbVqq/4Ko+/qWWiGh9Mk64EUHraUyHaxKwy&#10;tR5Vl9hvCeK+awZW6637Dk3FlzmBcdaoyGe+mk0B9WXxdkrCQG9ooILmzGH4pUKXmiGqFyEj3SOn&#10;WoN4mATRtoOJ6OJQ614cup2EwkMxKTqpM3kabZwMDWM9MkWlzuaRcfS4xuaRXKZ6kpU09bTp0D1x&#10;NtAEVdz/3oKTnOlPJnZK1ItG7jRwp0F9GoARBEWMOZu212Ea0611atNRpqk3DV5Rd7Uq+f5c1b4n&#10;aUoSr/1ExzE8jdOt5/+d9R8AAAD//wMAUEsDBBQABgAIAAAAIQBSYDFo3wAAAAoBAAAPAAAAZHJz&#10;L2Rvd25yZXYueG1sTI9BT4NAEIXvJv6HzZh4s4tgKUWWppqotyaijdctTIF0d5aw24L/3vGkx8n7&#10;8t43xWa2Rlxw9L0jBfeLCARS7ZqeWgWfHy93GQgfNDXaOEIF3+hhU15fFTpv3ETveKlCK7iEfK4V&#10;dCEMuZS+7tBqv3ADEmdHN1od+Bxb2Yx64nJrZBxFqbS6J17o9IDPHdan6mwVTPv21YT5FHZP5vg1&#10;7Vdv1TZKlLq9mbePIALO4Q+GX31Wh5KdDu5MjRdGwTJZpoxysFqDYCDL1jGIg4L4IU1AloX8/0L5&#10;AwAA//8DAFBLAQItABQABgAIAAAAIQC2gziS/gAAAOEBAAATAAAAAAAAAAAAAAAAAAAAAABbQ29u&#10;dGVudF9UeXBlc10ueG1sUEsBAi0AFAAGAAgAAAAhADj9If/WAAAAlAEAAAsAAAAAAAAAAAAAAAAA&#10;LwEAAF9yZWxzLy5yZWxzUEsBAi0AFAAGAAgAAAAhABQiwJdrAgAAvwQAAA4AAAAAAAAAAAAAAAAA&#10;LgIAAGRycy9lMm9Eb2MueG1sUEsBAi0AFAAGAAgAAAAhAFJgMWjfAAAACgEAAA8AAAAAAAAAAAAA&#10;AAAAxQQAAGRycy9kb3ducmV2LnhtbFBLBQYAAAAABAAEAPMAAADRBQAAAAA=&#10;" o:allowincell="f" fillcolor="#06357a [3215]" stroked="f">
                <v:shadow on="t" color="black" opacity="26214f" origin="-.5,-.5" offset=".74836mm,.74836mm"/>
                <v:textbox inset=".5mm,.5mm,.5mm,.5mm">
                  <w:txbxContent>
                    <w:p w14:paraId="34AFBC50" w14:textId="547D8C73" w:rsidR="003A6119" w:rsidRPr="003541E0" w:rsidRDefault="003A6119" w:rsidP="003A6119">
                      <w:pPr>
                        <w:spacing w:before="60" w:after="60"/>
                        <w:jc w:val="center"/>
                        <w:rPr>
                          <w:b/>
                          <w:color w:val="FFFFFF" w:themeColor="background1"/>
                          <w:sz w:val="28"/>
                          <w:szCs w:val="28"/>
                        </w:rPr>
                      </w:pPr>
                      <w:r w:rsidRPr="0078056B">
                        <w:rPr>
                          <w:b/>
                          <w:color w:val="FFFFFF"/>
                          <w:sz w:val="28"/>
                          <w:szCs w:val="28"/>
                        </w:rPr>
                        <w:t xml:space="preserve">The total economic impact of teaching and learning generated by the 2021-22 cohort of University of Birmingham students </w:t>
                      </w:r>
                      <w:r w:rsidR="007F22C8">
                        <w:rPr>
                          <w:b/>
                          <w:color w:val="FFFFFF"/>
                          <w:sz w:val="28"/>
                          <w:szCs w:val="28"/>
                        </w:rPr>
                        <w:t xml:space="preserve">stood </w:t>
                      </w:r>
                      <w:r w:rsidRPr="0078056B">
                        <w:rPr>
                          <w:b/>
                          <w:color w:val="FFFFFF"/>
                          <w:sz w:val="28"/>
                          <w:szCs w:val="28"/>
                        </w:rPr>
                        <w:t>at £1.35 billion.</w:t>
                      </w:r>
                    </w:p>
                  </w:txbxContent>
                </v:textbox>
                <w10:wrap type="square" anchorx="margin"/>
              </v:shape>
            </w:pict>
          </mc:Fallback>
        </mc:AlternateContent>
      </w:r>
      <w:r w:rsidRPr="0078056B">
        <w:rPr>
          <w:rFonts w:eastAsia="Calibri" w:cs="Times New Roman"/>
        </w:rPr>
        <w:t xml:space="preserve">This total impact is split evenly between the Exchequer and students, with </w:t>
      </w:r>
      <w:r w:rsidRPr="0078056B">
        <w:rPr>
          <w:rFonts w:asciiTheme="minorHAnsi" w:hAnsiTheme="minorHAnsi"/>
          <w:b/>
          <w:color w:val="06357A"/>
        </w:rPr>
        <w:t>£671 million</w:t>
      </w:r>
      <w:r w:rsidRPr="0078056B">
        <w:rPr>
          <w:rFonts w:eastAsia="Calibri" w:cs="Times New Roman"/>
        </w:rPr>
        <w:t xml:space="preserve"> </w:t>
      </w:r>
      <w:r w:rsidRPr="0078056B">
        <w:rPr>
          <w:rFonts w:eastAsia="Calibri" w:cs="Times New Roman"/>
          <w:bCs/>
        </w:rPr>
        <w:t xml:space="preserve">of the economic benefit </w:t>
      </w:r>
      <w:r w:rsidRPr="0078056B">
        <w:rPr>
          <w:rFonts w:eastAsia="Calibri" w:cs="Times New Roman"/>
        </w:rPr>
        <w:t xml:space="preserve">accrued by the Exchequer, and the remaining </w:t>
      </w:r>
      <w:r w:rsidRPr="0078056B">
        <w:rPr>
          <w:rFonts w:asciiTheme="minorHAnsi" w:hAnsiTheme="minorHAnsi"/>
          <w:b/>
          <w:color w:val="06357A"/>
        </w:rPr>
        <w:t>£674 million</w:t>
      </w:r>
      <w:r w:rsidRPr="0078056B">
        <w:rPr>
          <w:rFonts w:eastAsia="Calibri" w:cs="Times New Roman"/>
        </w:rPr>
        <w:t xml:space="preserve"> accrued by students. In terms of study level, </w:t>
      </w:r>
      <w:r w:rsidRPr="0078056B">
        <w:rPr>
          <w:rFonts w:asciiTheme="minorHAnsi" w:hAnsiTheme="minorHAnsi"/>
          <w:b/>
          <w:color w:val="06357A"/>
        </w:rPr>
        <w:t>75%</w:t>
      </w:r>
      <w:r w:rsidRPr="0078056B">
        <w:rPr>
          <w:rFonts w:eastAsia="Calibri" w:cs="Times New Roman"/>
        </w:rPr>
        <w:t xml:space="preserve"> (</w:t>
      </w:r>
      <w:r w:rsidRPr="0078056B">
        <w:rPr>
          <w:rFonts w:asciiTheme="minorHAnsi" w:hAnsiTheme="minorHAnsi"/>
          <w:b/>
          <w:color w:val="06357A"/>
        </w:rPr>
        <w:t>£1,013 million</w:t>
      </w:r>
      <w:r w:rsidRPr="0078056B">
        <w:rPr>
          <w:rFonts w:eastAsia="Calibri" w:cs="Times New Roman"/>
        </w:rPr>
        <w:t xml:space="preserve">) of the estimated economic impact is generated by the University of Birmingham’s undergraduate students, with the remaining </w:t>
      </w:r>
      <w:r w:rsidRPr="0078056B">
        <w:rPr>
          <w:rFonts w:asciiTheme="minorHAnsi" w:hAnsiTheme="minorHAnsi"/>
          <w:b/>
          <w:color w:val="06357A"/>
        </w:rPr>
        <w:t>25%</w:t>
      </w:r>
      <w:r w:rsidRPr="0078056B">
        <w:rPr>
          <w:rFonts w:eastAsia="Calibri" w:cs="Times New Roman"/>
        </w:rPr>
        <w:t xml:space="preserve"> (</w:t>
      </w:r>
      <w:r w:rsidRPr="0078056B">
        <w:rPr>
          <w:rFonts w:asciiTheme="minorHAnsi" w:hAnsiTheme="minorHAnsi"/>
          <w:b/>
          <w:color w:val="06357A"/>
        </w:rPr>
        <w:t>£333 million</w:t>
      </w:r>
      <w:r w:rsidRPr="0078056B">
        <w:rPr>
          <w:rFonts w:eastAsia="Calibri" w:cs="Times New Roman"/>
        </w:rPr>
        <w:t xml:space="preserve">) generated by the University’s postgraduate students. In terms of domicile, </w:t>
      </w:r>
      <w:r w:rsidRPr="0078056B">
        <w:rPr>
          <w:rFonts w:asciiTheme="minorHAnsi" w:hAnsiTheme="minorHAnsi"/>
          <w:b/>
          <w:color w:val="06357A"/>
        </w:rPr>
        <w:t>96%</w:t>
      </w:r>
      <w:r w:rsidRPr="0078056B">
        <w:rPr>
          <w:rFonts w:eastAsia="Calibri" w:cs="Times New Roman"/>
        </w:rPr>
        <w:t xml:space="preserve"> (</w:t>
      </w:r>
      <w:r w:rsidRPr="0078056B">
        <w:rPr>
          <w:rFonts w:asciiTheme="minorHAnsi" w:hAnsiTheme="minorHAnsi"/>
          <w:b/>
          <w:color w:val="06357A"/>
        </w:rPr>
        <w:t>£1,295 million</w:t>
      </w:r>
      <w:r w:rsidRPr="0078056B">
        <w:rPr>
          <w:rFonts w:eastAsia="Calibri" w:cs="Times New Roman"/>
        </w:rPr>
        <w:t>) of the estimated economic impact is associated with students from England.</w:t>
      </w:r>
    </w:p>
    <w:p w14:paraId="6AD7CDFF" w14:textId="59307623" w:rsidR="003A6119" w:rsidRPr="0078056B" w:rsidRDefault="0021730A" w:rsidP="0021730A">
      <w:pPr>
        <w:pStyle w:val="TableTitle"/>
      </w:pPr>
      <w:bookmarkStart w:id="226" w:name="_Ref161750297"/>
      <w:bookmarkStart w:id="227" w:name="_Toc168652164"/>
      <w:r w:rsidRPr="0078056B">
        <w:lastRenderedPageBreak/>
        <w:t>Aggregate impact of the University of Birmingham’s teaching and learning activities associated with the 2021-22 cohort (£m), by type of impact, domicile, and level of study</w:t>
      </w:r>
      <w:bookmarkEnd w:id="226"/>
      <w:bookmarkEnd w:id="227"/>
    </w:p>
    <w:tbl>
      <w:tblPr>
        <w:tblW w:w="5000" w:type="pct"/>
        <w:tblBorders>
          <w:top w:val="single" w:sz="4" w:space="0" w:color="BFBFBF"/>
          <w:bottom w:val="single" w:sz="4" w:space="0" w:color="BFBFBF"/>
          <w:insideH w:val="single" w:sz="4" w:space="0" w:color="BFBFBF"/>
          <w:insideV w:val="single" w:sz="4" w:space="0" w:color="BFBFBF"/>
        </w:tblBorders>
        <w:tblCellMar>
          <w:left w:w="0" w:type="dxa"/>
          <w:right w:w="0" w:type="dxa"/>
        </w:tblCellMar>
        <w:tblLook w:val="0000" w:firstRow="0" w:lastRow="0" w:firstColumn="0" w:lastColumn="0" w:noHBand="0" w:noVBand="0"/>
      </w:tblPr>
      <w:tblGrid>
        <w:gridCol w:w="1558"/>
        <w:gridCol w:w="1719"/>
        <w:gridCol w:w="1480"/>
        <w:gridCol w:w="1544"/>
        <w:gridCol w:w="1275"/>
        <w:gridCol w:w="1268"/>
      </w:tblGrid>
      <w:tr w:rsidR="003A6119" w:rsidRPr="0078056B" w14:paraId="0EFF410D" w14:textId="77777777" w:rsidTr="000A186C">
        <w:trPr>
          <w:trHeight w:val="283"/>
        </w:trPr>
        <w:tc>
          <w:tcPr>
            <w:tcW w:w="880" w:type="pct"/>
            <w:vMerge w:val="restart"/>
            <w:tcBorders>
              <w:top w:val="single" w:sz="4" w:space="0" w:color="06357A"/>
            </w:tcBorders>
            <w:shd w:val="clear" w:color="auto" w:fill="auto"/>
            <w:vAlign w:val="center"/>
          </w:tcPr>
          <w:p w14:paraId="74068DF8" w14:textId="77777777" w:rsidR="003A6119" w:rsidRPr="0078056B" w:rsidRDefault="003A6119" w:rsidP="000A186C">
            <w:pPr>
              <w:pStyle w:val="TableHeading"/>
              <w:keepNext/>
              <w:ind w:left="57" w:right="57"/>
              <w:rPr>
                <w:szCs w:val="20"/>
              </w:rPr>
            </w:pPr>
            <w:r w:rsidRPr="0078056B">
              <w:rPr>
                <w:szCs w:val="20"/>
              </w:rPr>
              <w:t>Beneficiary and study level</w:t>
            </w:r>
          </w:p>
        </w:tc>
        <w:tc>
          <w:tcPr>
            <w:tcW w:w="4120" w:type="pct"/>
            <w:gridSpan w:val="5"/>
            <w:tcBorders>
              <w:top w:val="single" w:sz="4" w:space="0" w:color="06357A"/>
              <w:bottom w:val="single" w:sz="4" w:space="0" w:color="06357A"/>
            </w:tcBorders>
            <w:shd w:val="clear" w:color="auto" w:fill="auto"/>
            <w:vAlign w:val="center"/>
          </w:tcPr>
          <w:p w14:paraId="3A81574F" w14:textId="77777777" w:rsidR="003A6119" w:rsidRPr="0078056B" w:rsidRDefault="003A6119" w:rsidP="000A186C">
            <w:pPr>
              <w:pStyle w:val="TableHeading"/>
              <w:keepNext/>
              <w:ind w:left="57" w:right="57"/>
              <w:jc w:val="center"/>
              <w:rPr>
                <w:szCs w:val="20"/>
              </w:rPr>
            </w:pPr>
            <w:r w:rsidRPr="0078056B">
              <w:rPr>
                <w:szCs w:val="20"/>
              </w:rPr>
              <w:t>Domicile</w:t>
            </w:r>
          </w:p>
        </w:tc>
      </w:tr>
      <w:tr w:rsidR="003A6119" w:rsidRPr="0078056B" w14:paraId="37F8780C" w14:textId="77777777" w:rsidTr="000A186C">
        <w:trPr>
          <w:trHeight w:val="283"/>
        </w:trPr>
        <w:tc>
          <w:tcPr>
            <w:tcW w:w="880" w:type="pct"/>
            <w:vMerge/>
            <w:tcBorders>
              <w:bottom w:val="nil"/>
            </w:tcBorders>
            <w:shd w:val="clear" w:color="auto" w:fill="auto"/>
            <w:vAlign w:val="center"/>
          </w:tcPr>
          <w:p w14:paraId="716F50E8" w14:textId="77777777" w:rsidR="003A6119" w:rsidRPr="0078056B" w:rsidRDefault="003A6119" w:rsidP="000A186C">
            <w:pPr>
              <w:pStyle w:val="TableHeading"/>
              <w:keepNext/>
              <w:ind w:left="57" w:right="57"/>
              <w:jc w:val="center"/>
              <w:rPr>
                <w:szCs w:val="20"/>
              </w:rPr>
            </w:pPr>
          </w:p>
        </w:tc>
        <w:tc>
          <w:tcPr>
            <w:tcW w:w="972" w:type="pct"/>
            <w:tcBorders>
              <w:top w:val="single" w:sz="4" w:space="0" w:color="06357A"/>
              <w:bottom w:val="nil"/>
            </w:tcBorders>
            <w:shd w:val="clear" w:color="auto" w:fill="auto"/>
            <w:vAlign w:val="center"/>
          </w:tcPr>
          <w:p w14:paraId="567FD588" w14:textId="77777777" w:rsidR="003A6119" w:rsidRPr="0078056B" w:rsidRDefault="003A6119" w:rsidP="000A186C">
            <w:pPr>
              <w:pStyle w:val="TableHeading"/>
              <w:keepNext/>
              <w:ind w:left="57" w:right="57"/>
              <w:jc w:val="center"/>
              <w:rPr>
                <w:szCs w:val="20"/>
              </w:rPr>
            </w:pPr>
            <w:r w:rsidRPr="0078056B">
              <w:rPr>
                <w:szCs w:val="20"/>
              </w:rPr>
              <w:t>England</w:t>
            </w:r>
          </w:p>
        </w:tc>
        <w:tc>
          <w:tcPr>
            <w:tcW w:w="837" w:type="pct"/>
            <w:tcBorders>
              <w:top w:val="single" w:sz="4" w:space="0" w:color="06357A"/>
              <w:bottom w:val="nil"/>
            </w:tcBorders>
            <w:shd w:val="clear" w:color="auto" w:fill="auto"/>
            <w:vAlign w:val="center"/>
          </w:tcPr>
          <w:p w14:paraId="012FA8FD" w14:textId="77777777" w:rsidR="003A6119" w:rsidRPr="0078056B" w:rsidRDefault="003A6119" w:rsidP="000A186C">
            <w:pPr>
              <w:pStyle w:val="TableHeading"/>
              <w:keepNext/>
              <w:ind w:left="57" w:right="57"/>
              <w:jc w:val="center"/>
              <w:rPr>
                <w:szCs w:val="20"/>
              </w:rPr>
            </w:pPr>
            <w:r w:rsidRPr="0078056B">
              <w:rPr>
                <w:szCs w:val="20"/>
              </w:rPr>
              <w:t>Wales</w:t>
            </w:r>
          </w:p>
        </w:tc>
        <w:tc>
          <w:tcPr>
            <w:tcW w:w="873" w:type="pct"/>
            <w:tcBorders>
              <w:top w:val="single" w:sz="4" w:space="0" w:color="06357A"/>
              <w:bottom w:val="nil"/>
            </w:tcBorders>
            <w:shd w:val="clear" w:color="auto" w:fill="auto"/>
            <w:vAlign w:val="center"/>
          </w:tcPr>
          <w:p w14:paraId="1C729893" w14:textId="77777777" w:rsidR="003A6119" w:rsidRPr="0078056B" w:rsidRDefault="003A6119" w:rsidP="000A186C">
            <w:pPr>
              <w:pStyle w:val="TableHeading"/>
              <w:keepNext/>
              <w:ind w:left="57" w:right="57"/>
              <w:jc w:val="center"/>
              <w:rPr>
                <w:szCs w:val="20"/>
              </w:rPr>
            </w:pPr>
            <w:r w:rsidRPr="0078056B">
              <w:rPr>
                <w:szCs w:val="20"/>
              </w:rPr>
              <w:t>Scotland</w:t>
            </w:r>
          </w:p>
        </w:tc>
        <w:tc>
          <w:tcPr>
            <w:tcW w:w="721" w:type="pct"/>
            <w:tcBorders>
              <w:top w:val="single" w:sz="4" w:space="0" w:color="06357A"/>
              <w:bottom w:val="nil"/>
            </w:tcBorders>
            <w:shd w:val="clear" w:color="auto" w:fill="auto"/>
            <w:vAlign w:val="center"/>
          </w:tcPr>
          <w:p w14:paraId="73540EC0" w14:textId="77777777" w:rsidR="003A6119" w:rsidRPr="0078056B" w:rsidRDefault="003A6119" w:rsidP="000A186C">
            <w:pPr>
              <w:pStyle w:val="TableHeading"/>
              <w:keepNext/>
              <w:ind w:left="57" w:right="57"/>
              <w:jc w:val="center"/>
              <w:rPr>
                <w:szCs w:val="20"/>
              </w:rPr>
            </w:pPr>
            <w:r w:rsidRPr="0078056B">
              <w:rPr>
                <w:szCs w:val="20"/>
              </w:rPr>
              <w:t>Northern Ireland</w:t>
            </w:r>
          </w:p>
        </w:tc>
        <w:tc>
          <w:tcPr>
            <w:tcW w:w="718" w:type="pct"/>
            <w:tcBorders>
              <w:top w:val="single" w:sz="4" w:space="0" w:color="06357A"/>
              <w:bottom w:val="nil"/>
            </w:tcBorders>
            <w:shd w:val="clear" w:color="auto" w:fill="auto"/>
            <w:vAlign w:val="center"/>
          </w:tcPr>
          <w:p w14:paraId="7AC6CECD" w14:textId="77777777" w:rsidR="003A6119" w:rsidRPr="0078056B" w:rsidRDefault="003A6119" w:rsidP="000A186C">
            <w:pPr>
              <w:pStyle w:val="TableHeading"/>
              <w:keepNext/>
              <w:ind w:left="57" w:right="57"/>
              <w:jc w:val="center"/>
              <w:rPr>
                <w:szCs w:val="20"/>
              </w:rPr>
            </w:pPr>
            <w:r w:rsidRPr="0078056B">
              <w:rPr>
                <w:szCs w:val="20"/>
              </w:rPr>
              <w:t>Total</w:t>
            </w:r>
          </w:p>
        </w:tc>
      </w:tr>
      <w:tr w:rsidR="003A6119" w:rsidRPr="0078056B" w14:paraId="1F7205FA" w14:textId="77777777" w:rsidTr="000A186C">
        <w:trPr>
          <w:trHeight w:val="283"/>
        </w:trPr>
        <w:tc>
          <w:tcPr>
            <w:tcW w:w="880" w:type="pct"/>
            <w:tcBorders>
              <w:top w:val="nil"/>
              <w:bottom w:val="nil"/>
            </w:tcBorders>
            <w:shd w:val="clear" w:color="auto" w:fill="0B5ED7"/>
            <w:vAlign w:val="center"/>
          </w:tcPr>
          <w:p w14:paraId="52223BA6" w14:textId="77777777" w:rsidR="003A6119" w:rsidRPr="0078056B" w:rsidRDefault="003A6119" w:rsidP="000A186C">
            <w:pPr>
              <w:keepNext/>
              <w:keepLines/>
              <w:spacing w:before="0" w:after="0"/>
              <w:ind w:left="57" w:right="57"/>
              <w:jc w:val="left"/>
              <w:rPr>
                <w:b/>
                <w:bCs/>
                <w:color w:val="FFFFFF" w:themeColor="background1"/>
                <w:sz w:val="20"/>
                <w:szCs w:val="20"/>
              </w:rPr>
            </w:pPr>
            <w:r w:rsidRPr="0078056B">
              <w:rPr>
                <w:b/>
                <w:bCs/>
                <w:color w:val="FFFFFF" w:themeColor="background1"/>
                <w:sz w:val="20"/>
                <w:szCs w:val="20"/>
              </w:rPr>
              <w:t>Students</w:t>
            </w:r>
          </w:p>
        </w:tc>
        <w:tc>
          <w:tcPr>
            <w:tcW w:w="972" w:type="pct"/>
            <w:tcBorders>
              <w:top w:val="nil"/>
              <w:bottom w:val="nil"/>
            </w:tcBorders>
            <w:shd w:val="clear" w:color="auto" w:fill="0B5ED7"/>
          </w:tcPr>
          <w:p w14:paraId="0657409A" w14:textId="77777777" w:rsidR="003A6119" w:rsidRPr="0078056B" w:rsidRDefault="003A6119" w:rsidP="000A186C">
            <w:pPr>
              <w:keepNext/>
              <w:keepLines/>
              <w:spacing w:before="0" w:after="0"/>
              <w:ind w:left="57" w:right="57"/>
              <w:jc w:val="center"/>
              <w:rPr>
                <w:rFonts w:cs="Calibri"/>
                <w:b/>
                <w:bCs/>
                <w:color w:val="FFFFFF" w:themeColor="background1"/>
                <w:sz w:val="20"/>
                <w:szCs w:val="20"/>
              </w:rPr>
            </w:pPr>
            <w:r w:rsidRPr="0078056B">
              <w:rPr>
                <w:b/>
                <w:bCs/>
                <w:color w:val="FFFFFF" w:themeColor="background1"/>
                <w:sz w:val="20"/>
                <w:szCs w:val="20"/>
              </w:rPr>
              <w:t xml:space="preserve">£649m </w:t>
            </w:r>
          </w:p>
        </w:tc>
        <w:tc>
          <w:tcPr>
            <w:tcW w:w="837" w:type="pct"/>
            <w:tcBorders>
              <w:top w:val="nil"/>
              <w:bottom w:val="nil"/>
            </w:tcBorders>
            <w:shd w:val="clear" w:color="auto" w:fill="0B5ED7"/>
          </w:tcPr>
          <w:p w14:paraId="5C55F9A2" w14:textId="77777777" w:rsidR="003A6119" w:rsidRPr="0078056B" w:rsidRDefault="003A6119" w:rsidP="000A186C">
            <w:pPr>
              <w:keepNext/>
              <w:keepLines/>
              <w:spacing w:before="0" w:after="0"/>
              <w:ind w:left="57" w:right="57"/>
              <w:jc w:val="center"/>
              <w:rPr>
                <w:rFonts w:cs="Calibri"/>
                <w:b/>
                <w:bCs/>
                <w:color w:val="FFFFFF" w:themeColor="background1"/>
                <w:sz w:val="20"/>
                <w:szCs w:val="20"/>
              </w:rPr>
            </w:pPr>
            <w:r w:rsidRPr="0078056B">
              <w:rPr>
                <w:b/>
                <w:bCs/>
                <w:color w:val="FFFFFF" w:themeColor="background1"/>
                <w:sz w:val="20"/>
                <w:szCs w:val="20"/>
              </w:rPr>
              <w:t xml:space="preserve">£20m </w:t>
            </w:r>
          </w:p>
        </w:tc>
        <w:tc>
          <w:tcPr>
            <w:tcW w:w="873" w:type="pct"/>
            <w:tcBorders>
              <w:top w:val="nil"/>
              <w:bottom w:val="nil"/>
            </w:tcBorders>
            <w:shd w:val="clear" w:color="auto" w:fill="0B5ED7"/>
          </w:tcPr>
          <w:p w14:paraId="6956A3B3" w14:textId="77777777" w:rsidR="003A6119" w:rsidRPr="0078056B" w:rsidRDefault="003A6119" w:rsidP="000A186C">
            <w:pPr>
              <w:keepNext/>
              <w:keepLines/>
              <w:spacing w:before="0" w:after="0"/>
              <w:ind w:left="57" w:right="57"/>
              <w:jc w:val="center"/>
              <w:rPr>
                <w:rFonts w:cs="Calibri"/>
                <w:b/>
                <w:bCs/>
                <w:color w:val="FFFFFF" w:themeColor="background1"/>
                <w:sz w:val="20"/>
                <w:szCs w:val="20"/>
              </w:rPr>
            </w:pPr>
            <w:r w:rsidRPr="0078056B">
              <w:rPr>
                <w:b/>
                <w:bCs/>
                <w:color w:val="FFFFFF" w:themeColor="background1"/>
                <w:sz w:val="20"/>
                <w:szCs w:val="20"/>
              </w:rPr>
              <w:t xml:space="preserve">£2m </w:t>
            </w:r>
          </w:p>
        </w:tc>
        <w:tc>
          <w:tcPr>
            <w:tcW w:w="721" w:type="pct"/>
            <w:tcBorders>
              <w:top w:val="nil"/>
              <w:bottom w:val="nil"/>
            </w:tcBorders>
            <w:shd w:val="clear" w:color="auto" w:fill="0B5ED7"/>
          </w:tcPr>
          <w:p w14:paraId="3BD300CA" w14:textId="77777777" w:rsidR="003A6119" w:rsidRPr="0078056B" w:rsidRDefault="003A6119" w:rsidP="000A186C">
            <w:pPr>
              <w:keepNext/>
              <w:keepLines/>
              <w:spacing w:before="0" w:after="0"/>
              <w:ind w:left="57" w:right="57"/>
              <w:jc w:val="center"/>
              <w:rPr>
                <w:rFonts w:cs="Calibri"/>
                <w:b/>
                <w:bCs/>
                <w:color w:val="FFFFFF" w:themeColor="background1"/>
                <w:sz w:val="20"/>
                <w:szCs w:val="20"/>
              </w:rPr>
            </w:pPr>
            <w:r w:rsidRPr="0078056B">
              <w:rPr>
                <w:b/>
                <w:bCs/>
                <w:color w:val="FFFFFF" w:themeColor="background1"/>
                <w:sz w:val="20"/>
                <w:szCs w:val="20"/>
              </w:rPr>
              <w:t xml:space="preserve">£3m </w:t>
            </w:r>
          </w:p>
        </w:tc>
        <w:tc>
          <w:tcPr>
            <w:tcW w:w="718" w:type="pct"/>
            <w:tcBorders>
              <w:top w:val="nil"/>
              <w:bottom w:val="nil"/>
            </w:tcBorders>
            <w:shd w:val="clear" w:color="auto" w:fill="0B5ED7"/>
          </w:tcPr>
          <w:p w14:paraId="28D21B67" w14:textId="77777777" w:rsidR="003A6119" w:rsidRPr="0078056B" w:rsidRDefault="003A6119" w:rsidP="000A186C">
            <w:pPr>
              <w:keepNext/>
              <w:keepLines/>
              <w:spacing w:before="0" w:after="0"/>
              <w:ind w:left="57" w:right="57"/>
              <w:jc w:val="center"/>
              <w:rPr>
                <w:rFonts w:cs="Calibri"/>
                <w:b/>
                <w:bCs/>
                <w:color w:val="FFFFFF" w:themeColor="background1"/>
                <w:sz w:val="20"/>
                <w:szCs w:val="20"/>
              </w:rPr>
            </w:pPr>
            <w:r w:rsidRPr="0078056B">
              <w:rPr>
                <w:b/>
                <w:bCs/>
                <w:color w:val="FFFFFF" w:themeColor="background1"/>
                <w:sz w:val="20"/>
                <w:szCs w:val="20"/>
              </w:rPr>
              <w:t xml:space="preserve">£674m </w:t>
            </w:r>
          </w:p>
        </w:tc>
      </w:tr>
      <w:tr w:rsidR="003A6119" w:rsidRPr="0078056B" w14:paraId="52788F1A" w14:textId="77777777" w:rsidTr="000A186C">
        <w:trPr>
          <w:trHeight w:val="283"/>
        </w:trPr>
        <w:tc>
          <w:tcPr>
            <w:tcW w:w="880" w:type="pct"/>
            <w:tcBorders>
              <w:top w:val="nil"/>
            </w:tcBorders>
            <w:shd w:val="clear" w:color="auto" w:fill="auto"/>
            <w:vAlign w:val="center"/>
          </w:tcPr>
          <w:p w14:paraId="745C0D33" w14:textId="77777777" w:rsidR="003A6119" w:rsidRPr="0078056B" w:rsidRDefault="003A6119" w:rsidP="000A186C">
            <w:pPr>
              <w:keepNext/>
              <w:keepLines/>
              <w:spacing w:before="0" w:after="0"/>
              <w:ind w:left="57" w:right="57"/>
              <w:jc w:val="left"/>
              <w:rPr>
                <w:sz w:val="20"/>
                <w:szCs w:val="20"/>
              </w:rPr>
            </w:pPr>
            <w:r w:rsidRPr="0078056B">
              <w:rPr>
                <w:color w:val="000000"/>
                <w:sz w:val="20"/>
                <w:szCs w:val="20"/>
              </w:rPr>
              <w:t>Undergraduate</w:t>
            </w:r>
          </w:p>
        </w:tc>
        <w:tc>
          <w:tcPr>
            <w:tcW w:w="972" w:type="pct"/>
            <w:tcBorders>
              <w:top w:val="nil"/>
            </w:tcBorders>
            <w:shd w:val="clear" w:color="auto" w:fill="auto"/>
          </w:tcPr>
          <w:p w14:paraId="0A736560"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£500m </w:t>
            </w:r>
          </w:p>
        </w:tc>
        <w:tc>
          <w:tcPr>
            <w:tcW w:w="837" w:type="pct"/>
            <w:tcBorders>
              <w:top w:val="nil"/>
            </w:tcBorders>
            <w:shd w:val="clear" w:color="auto" w:fill="auto"/>
          </w:tcPr>
          <w:p w14:paraId="0804D37E"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£15m </w:t>
            </w:r>
          </w:p>
        </w:tc>
        <w:tc>
          <w:tcPr>
            <w:tcW w:w="873" w:type="pct"/>
            <w:tcBorders>
              <w:top w:val="nil"/>
            </w:tcBorders>
            <w:shd w:val="clear" w:color="auto" w:fill="auto"/>
          </w:tcPr>
          <w:p w14:paraId="3C32446B"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£1m </w:t>
            </w:r>
          </w:p>
        </w:tc>
        <w:tc>
          <w:tcPr>
            <w:tcW w:w="721" w:type="pct"/>
            <w:tcBorders>
              <w:top w:val="nil"/>
            </w:tcBorders>
            <w:shd w:val="clear" w:color="auto" w:fill="auto"/>
          </w:tcPr>
          <w:p w14:paraId="6F7786D3"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£2m </w:t>
            </w:r>
          </w:p>
        </w:tc>
        <w:tc>
          <w:tcPr>
            <w:tcW w:w="718" w:type="pct"/>
            <w:tcBorders>
              <w:top w:val="nil"/>
            </w:tcBorders>
            <w:shd w:val="clear" w:color="auto" w:fill="auto"/>
          </w:tcPr>
          <w:p w14:paraId="577C3134" w14:textId="77777777" w:rsidR="003A6119" w:rsidRPr="0078056B" w:rsidRDefault="003A6119" w:rsidP="000A186C">
            <w:pPr>
              <w:keepNext/>
              <w:keepLines/>
              <w:spacing w:before="0" w:after="0"/>
              <w:ind w:left="57" w:right="57"/>
              <w:jc w:val="center"/>
              <w:rPr>
                <w:b/>
                <w:bCs/>
                <w:i/>
                <w:color w:val="06357A"/>
                <w:sz w:val="20"/>
                <w:szCs w:val="20"/>
              </w:rPr>
            </w:pPr>
            <w:r w:rsidRPr="0078056B">
              <w:rPr>
                <w:b/>
                <w:bCs/>
                <w:color w:val="06357A"/>
                <w:sz w:val="20"/>
                <w:szCs w:val="20"/>
              </w:rPr>
              <w:t xml:space="preserve">£518m </w:t>
            </w:r>
          </w:p>
        </w:tc>
      </w:tr>
      <w:tr w:rsidR="003A6119" w:rsidRPr="0078056B" w14:paraId="100BD7F9" w14:textId="77777777" w:rsidTr="000A186C">
        <w:trPr>
          <w:trHeight w:val="283"/>
        </w:trPr>
        <w:tc>
          <w:tcPr>
            <w:tcW w:w="880" w:type="pct"/>
            <w:tcBorders>
              <w:bottom w:val="single" w:sz="4" w:space="0" w:color="06357A"/>
            </w:tcBorders>
            <w:shd w:val="clear" w:color="auto" w:fill="auto"/>
            <w:vAlign w:val="center"/>
          </w:tcPr>
          <w:p w14:paraId="7616B1E8" w14:textId="77777777" w:rsidR="003A6119" w:rsidRPr="0078056B" w:rsidRDefault="003A6119" w:rsidP="000A186C">
            <w:pPr>
              <w:keepNext/>
              <w:keepLines/>
              <w:spacing w:before="0" w:after="0"/>
              <w:ind w:left="57" w:right="57"/>
              <w:jc w:val="left"/>
              <w:rPr>
                <w:sz w:val="20"/>
                <w:szCs w:val="20"/>
              </w:rPr>
            </w:pPr>
            <w:r w:rsidRPr="0078056B">
              <w:rPr>
                <w:color w:val="000000"/>
                <w:sz w:val="20"/>
                <w:szCs w:val="20"/>
              </w:rPr>
              <w:t>Postgraduate</w:t>
            </w:r>
          </w:p>
        </w:tc>
        <w:tc>
          <w:tcPr>
            <w:tcW w:w="972" w:type="pct"/>
            <w:tcBorders>
              <w:bottom w:val="single" w:sz="4" w:space="0" w:color="06357A"/>
            </w:tcBorders>
            <w:shd w:val="clear" w:color="auto" w:fill="auto"/>
          </w:tcPr>
          <w:p w14:paraId="5FB40CD6"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£149m </w:t>
            </w:r>
          </w:p>
        </w:tc>
        <w:tc>
          <w:tcPr>
            <w:tcW w:w="837" w:type="pct"/>
            <w:tcBorders>
              <w:bottom w:val="single" w:sz="4" w:space="0" w:color="06357A"/>
            </w:tcBorders>
            <w:shd w:val="clear" w:color="auto" w:fill="auto"/>
          </w:tcPr>
          <w:p w14:paraId="195D5BD1"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£5m </w:t>
            </w:r>
          </w:p>
        </w:tc>
        <w:tc>
          <w:tcPr>
            <w:tcW w:w="873" w:type="pct"/>
            <w:tcBorders>
              <w:bottom w:val="single" w:sz="4" w:space="0" w:color="06357A"/>
            </w:tcBorders>
            <w:shd w:val="clear" w:color="auto" w:fill="auto"/>
          </w:tcPr>
          <w:p w14:paraId="2D980DE2"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£1m </w:t>
            </w:r>
          </w:p>
        </w:tc>
        <w:tc>
          <w:tcPr>
            <w:tcW w:w="721" w:type="pct"/>
            <w:tcBorders>
              <w:bottom w:val="single" w:sz="4" w:space="0" w:color="06357A"/>
            </w:tcBorders>
            <w:shd w:val="clear" w:color="auto" w:fill="auto"/>
          </w:tcPr>
          <w:p w14:paraId="3D597057"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£1m </w:t>
            </w:r>
          </w:p>
        </w:tc>
        <w:tc>
          <w:tcPr>
            <w:tcW w:w="718" w:type="pct"/>
            <w:tcBorders>
              <w:bottom w:val="single" w:sz="4" w:space="0" w:color="06357A"/>
            </w:tcBorders>
            <w:shd w:val="clear" w:color="auto" w:fill="auto"/>
          </w:tcPr>
          <w:p w14:paraId="2B37A042" w14:textId="77777777" w:rsidR="003A6119" w:rsidRPr="0078056B" w:rsidRDefault="003A6119" w:rsidP="000A186C">
            <w:pPr>
              <w:keepNext/>
              <w:keepLines/>
              <w:spacing w:before="0" w:after="0"/>
              <w:ind w:left="57" w:right="57"/>
              <w:jc w:val="center"/>
              <w:rPr>
                <w:b/>
                <w:bCs/>
                <w:i/>
                <w:color w:val="06357A"/>
                <w:sz w:val="20"/>
                <w:szCs w:val="20"/>
              </w:rPr>
            </w:pPr>
            <w:r w:rsidRPr="0078056B">
              <w:rPr>
                <w:b/>
                <w:bCs/>
                <w:color w:val="06357A"/>
                <w:sz w:val="20"/>
                <w:szCs w:val="20"/>
              </w:rPr>
              <w:t xml:space="preserve">£156m </w:t>
            </w:r>
          </w:p>
        </w:tc>
      </w:tr>
      <w:tr w:rsidR="003A6119" w:rsidRPr="0078056B" w14:paraId="57162E8C" w14:textId="77777777" w:rsidTr="000A186C">
        <w:trPr>
          <w:trHeight w:val="283"/>
        </w:trPr>
        <w:tc>
          <w:tcPr>
            <w:tcW w:w="880" w:type="pct"/>
            <w:tcBorders>
              <w:top w:val="single" w:sz="4" w:space="0" w:color="06357A"/>
              <w:bottom w:val="nil"/>
            </w:tcBorders>
            <w:shd w:val="clear" w:color="auto" w:fill="0B5ED7"/>
            <w:vAlign w:val="center"/>
          </w:tcPr>
          <w:p w14:paraId="316936B0" w14:textId="77777777" w:rsidR="003A6119" w:rsidRPr="0078056B" w:rsidRDefault="003A6119" w:rsidP="000A186C">
            <w:pPr>
              <w:keepNext/>
              <w:keepLines/>
              <w:spacing w:before="0" w:after="0"/>
              <w:ind w:left="57" w:right="57"/>
              <w:jc w:val="left"/>
              <w:rPr>
                <w:b/>
                <w:bCs/>
                <w:color w:val="FFFFFF" w:themeColor="background1"/>
                <w:sz w:val="20"/>
                <w:szCs w:val="20"/>
              </w:rPr>
            </w:pPr>
            <w:r w:rsidRPr="0078056B">
              <w:rPr>
                <w:b/>
                <w:bCs/>
                <w:color w:val="FFFFFF" w:themeColor="background1"/>
                <w:sz w:val="20"/>
                <w:szCs w:val="20"/>
              </w:rPr>
              <w:t>Exchequer</w:t>
            </w:r>
          </w:p>
        </w:tc>
        <w:tc>
          <w:tcPr>
            <w:tcW w:w="972" w:type="pct"/>
            <w:tcBorders>
              <w:top w:val="single" w:sz="4" w:space="0" w:color="06357A"/>
              <w:bottom w:val="nil"/>
            </w:tcBorders>
            <w:shd w:val="clear" w:color="auto" w:fill="0B5ED7"/>
          </w:tcPr>
          <w:p w14:paraId="2C63BF80" w14:textId="77777777" w:rsidR="003A6119" w:rsidRPr="0078056B" w:rsidRDefault="003A6119" w:rsidP="000A186C">
            <w:pPr>
              <w:keepNext/>
              <w:keepLines/>
              <w:spacing w:before="0" w:after="0"/>
              <w:ind w:left="57" w:right="57"/>
              <w:jc w:val="center"/>
              <w:rPr>
                <w:rFonts w:cs="Calibri"/>
                <w:b/>
                <w:bCs/>
                <w:color w:val="FFFFFF" w:themeColor="background1"/>
                <w:sz w:val="20"/>
                <w:szCs w:val="20"/>
              </w:rPr>
            </w:pPr>
            <w:r w:rsidRPr="0078056B">
              <w:rPr>
                <w:b/>
                <w:bCs/>
                <w:color w:val="FFFFFF" w:themeColor="background1"/>
                <w:sz w:val="20"/>
                <w:szCs w:val="20"/>
              </w:rPr>
              <w:t xml:space="preserve">£646m </w:t>
            </w:r>
          </w:p>
        </w:tc>
        <w:tc>
          <w:tcPr>
            <w:tcW w:w="837" w:type="pct"/>
            <w:tcBorders>
              <w:top w:val="single" w:sz="4" w:space="0" w:color="06357A"/>
              <w:bottom w:val="nil"/>
            </w:tcBorders>
            <w:shd w:val="clear" w:color="auto" w:fill="0B5ED7"/>
          </w:tcPr>
          <w:p w14:paraId="09B668DF" w14:textId="77777777" w:rsidR="003A6119" w:rsidRPr="0078056B" w:rsidRDefault="003A6119" w:rsidP="000A186C">
            <w:pPr>
              <w:keepNext/>
              <w:keepLines/>
              <w:spacing w:before="0" w:after="0"/>
              <w:ind w:left="57" w:right="57"/>
              <w:jc w:val="center"/>
              <w:rPr>
                <w:rFonts w:cs="Calibri"/>
                <w:b/>
                <w:bCs/>
                <w:color w:val="FFFFFF" w:themeColor="background1"/>
                <w:sz w:val="20"/>
                <w:szCs w:val="20"/>
              </w:rPr>
            </w:pPr>
            <w:r w:rsidRPr="0078056B">
              <w:rPr>
                <w:b/>
                <w:bCs/>
                <w:color w:val="FFFFFF" w:themeColor="background1"/>
                <w:sz w:val="20"/>
                <w:szCs w:val="20"/>
              </w:rPr>
              <w:t xml:space="preserve">£20m </w:t>
            </w:r>
          </w:p>
        </w:tc>
        <w:tc>
          <w:tcPr>
            <w:tcW w:w="873" w:type="pct"/>
            <w:tcBorders>
              <w:top w:val="single" w:sz="4" w:space="0" w:color="06357A"/>
              <w:bottom w:val="nil"/>
            </w:tcBorders>
            <w:shd w:val="clear" w:color="auto" w:fill="0B5ED7"/>
          </w:tcPr>
          <w:p w14:paraId="35E1DE8C" w14:textId="77777777" w:rsidR="003A6119" w:rsidRPr="0078056B" w:rsidRDefault="003A6119" w:rsidP="000A186C">
            <w:pPr>
              <w:keepNext/>
              <w:keepLines/>
              <w:spacing w:before="0" w:after="0"/>
              <w:ind w:left="57" w:right="57"/>
              <w:jc w:val="center"/>
              <w:rPr>
                <w:rFonts w:cs="Calibri"/>
                <w:b/>
                <w:bCs/>
                <w:color w:val="FFFFFF" w:themeColor="background1"/>
                <w:sz w:val="20"/>
                <w:szCs w:val="20"/>
              </w:rPr>
            </w:pPr>
            <w:r w:rsidRPr="0078056B">
              <w:rPr>
                <w:b/>
                <w:bCs/>
                <w:color w:val="FFFFFF" w:themeColor="background1"/>
                <w:sz w:val="20"/>
                <w:szCs w:val="20"/>
              </w:rPr>
              <w:t xml:space="preserve">£3m </w:t>
            </w:r>
          </w:p>
        </w:tc>
        <w:tc>
          <w:tcPr>
            <w:tcW w:w="721" w:type="pct"/>
            <w:tcBorders>
              <w:top w:val="single" w:sz="4" w:space="0" w:color="06357A"/>
              <w:bottom w:val="nil"/>
            </w:tcBorders>
            <w:shd w:val="clear" w:color="auto" w:fill="0B5ED7"/>
          </w:tcPr>
          <w:p w14:paraId="352368CB" w14:textId="77777777" w:rsidR="003A6119" w:rsidRPr="0078056B" w:rsidRDefault="003A6119" w:rsidP="000A186C">
            <w:pPr>
              <w:keepNext/>
              <w:keepLines/>
              <w:spacing w:before="0" w:after="0"/>
              <w:ind w:left="57" w:right="57"/>
              <w:jc w:val="center"/>
              <w:rPr>
                <w:rFonts w:cs="Calibri"/>
                <w:b/>
                <w:bCs/>
                <w:color w:val="FFFFFF" w:themeColor="background1"/>
                <w:sz w:val="20"/>
                <w:szCs w:val="20"/>
              </w:rPr>
            </w:pPr>
            <w:r w:rsidRPr="0078056B">
              <w:rPr>
                <w:b/>
                <w:bCs/>
                <w:color w:val="FFFFFF" w:themeColor="background1"/>
                <w:sz w:val="20"/>
                <w:szCs w:val="20"/>
              </w:rPr>
              <w:t xml:space="preserve">£3m </w:t>
            </w:r>
          </w:p>
        </w:tc>
        <w:tc>
          <w:tcPr>
            <w:tcW w:w="718" w:type="pct"/>
            <w:tcBorders>
              <w:top w:val="single" w:sz="4" w:space="0" w:color="06357A"/>
              <w:bottom w:val="nil"/>
            </w:tcBorders>
            <w:shd w:val="clear" w:color="auto" w:fill="0B5ED7"/>
          </w:tcPr>
          <w:p w14:paraId="2A77F59C" w14:textId="77777777" w:rsidR="003A6119" w:rsidRPr="0078056B" w:rsidRDefault="003A6119" w:rsidP="000A186C">
            <w:pPr>
              <w:keepNext/>
              <w:keepLines/>
              <w:spacing w:before="0" w:after="0"/>
              <w:ind w:left="57" w:right="57"/>
              <w:jc w:val="center"/>
              <w:rPr>
                <w:rFonts w:cs="Calibri"/>
                <w:b/>
                <w:bCs/>
                <w:color w:val="FFFFFF" w:themeColor="background1"/>
                <w:sz w:val="20"/>
                <w:szCs w:val="20"/>
              </w:rPr>
            </w:pPr>
            <w:r w:rsidRPr="0078056B">
              <w:rPr>
                <w:b/>
                <w:bCs/>
                <w:color w:val="FFFFFF" w:themeColor="background1"/>
                <w:sz w:val="20"/>
                <w:szCs w:val="20"/>
              </w:rPr>
              <w:t xml:space="preserve">£671m </w:t>
            </w:r>
          </w:p>
        </w:tc>
      </w:tr>
      <w:tr w:rsidR="003A6119" w:rsidRPr="0078056B" w14:paraId="5E08A074" w14:textId="77777777" w:rsidTr="000A186C">
        <w:trPr>
          <w:trHeight w:val="283"/>
        </w:trPr>
        <w:tc>
          <w:tcPr>
            <w:tcW w:w="880" w:type="pct"/>
            <w:tcBorders>
              <w:top w:val="nil"/>
            </w:tcBorders>
            <w:shd w:val="clear" w:color="auto" w:fill="auto"/>
            <w:vAlign w:val="center"/>
          </w:tcPr>
          <w:p w14:paraId="090498A4" w14:textId="77777777" w:rsidR="003A6119" w:rsidRPr="0078056B" w:rsidRDefault="003A6119" w:rsidP="000A186C">
            <w:pPr>
              <w:keepNext/>
              <w:keepLines/>
              <w:spacing w:before="0" w:after="0"/>
              <w:ind w:left="57" w:right="57"/>
              <w:jc w:val="left"/>
              <w:rPr>
                <w:sz w:val="20"/>
                <w:szCs w:val="20"/>
              </w:rPr>
            </w:pPr>
            <w:r w:rsidRPr="0078056B">
              <w:rPr>
                <w:color w:val="000000"/>
                <w:sz w:val="20"/>
                <w:szCs w:val="20"/>
              </w:rPr>
              <w:t>Undergraduate</w:t>
            </w:r>
          </w:p>
        </w:tc>
        <w:tc>
          <w:tcPr>
            <w:tcW w:w="972" w:type="pct"/>
            <w:tcBorders>
              <w:top w:val="nil"/>
            </w:tcBorders>
            <w:shd w:val="clear" w:color="auto" w:fill="auto"/>
          </w:tcPr>
          <w:p w14:paraId="10606EA6"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£478m </w:t>
            </w:r>
          </w:p>
        </w:tc>
        <w:tc>
          <w:tcPr>
            <w:tcW w:w="837" w:type="pct"/>
            <w:tcBorders>
              <w:top w:val="nil"/>
            </w:tcBorders>
            <w:shd w:val="clear" w:color="auto" w:fill="auto"/>
          </w:tcPr>
          <w:p w14:paraId="5E818A14"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£14m </w:t>
            </w:r>
          </w:p>
        </w:tc>
        <w:tc>
          <w:tcPr>
            <w:tcW w:w="873" w:type="pct"/>
            <w:tcBorders>
              <w:top w:val="nil"/>
            </w:tcBorders>
            <w:shd w:val="clear" w:color="auto" w:fill="auto"/>
          </w:tcPr>
          <w:p w14:paraId="2A9B0ED0"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£1m </w:t>
            </w:r>
          </w:p>
        </w:tc>
        <w:tc>
          <w:tcPr>
            <w:tcW w:w="721" w:type="pct"/>
            <w:tcBorders>
              <w:top w:val="nil"/>
            </w:tcBorders>
            <w:shd w:val="clear" w:color="auto" w:fill="auto"/>
          </w:tcPr>
          <w:p w14:paraId="19940A78"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£2m </w:t>
            </w:r>
          </w:p>
        </w:tc>
        <w:tc>
          <w:tcPr>
            <w:tcW w:w="718" w:type="pct"/>
            <w:tcBorders>
              <w:top w:val="nil"/>
            </w:tcBorders>
            <w:shd w:val="clear" w:color="auto" w:fill="auto"/>
          </w:tcPr>
          <w:p w14:paraId="5F626D51" w14:textId="77777777" w:rsidR="003A6119" w:rsidRPr="0078056B" w:rsidRDefault="003A6119" w:rsidP="000A186C">
            <w:pPr>
              <w:keepNext/>
              <w:keepLines/>
              <w:spacing w:before="0" w:after="0"/>
              <w:ind w:left="57" w:right="57"/>
              <w:jc w:val="center"/>
              <w:rPr>
                <w:b/>
                <w:bCs/>
                <w:color w:val="06357A"/>
                <w:sz w:val="20"/>
                <w:szCs w:val="20"/>
              </w:rPr>
            </w:pPr>
            <w:r w:rsidRPr="0078056B">
              <w:rPr>
                <w:b/>
                <w:bCs/>
                <w:color w:val="06357A"/>
                <w:sz w:val="20"/>
                <w:szCs w:val="20"/>
              </w:rPr>
              <w:t xml:space="preserve">£495m </w:t>
            </w:r>
          </w:p>
        </w:tc>
      </w:tr>
      <w:tr w:rsidR="003A6119" w:rsidRPr="0078056B" w14:paraId="1D575A87" w14:textId="77777777" w:rsidTr="000A186C">
        <w:trPr>
          <w:trHeight w:val="283"/>
        </w:trPr>
        <w:tc>
          <w:tcPr>
            <w:tcW w:w="880" w:type="pct"/>
            <w:tcBorders>
              <w:bottom w:val="single" w:sz="4" w:space="0" w:color="06357A"/>
            </w:tcBorders>
            <w:shd w:val="clear" w:color="auto" w:fill="auto"/>
            <w:vAlign w:val="center"/>
          </w:tcPr>
          <w:p w14:paraId="0C006ECA" w14:textId="77777777" w:rsidR="003A6119" w:rsidRPr="0078056B" w:rsidRDefault="003A6119" w:rsidP="000A186C">
            <w:pPr>
              <w:keepNext/>
              <w:keepLines/>
              <w:spacing w:before="0" w:after="0"/>
              <w:ind w:left="57" w:right="57"/>
              <w:jc w:val="left"/>
              <w:rPr>
                <w:sz w:val="20"/>
                <w:szCs w:val="20"/>
              </w:rPr>
            </w:pPr>
            <w:r w:rsidRPr="0078056B">
              <w:rPr>
                <w:color w:val="000000"/>
                <w:sz w:val="20"/>
                <w:szCs w:val="20"/>
              </w:rPr>
              <w:t>Postgraduate</w:t>
            </w:r>
          </w:p>
        </w:tc>
        <w:tc>
          <w:tcPr>
            <w:tcW w:w="972" w:type="pct"/>
            <w:tcBorders>
              <w:bottom w:val="single" w:sz="4" w:space="0" w:color="06357A"/>
            </w:tcBorders>
            <w:shd w:val="clear" w:color="auto" w:fill="auto"/>
          </w:tcPr>
          <w:p w14:paraId="07A6FD66"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£168m </w:t>
            </w:r>
          </w:p>
        </w:tc>
        <w:tc>
          <w:tcPr>
            <w:tcW w:w="837" w:type="pct"/>
            <w:tcBorders>
              <w:bottom w:val="single" w:sz="4" w:space="0" w:color="06357A"/>
            </w:tcBorders>
            <w:shd w:val="clear" w:color="auto" w:fill="auto"/>
          </w:tcPr>
          <w:p w14:paraId="2C53E682"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£6m </w:t>
            </w:r>
          </w:p>
        </w:tc>
        <w:tc>
          <w:tcPr>
            <w:tcW w:w="873" w:type="pct"/>
            <w:tcBorders>
              <w:bottom w:val="single" w:sz="4" w:space="0" w:color="06357A"/>
            </w:tcBorders>
            <w:shd w:val="clear" w:color="auto" w:fill="auto"/>
          </w:tcPr>
          <w:p w14:paraId="29BEC266"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£2m </w:t>
            </w:r>
          </w:p>
        </w:tc>
        <w:tc>
          <w:tcPr>
            <w:tcW w:w="721" w:type="pct"/>
            <w:tcBorders>
              <w:bottom w:val="single" w:sz="4" w:space="0" w:color="06357A"/>
            </w:tcBorders>
            <w:shd w:val="clear" w:color="auto" w:fill="auto"/>
          </w:tcPr>
          <w:p w14:paraId="16348D3D"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£1m </w:t>
            </w:r>
          </w:p>
        </w:tc>
        <w:tc>
          <w:tcPr>
            <w:tcW w:w="718" w:type="pct"/>
            <w:tcBorders>
              <w:bottom w:val="single" w:sz="4" w:space="0" w:color="06357A"/>
            </w:tcBorders>
            <w:shd w:val="clear" w:color="auto" w:fill="auto"/>
          </w:tcPr>
          <w:p w14:paraId="791B09E4" w14:textId="77777777" w:rsidR="003A6119" w:rsidRPr="0078056B" w:rsidRDefault="003A6119" w:rsidP="000A186C">
            <w:pPr>
              <w:keepNext/>
              <w:keepLines/>
              <w:spacing w:before="0" w:after="0"/>
              <w:ind w:left="57" w:right="57"/>
              <w:jc w:val="center"/>
              <w:rPr>
                <w:b/>
                <w:bCs/>
                <w:color w:val="06357A"/>
                <w:sz w:val="20"/>
                <w:szCs w:val="20"/>
              </w:rPr>
            </w:pPr>
            <w:r w:rsidRPr="0078056B">
              <w:rPr>
                <w:b/>
                <w:bCs/>
                <w:color w:val="06357A"/>
                <w:sz w:val="20"/>
                <w:szCs w:val="20"/>
              </w:rPr>
              <w:t xml:space="preserve">£177m </w:t>
            </w:r>
          </w:p>
        </w:tc>
      </w:tr>
      <w:tr w:rsidR="003A6119" w:rsidRPr="0078056B" w14:paraId="631BF921" w14:textId="77777777" w:rsidTr="000A186C">
        <w:trPr>
          <w:trHeight w:val="283"/>
        </w:trPr>
        <w:tc>
          <w:tcPr>
            <w:tcW w:w="880" w:type="pct"/>
            <w:tcBorders>
              <w:top w:val="single" w:sz="4" w:space="0" w:color="06357A"/>
              <w:bottom w:val="nil"/>
            </w:tcBorders>
            <w:shd w:val="clear" w:color="auto" w:fill="06357A" w:themeFill="text2"/>
            <w:vAlign w:val="center"/>
          </w:tcPr>
          <w:p w14:paraId="3B38B9B2" w14:textId="77777777" w:rsidR="003A6119" w:rsidRPr="0078056B" w:rsidRDefault="003A6119" w:rsidP="000A186C">
            <w:pPr>
              <w:keepNext/>
              <w:keepLines/>
              <w:spacing w:before="0" w:after="0"/>
              <w:ind w:left="57" w:right="57"/>
              <w:jc w:val="left"/>
              <w:rPr>
                <w:color w:val="FFFFFF" w:themeColor="background1"/>
                <w:sz w:val="20"/>
                <w:szCs w:val="20"/>
              </w:rPr>
            </w:pPr>
            <w:r w:rsidRPr="0078056B">
              <w:rPr>
                <w:b/>
                <w:bCs/>
                <w:color w:val="FFFFFF" w:themeColor="background1"/>
                <w:sz w:val="20"/>
                <w:szCs w:val="20"/>
              </w:rPr>
              <w:t>Total</w:t>
            </w:r>
          </w:p>
        </w:tc>
        <w:tc>
          <w:tcPr>
            <w:tcW w:w="972" w:type="pct"/>
            <w:tcBorders>
              <w:top w:val="single" w:sz="4" w:space="0" w:color="06357A"/>
              <w:bottom w:val="nil"/>
            </w:tcBorders>
            <w:shd w:val="clear" w:color="auto" w:fill="06357A" w:themeFill="text2"/>
          </w:tcPr>
          <w:p w14:paraId="0A38B48A" w14:textId="77777777" w:rsidR="003A6119" w:rsidRPr="0078056B" w:rsidRDefault="003A6119" w:rsidP="000A186C">
            <w:pPr>
              <w:keepNext/>
              <w:keepLines/>
              <w:spacing w:before="0" w:after="0"/>
              <w:ind w:left="57" w:right="57"/>
              <w:jc w:val="center"/>
              <w:rPr>
                <w:b/>
                <w:bCs/>
                <w:color w:val="FFFFFF" w:themeColor="background1"/>
                <w:sz w:val="20"/>
                <w:szCs w:val="20"/>
              </w:rPr>
            </w:pPr>
            <w:r w:rsidRPr="0078056B">
              <w:rPr>
                <w:b/>
                <w:bCs/>
                <w:sz w:val="20"/>
                <w:szCs w:val="20"/>
              </w:rPr>
              <w:t xml:space="preserve">£1,295m </w:t>
            </w:r>
          </w:p>
        </w:tc>
        <w:tc>
          <w:tcPr>
            <w:tcW w:w="837" w:type="pct"/>
            <w:tcBorders>
              <w:top w:val="single" w:sz="4" w:space="0" w:color="06357A"/>
              <w:bottom w:val="nil"/>
            </w:tcBorders>
            <w:shd w:val="clear" w:color="auto" w:fill="06357A" w:themeFill="text2"/>
          </w:tcPr>
          <w:p w14:paraId="3C72C190" w14:textId="77777777" w:rsidR="003A6119" w:rsidRPr="0078056B" w:rsidRDefault="003A6119" w:rsidP="000A186C">
            <w:pPr>
              <w:keepNext/>
              <w:keepLines/>
              <w:spacing w:before="0" w:after="0"/>
              <w:ind w:left="57" w:right="57"/>
              <w:jc w:val="center"/>
              <w:rPr>
                <w:b/>
                <w:bCs/>
                <w:color w:val="FFFFFF" w:themeColor="background1"/>
                <w:sz w:val="20"/>
                <w:szCs w:val="20"/>
              </w:rPr>
            </w:pPr>
            <w:r w:rsidRPr="0078056B">
              <w:rPr>
                <w:b/>
                <w:bCs/>
                <w:sz w:val="20"/>
                <w:szCs w:val="20"/>
              </w:rPr>
              <w:t xml:space="preserve">£40m </w:t>
            </w:r>
          </w:p>
        </w:tc>
        <w:tc>
          <w:tcPr>
            <w:tcW w:w="873" w:type="pct"/>
            <w:tcBorders>
              <w:top w:val="single" w:sz="4" w:space="0" w:color="06357A"/>
              <w:bottom w:val="nil"/>
            </w:tcBorders>
            <w:shd w:val="clear" w:color="auto" w:fill="06357A" w:themeFill="text2"/>
          </w:tcPr>
          <w:p w14:paraId="19788A54" w14:textId="77777777" w:rsidR="003A6119" w:rsidRPr="0078056B" w:rsidRDefault="003A6119" w:rsidP="000A186C">
            <w:pPr>
              <w:keepNext/>
              <w:keepLines/>
              <w:spacing w:before="0" w:after="0"/>
              <w:ind w:left="57" w:right="57"/>
              <w:jc w:val="center"/>
              <w:rPr>
                <w:b/>
                <w:bCs/>
                <w:color w:val="FFFFFF" w:themeColor="background1"/>
                <w:sz w:val="20"/>
                <w:szCs w:val="20"/>
              </w:rPr>
            </w:pPr>
            <w:r w:rsidRPr="0078056B">
              <w:rPr>
                <w:b/>
                <w:bCs/>
                <w:sz w:val="20"/>
                <w:szCs w:val="20"/>
              </w:rPr>
              <w:t xml:space="preserve">£5m </w:t>
            </w:r>
          </w:p>
        </w:tc>
        <w:tc>
          <w:tcPr>
            <w:tcW w:w="721" w:type="pct"/>
            <w:tcBorders>
              <w:top w:val="single" w:sz="4" w:space="0" w:color="06357A"/>
              <w:bottom w:val="nil"/>
            </w:tcBorders>
            <w:shd w:val="clear" w:color="auto" w:fill="06357A" w:themeFill="text2"/>
          </w:tcPr>
          <w:p w14:paraId="405F8A43" w14:textId="77777777" w:rsidR="003A6119" w:rsidRPr="0078056B" w:rsidRDefault="003A6119" w:rsidP="000A186C">
            <w:pPr>
              <w:keepNext/>
              <w:keepLines/>
              <w:spacing w:before="0" w:after="0"/>
              <w:ind w:left="57" w:right="57"/>
              <w:jc w:val="center"/>
              <w:rPr>
                <w:b/>
                <w:bCs/>
                <w:color w:val="FFFFFF" w:themeColor="background1"/>
                <w:sz w:val="20"/>
                <w:szCs w:val="20"/>
              </w:rPr>
            </w:pPr>
            <w:r w:rsidRPr="0078056B">
              <w:rPr>
                <w:b/>
                <w:bCs/>
                <w:sz w:val="20"/>
                <w:szCs w:val="20"/>
              </w:rPr>
              <w:t xml:space="preserve">£5m </w:t>
            </w:r>
          </w:p>
        </w:tc>
        <w:tc>
          <w:tcPr>
            <w:tcW w:w="718" w:type="pct"/>
            <w:tcBorders>
              <w:top w:val="single" w:sz="4" w:space="0" w:color="06357A"/>
              <w:bottom w:val="nil"/>
            </w:tcBorders>
            <w:shd w:val="clear" w:color="auto" w:fill="06357A" w:themeFill="text2"/>
          </w:tcPr>
          <w:p w14:paraId="2C480CB3" w14:textId="77777777" w:rsidR="003A6119" w:rsidRPr="0078056B" w:rsidRDefault="003A6119" w:rsidP="000A186C">
            <w:pPr>
              <w:keepNext/>
              <w:keepLines/>
              <w:spacing w:before="0" w:after="0"/>
              <w:ind w:left="57" w:right="57"/>
              <w:jc w:val="center"/>
              <w:rPr>
                <w:b/>
                <w:bCs/>
                <w:color w:val="FFFFFF" w:themeColor="background1"/>
                <w:sz w:val="20"/>
                <w:szCs w:val="20"/>
              </w:rPr>
            </w:pPr>
            <w:r w:rsidRPr="0078056B">
              <w:rPr>
                <w:b/>
                <w:bCs/>
                <w:sz w:val="20"/>
                <w:szCs w:val="20"/>
              </w:rPr>
              <w:t xml:space="preserve">£1,346m </w:t>
            </w:r>
          </w:p>
        </w:tc>
      </w:tr>
      <w:tr w:rsidR="003A6119" w:rsidRPr="0078056B" w14:paraId="0C1D8FC5" w14:textId="77777777" w:rsidTr="000A186C">
        <w:trPr>
          <w:trHeight w:val="283"/>
        </w:trPr>
        <w:tc>
          <w:tcPr>
            <w:tcW w:w="880" w:type="pct"/>
            <w:tcBorders>
              <w:top w:val="nil"/>
              <w:bottom w:val="single" w:sz="4" w:space="0" w:color="BFBFBF"/>
            </w:tcBorders>
            <w:shd w:val="clear" w:color="auto" w:fill="auto"/>
            <w:vAlign w:val="center"/>
          </w:tcPr>
          <w:p w14:paraId="4331597B" w14:textId="77777777" w:rsidR="003A6119" w:rsidRPr="0078056B" w:rsidRDefault="003A6119" w:rsidP="000A186C">
            <w:pPr>
              <w:keepNext/>
              <w:keepLines/>
              <w:spacing w:before="0" w:after="0"/>
              <w:ind w:left="57" w:right="57"/>
              <w:jc w:val="left"/>
              <w:rPr>
                <w:sz w:val="20"/>
                <w:szCs w:val="20"/>
              </w:rPr>
            </w:pPr>
            <w:r w:rsidRPr="0078056B">
              <w:rPr>
                <w:color w:val="000000"/>
                <w:sz w:val="20"/>
                <w:szCs w:val="20"/>
              </w:rPr>
              <w:t>Undergraduate</w:t>
            </w:r>
          </w:p>
        </w:tc>
        <w:tc>
          <w:tcPr>
            <w:tcW w:w="972" w:type="pct"/>
            <w:tcBorders>
              <w:top w:val="nil"/>
              <w:bottom w:val="single" w:sz="4" w:space="0" w:color="BFBFBF"/>
            </w:tcBorders>
            <w:shd w:val="clear" w:color="auto" w:fill="auto"/>
          </w:tcPr>
          <w:p w14:paraId="57428C23"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£978m </w:t>
            </w:r>
          </w:p>
        </w:tc>
        <w:tc>
          <w:tcPr>
            <w:tcW w:w="837" w:type="pct"/>
            <w:tcBorders>
              <w:top w:val="nil"/>
              <w:bottom w:val="single" w:sz="4" w:space="0" w:color="BFBFBF"/>
            </w:tcBorders>
            <w:shd w:val="clear" w:color="auto" w:fill="auto"/>
          </w:tcPr>
          <w:p w14:paraId="2F070D5B"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£29m </w:t>
            </w:r>
          </w:p>
        </w:tc>
        <w:tc>
          <w:tcPr>
            <w:tcW w:w="873" w:type="pct"/>
            <w:tcBorders>
              <w:top w:val="nil"/>
              <w:bottom w:val="single" w:sz="4" w:space="0" w:color="BFBFBF"/>
            </w:tcBorders>
            <w:shd w:val="clear" w:color="auto" w:fill="auto"/>
          </w:tcPr>
          <w:p w14:paraId="3C983274"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£2m </w:t>
            </w:r>
          </w:p>
        </w:tc>
        <w:tc>
          <w:tcPr>
            <w:tcW w:w="721" w:type="pct"/>
            <w:tcBorders>
              <w:top w:val="nil"/>
              <w:bottom w:val="single" w:sz="4" w:space="0" w:color="BFBFBF"/>
            </w:tcBorders>
            <w:shd w:val="clear" w:color="auto" w:fill="auto"/>
          </w:tcPr>
          <w:p w14:paraId="35D4502D"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£4m </w:t>
            </w:r>
          </w:p>
        </w:tc>
        <w:tc>
          <w:tcPr>
            <w:tcW w:w="718" w:type="pct"/>
            <w:tcBorders>
              <w:top w:val="nil"/>
              <w:bottom w:val="single" w:sz="4" w:space="0" w:color="BFBFBF"/>
            </w:tcBorders>
            <w:shd w:val="clear" w:color="auto" w:fill="auto"/>
          </w:tcPr>
          <w:p w14:paraId="2D14A57E" w14:textId="77777777" w:rsidR="003A6119" w:rsidRPr="0078056B" w:rsidRDefault="003A6119" w:rsidP="000A186C">
            <w:pPr>
              <w:keepNext/>
              <w:keepLines/>
              <w:spacing w:before="0" w:after="0"/>
              <w:ind w:left="57" w:right="57"/>
              <w:jc w:val="center"/>
              <w:rPr>
                <w:b/>
                <w:bCs/>
                <w:color w:val="06357A"/>
                <w:sz w:val="20"/>
                <w:szCs w:val="20"/>
              </w:rPr>
            </w:pPr>
            <w:r w:rsidRPr="0078056B">
              <w:rPr>
                <w:b/>
                <w:bCs/>
                <w:color w:val="06357A"/>
                <w:sz w:val="20"/>
                <w:szCs w:val="20"/>
              </w:rPr>
              <w:t xml:space="preserve">£1,013m </w:t>
            </w:r>
          </w:p>
        </w:tc>
      </w:tr>
      <w:tr w:rsidR="003A6119" w:rsidRPr="0078056B" w14:paraId="6E1D8DAB" w14:textId="77777777" w:rsidTr="000A186C">
        <w:trPr>
          <w:trHeight w:val="283"/>
        </w:trPr>
        <w:tc>
          <w:tcPr>
            <w:tcW w:w="880" w:type="pct"/>
            <w:tcBorders>
              <w:bottom w:val="single" w:sz="4" w:space="0" w:color="06357A"/>
            </w:tcBorders>
            <w:shd w:val="clear" w:color="auto" w:fill="auto"/>
            <w:vAlign w:val="center"/>
          </w:tcPr>
          <w:p w14:paraId="6521267F" w14:textId="77777777" w:rsidR="003A6119" w:rsidRPr="0078056B" w:rsidRDefault="003A6119" w:rsidP="000A186C">
            <w:pPr>
              <w:keepNext/>
              <w:keepLines/>
              <w:spacing w:before="0" w:after="0"/>
              <w:ind w:left="57" w:right="57"/>
              <w:jc w:val="left"/>
              <w:rPr>
                <w:sz w:val="20"/>
                <w:szCs w:val="20"/>
              </w:rPr>
            </w:pPr>
            <w:r w:rsidRPr="0078056B">
              <w:rPr>
                <w:color w:val="000000"/>
                <w:sz w:val="20"/>
                <w:szCs w:val="20"/>
              </w:rPr>
              <w:t>Postgraduate</w:t>
            </w:r>
          </w:p>
        </w:tc>
        <w:tc>
          <w:tcPr>
            <w:tcW w:w="972" w:type="pct"/>
            <w:tcBorders>
              <w:bottom w:val="single" w:sz="4" w:space="0" w:color="06357A"/>
            </w:tcBorders>
            <w:shd w:val="clear" w:color="auto" w:fill="auto"/>
          </w:tcPr>
          <w:p w14:paraId="43CEBD3D"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£317m </w:t>
            </w:r>
          </w:p>
        </w:tc>
        <w:tc>
          <w:tcPr>
            <w:tcW w:w="837" w:type="pct"/>
            <w:tcBorders>
              <w:bottom w:val="single" w:sz="4" w:space="0" w:color="06357A"/>
            </w:tcBorders>
            <w:shd w:val="clear" w:color="auto" w:fill="auto"/>
          </w:tcPr>
          <w:p w14:paraId="6D3EA499"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£11m </w:t>
            </w:r>
          </w:p>
        </w:tc>
        <w:tc>
          <w:tcPr>
            <w:tcW w:w="873" w:type="pct"/>
            <w:tcBorders>
              <w:bottom w:val="single" w:sz="4" w:space="0" w:color="06357A"/>
            </w:tcBorders>
            <w:shd w:val="clear" w:color="auto" w:fill="auto"/>
          </w:tcPr>
          <w:p w14:paraId="173D80D0"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£3m </w:t>
            </w:r>
          </w:p>
        </w:tc>
        <w:tc>
          <w:tcPr>
            <w:tcW w:w="721" w:type="pct"/>
            <w:tcBorders>
              <w:bottom w:val="single" w:sz="4" w:space="0" w:color="06357A"/>
            </w:tcBorders>
            <w:shd w:val="clear" w:color="auto" w:fill="auto"/>
          </w:tcPr>
          <w:p w14:paraId="2D836F86" w14:textId="77777777" w:rsidR="003A6119" w:rsidRPr="0078056B" w:rsidRDefault="003A6119" w:rsidP="000A186C">
            <w:pPr>
              <w:keepNext/>
              <w:keepLines/>
              <w:spacing w:before="0" w:after="0"/>
              <w:ind w:left="57" w:right="57"/>
              <w:jc w:val="center"/>
              <w:rPr>
                <w:i/>
                <w:sz w:val="20"/>
                <w:szCs w:val="20"/>
              </w:rPr>
            </w:pPr>
            <w:r w:rsidRPr="0078056B">
              <w:rPr>
                <w:sz w:val="20"/>
                <w:szCs w:val="20"/>
              </w:rPr>
              <w:t xml:space="preserve">£1m </w:t>
            </w:r>
          </w:p>
        </w:tc>
        <w:tc>
          <w:tcPr>
            <w:tcW w:w="718" w:type="pct"/>
            <w:tcBorders>
              <w:bottom w:val="single" w:sz="4" w:space="0" w:color="06357A"/>
            </w:tcBorders>
            <w:shd w:val="clear" w:color="auto" w:fill="auto"/>
          </w:tcPr>
          <w:p w14:paraId="265A37DB" w14:textId="77777777" w:rsidR="003A6119" w:rsidRPr="0078056B" w:rsidRDefault="003A6119" w:rsidP="000A186C">
            <w:pPr>
              <w:keepNext/>
              <w:keepLines/>
              <w:spacing w:before="0" w:after="0"/>
              <w:ind w:left="57" w:right="57"/>
              <w:jc w:val="center"/>
              <w:rPr>
                <w:b/>
                <w:bCs/>
                <w:color w:val="06357A"/>
                <w:sz w:val="20"/>
                <w:szCs w:val="20"/>
              </w:rPr>
            </w:pPr>
            <w:r w:rsidRPr="0078056B">
              <w:rPr>
                <w:b/>
                <w:bCs/>
                <w:color w:val="06357A"/>
                <w:sz w:val="20"/>
                <w:szCs w:val="20"/>
              </w:rPr>
              <w:t xml:space="preserve">£333m </w:t>
            </w:r>
          </w:p>
        </w:tc>
      </w:tr>
    </w:tbl>
    <w:p w14:paraId="7ED0D367" w14:textId="77777777" w:rsidR="003A6119" w:rsidRPr="0078056B" w:rsidRDefault="003A6119" w:rsidP="003A6119">
      <w:pPr>
        <w:keepNext/>
        <w:keepLines/>
        <w:spacing w:before="0" w:after="0"/>
        <w:jc w:val="left"/>
        <w:rPr>
          <w:sz w:val="16"/>
        </w:rPr>
      </w:pPr>
      <w:r w:rsidRPr="0078056B">
        <w:rPr>
          <w:sz w:val="16"/>
        </w:rPr>
        <w:t xml:space="preserve">Note: All estimates are presented in 2021-22 prices, discounted to reflect net present values, rounded to the nearest £1m, and may not add up precisely to the totals indicated. </w:t>
      </w:r>
    </w:p>
    <w:p w14:paraId="2C4B010B" w14:textId="77777777" w:rsidR="003A6119" w:rsidRPr="0078056B" w:rsidRDefault="003A6119" w:rsidP="003A6119">
      <w:pPr>
        <w:spacing w:before="0" w:after="0"/>
        <w:jc w:val="left"/>
        <w:rPr>
          <w:b/>
          <w:i/>
          <w:sz w:val="16"/>
        </w:rPr>
      </w:pPr>
      <w:r w:rsidRPr="0078056B">
        <w:rPr>
          <w:b/>
          <w:i/>
          <w:sz w:val="16"/>
        </w:rPr>
        <w:t>Source: London Economics’ analysis</w:t>
      </w:r>
    </w:p>
    <w:p w14:paraId="60333EF3" w14:textId="77777777" w:rsidR="009963E3" w:rsidRPr="0078056B" w:rsidRDefault="009963E3" w:rsidP="009963E3">
      <w:pPr>
        <w:pStyle w:val="Heading2"/>
      </w:pPr>
      <w:bookmarkStart w:id="228" w:name="_Toc168652126"/>
      <w:r w:rsidRPr="0078056B">
        <w:t>Analysis of earnings and employment outcomes of the University of Birmingham’s graduates</w:t>
      </w:r>
      <w:bookmarkEnd w:id="228"/>
    </w:p>
    <w:p w14:paraId="2902C70C" w14:textId="43AFCE1F" w:rsidR="009963E3" w:rsidRPr="0078056B" w:rsidRDefault="005F68A5" w:rsidP="009963E3">
      <w:r w:rsidRPr="0078056B">
        <w:t>In addition to the analysis above of the economic impact of the University’s teaching and learning activities, we analysed the Longitudinal Education Outcomes (LEO) dataset to examine the</w:t>
      </w:r>
      <w:r w:rsidR="009963E3" w:rsidRPr="0078056B">
        <w:t xml:space="preserve"> labour market outcomes of</w:t>
      </w:r>
      <w:r w:rsidRPr="0078056B">
        <w:t xml:space="preserve"> the University’s</w:t>
      </w:r>
      <w:r w:rsidR="009963E3" w:rsidRPr="0078056B">
        <w:t xml:space="preserve"> graduates </w:t>
      </w:r>
      <w:r w:rsidRPr="0078056B">
        <w:t>in terms of average earnings, employment outcomes and graduate mobility</w:t>
      </w:r>
      <w:r w:rsidR="009963E3" w:rsidRPr="0078056B">
        <w:t>.</w:t>
      </w:r>
    </w:p>
    <w:p w14:paraId="6A9AD7DF" w14:textId="77777777" w:rsidR="009963E3" w:rsidRPr="0078056B" w:rsidRDefault="009963E3" w:rsidP="009963E3">
      <w:pPr>
        <w:pStyle w:val="Heading3"/>
      </w:pPr>
      <w:r w:rsidRPr="0078056B">
        <w:t>Underlying data from the Longitudinal Education Outcomes (LEO) dataset</w:t>
      </w:r>
    </w:p>
    <w:p w14:paraId="51586EE9" w14:textId="75A61373" w:rsidR="009963E3" w:rsidRPr="0078056B" w:rsidRDefault="009963E3" w:rsidP="009963E3">
      <w:r w:rsidRPr="0078056B">
        <w:t>The LEO dataset is a matched individual level dataset produced by the Department for Education combining information from multiple educational data sources with information on earnings and employment outcomes</w:t>
      </w:r>
      <w:r w:rsidRPr="0078056B">
        <w:rPr>
          <w:rStyle w:val="FootnoteReference"/>
        </w:rPr>
        <w:footnoteReference w:id="50"/>
      </w:r>
      <w:r w:rsidRPr="0078056B">
        <w:t>. The data provides disaggregated information based on tax year, graduation cohort, qualification level, subject area of study, sex of the individual</w:t>
      </w:r>
      <w:r w:rsidR="00BE0E9E" w:rsidRPr="0078056B">
        <w:t xml:space="preserve"> and higher education provider</w:t>
      </w:r>
      <w:r w:rsidRPr="0078056B">
        <w:t>.</w:t>
      </w:r>
      <w:r w:rsidRPr="0078056B">
        <w:rPr>
          <w:rStyle w:val="FootnoteReference"/>
        </w:rPr>
        <w:footnoteReference w:id="51"/>
      </w:r>
    </w:p>
    <w:p w14:paraId="48A3C5DF" w14:textId="7172ECC3" w:rsidR="009963E3" w:rsidRPr="0078056B" w:rsidRDefault="009963E3" w:rsidP="009963E3">
      <w:r w:rsidRPr="0078056B">
        <w:t>For this analysis,</w:t>
      </w:r>
      <w:r w:rsidR="00C62CCF" w:rsidRPr="0078056B">
        <w:t xml:space="preserve"> we used</w:t>
      </w:r>
      <w:r w:rsidRPr="0078056B">
        <w:t xml:space="preserve"> the latest data release from the Department for Education, covering different graduating cohorts observed in the tax year 2020-21. The graduating cohorts include the academic years 2018-19 (at 1 year after graduation), 2016-17 (at 3 years after graduation), and 2014-15 (at 5 years after graduation). All earnings information has been rebased to 2020-21 prices using average </w:t>
      </w:r>
      <w:r w:rsidR="00C62CCF" w:rsidRPr="0078056B">
        <w:t>c</w:t>
      </w:r>
      <w:r w:rsidRPr="0078056B">
        <w:t xml:space="preserve">onsumer </w:t>
      </w:r>
      <w:r w:rsidR="00C62CCF" w:rsidRPr="0078056B">
        <w:t>p</w:t>
      </w:r>
      <w:r w:rsidRPr="0078056B">
        <w:t xml:space="preserve">rice </w:t>
      </w:r>
      <w:r w:rsidR="00C62CCF" w:rsidRPr="0078056B">
        <w:t>i</w:t>
      </w:r>
      <w:r w:rsidRPr="0078056B">
        <w:t xml:space="preserve">ndex (CPI) </w:t>
      </w:r>
      <w:r w:rsidR="00C62CCF" w:rsidRPr="0078056B">
        <w:t xml:space="preserve">inflation </w:t>
      </w:r>
      <w:r w:rsidRPr="0078056B">
        <w:t>for the relevant tax year and constructed using</w:t>
      </w:r>
      <w:r w:rsidR="005B244F">
        <w:t xml:space="preserve"> a</w:t>
      </w:r>
      <w:r w:rsidRPr="0078056B">
        <w:t xml:space="preserve"> weighted average (using the number of graduates in each cell as weights). Only UK-domiciled graduates have been retained in the sample.</w:t>
      </w:r>
    </w:p>
    <w:p w14:paraId="4DEAE510" w14:textId="77777777" w:rsidR="009963E3" w:rsidRPr="0078056B" w:rsidRDefault="009963E3" w:rsidP="009963E3">
      <w:r w:rsidRPr="0078056B">
        <w:lastRenderedPageBreak/>
        <w:t>Specifically, we look at the following measures for all graduation cohorts:</w:t>
      </w:r>
    </w:p>
    <w:p w14:paraId="4762639D" w14:textId="77777777" w:rsidR="009963E3" w:rsidRPr="0078056B" w:rsidRDefault="009963E3" w:rsidP="009963E3">
      <w:pPr>
        <w:pStyle w:val="MinorBullet1"/>
        <w:numPr>
          <w:ilvl w:val="0"/>
          <w:numId w:val="21"/>
        </w:numPr>
      </w:pPr>
      <w:r w:rsidRPr="0078056B">
        <w:t>The median earnings after graduation by region, subject, and sex, weighted by the number of graduates;</w:t>
      </w:r>
    </w:p>
    <w:p w14:paraId="3AC1BC40" w14:textId="563EE346" w:rsidR="00BA21C3" w:rsidRPr="0078056B" w:rsidRDefault="00BA21C3" w:rsidP="00BA21C3">
      <w:pPr>
        <w:pStyle w:val="MinorBullet1"/>
        <w:numPr>
          <w:ilvl w:val="0"/>
          <w:numId w:val="21"/>
        </w:numPr>
      </w:pPr>
      <w:r w:rsidRPr="0078056B">
        <w:t>The proportion of graduates in sustained employment</w:t>
      </w:r>
      <w:r w:rsidRPr="0078056B">
        <w:rPr>
          <w:rStyle w:val="FootnoteReference"/>
        </w:rPr>
        <w:footnoteReference w:id="52"/>
      </w:r>
      <w:r w:rsidRPr="0078056B">
        <w:t>, further study, or both, during the tax year; and</w:t>
      </w:r>
    </w:p>
    <w:p w14:paraId="24945ED8" w14:textId="49F4034B" w:rsidR="009963E3" w:rsidRPr="0078056B" w:rsidRDefault="009963E3" w:rsidP="009963E3">
      <w:pPr>
        <w:pStyle w:val="MinorBullet1"/>
        <w:numPr>
          <w:ilvl w:val="0"/>
          <w:numId w:val="21"/>
        </w:numPr>
      </w:pPr>
      <w:r w:rsidRPr="0078056B">
        <w:t>The movement of graduates by region</w:t>
      </w:r>
      <w:r w:rsidR="00BA21C3" w:rsidRPr="0078056B">
        <w:t>.</w:t>
      </w:r>
    </w:p>
    <w:p w14:paraId="12BF5F9A" w14:textId="6A47A7BD" w:rsidR="00EA496A" w:rsidRPr="0078056B" w:rsidRDefault="00EA496A" w:rsidP="00EA496A">
      <w:r w:rsidRPr="0078056B">
        <w:t>Importantly, and unlike the analysis presented</w:t>
      </w:r>
      <w:r w:rsidR="0025584A" w:rsidRPr="0078056B">
        <w:t xml:space="preserve"> elsewhere</w:t>
      </w:r>
      <w:r w:rsidRPr="0078056B">
        <w:t xml:space="preserve"> in this section, this analysis of the LEO data does </w:t>
      </w:r>
      <w:r w:rsidRPr="0078056B">
        <w:rPr>
          <w:i/>
          <w:iCs/>
        </w:rPr>
        <w:t xml:space="preserve">not </w:t>
      </w:r>
      <w:r w:rsidRPr="0078056B">
        <w:t>control for graduate characteristics</w:t>
      </w:r>
      <w:r w:rsidR="0078624E" w:rsidRPr="0078056B">
        <w:t xml:space="preserve"> (e.g. subject composition)</w:t>
      </w:r>
      <w:r w:rsidRPr="0078056B">
        <w:t>, nor does it account for any counterfactual (i.e. a graduate’s potential earnings if they had not undertaken a given qualification).</w:t>
      </w:r>
    </w:p>
    <w:p w14:paraId="12E26395" w14:textId="77777777" w:rsidR="009963E3" w:rsidRPr="0078056B" w:rsidRDefault="009963E3" w:rsidP="009963E3">
      <w:pPr>
        <w:pStyle w:val="Heading3"/>
      </w:pPr>
      <w:r w:rsidRPr="0078056B">
        <w:t>Earnings and employment outcomes from graduates of the University of Birmingham</w:t>
      </w:r>
    </w:p>
    <w:p w14:paraId="121315FC" w14:textId="4033783B" w:rsidR="009963E3" w:rsidRPr="0078056B" w:rsidRDefault="009963E3" w:rsidP="009963E3">
      <w:r w:rsidRPr="0078056B">
        <w:fldChar w:fldCharType="begin"/>
      </w:r>
      <w:r w:rsidRPr="0078056B">
        <w:instrText xml:space="preserve"> REF _Ref162877485 \r \h </w:instrText>
      </w:r>
      <w:r w:rsidR="0078056B">
        <w:instrText xml:space="preserve"> \* MERGEFORMAT </w:instrText>
      </w:r>
      <w:r w:rsidRPr="0078056B">
        <w:fldChar w:fldCharType="separate"/>
      </w:r>
      <w:r w:rsidR="00E33157">
        <w:t>Figure 16</w:t>
      </w:r>
      <w:r w:rsidRPr="0078056B">
        <w:fldChar w:fldCharType="end"/>
      </w:r>
      <w:r w:rsidRPr="0078056B">
        <w:t xml:space="preserve"> presents the weighted median earnings of UK first degree graduates of the University of Birmingham by graduating cohort and sex. Across all graduating cohorts, the University of Birmingham has consistently placed among the </w:t>
      </w:r>
      <w:r w:rsidRPr="0078056B">
        <w:rPr>
          <w:b/>
          <w:bCs/>
          <w:color w:val="06357A" w:themeColor="text2"/>
        </w:rPr>
        <w:t>top 25%</w:t>
      </w:r>
      <w:r w:rsidRPr="0078056B">
        <w:t xml:space="preserve"> of all </w:t>
      </w:r>
      <w:r w:rsidR="0078624E" w:rsidRPr="0078056B">
        <w:t>hi</w:t>
      </w:r>
      <w:r w:rsidRPr="0078056B">
        <w:t xml:space="preserve">gher </w:t>
      </w:r>
      <w:r w:rsidR="0078624E" w:rsidRPr="0078056B">
        <w:t>e</w:t>
      </w:r>
      <w:r w:rsidRPr="0078056B">
        <w:t xml:space="preserve">ducation </w:t>
      </w:r>
      <w:r w:rsidR="0078624E" w:rsidRPr="0078056B">
        <w:t>i</w:t>
      </w:r>
      <w:r w:rsidRPr="0078056B">
        <w:t>nstitutions (HEIs)</w:t>
      </w:r>
      <w:r w:rsidR="0078624E" w:rsidRPr="0078056B">
        <w:rPr>
          <w:rStyle w:val="FootnoteReference"/>
        </w:rPr>
        <w:footnoteReference w:id="53"/>
      </w:r>
      <w:r w:rsidRPr="0078056B">
        <w:t xml:space="preserve"> in </w:t>
      </w:r>
      <w:r w:rsidR="0078624E" w:rsidRPr="0078056B">
        <w:t xml:space="preserve">Great Britain </w:t>
      </w:r>
      <w:r w:rsidRPr="0078056B">
        <w:t>in terms of median earnings for graduates of all sexes.</w:t>
      </w:r>
      <w:r w:rsidR="005F68A5" w:rsidRPr="0078056B">
        <w:rPr>
          <w:rStyle w:val="FootnoteReference"/>
        </w:rPr>
        <w:footnoteReference w:id="54"/>
      </w:r>
      <w:r w:rsidRPr="0078056B">
        <w:t xml:space="preserve"> </w:t>
      </w:r>
      <w:r w:rsidR="005F68A5" w:rsidRPr="0078056B">
        <w:t xml:space="preserve">Medicine and Dentistry is the </w:t>
      </w:r>
      <w:r w:rsidRPr="0078056B">
        <w:t xml:space="preserve">subject </w:t>
      </w:r>
      <w:r w:rsidR="0078624E" w:rsidRPr="0078056B">
        <w:t xml:space="preserve">grouping </w:t>
      </w:r>
      <w:r w:rsidR="005F68A5" w:rsidRPr="0078056B">
        <w:t>with</w:t>
      </w:r>
      <w:r w:rsidRPr="0078056B">
        <w:t xml:space="preserve"> the highest median earnings</w:t>
      </w:r>
      <w:r w:rsidR="005F68A5" w:rsidRPr="0078056B">
        <w:t xml:space="preserve"> amongst the University’s graduates </w:t>
      </w:r>
      <w:r w:rsidRPr="0078056B">
        <w:t xml:space="preserve">for all graduation cohorts and </w:t>
      </w:r>
      <w:r w:rsidR="005F68A5" w:rsidRPr="0078056B">
        <w:t>regardless of the sex of graduates</w:t>
      </w:r>
      <w:r w:rsidRPr="0078056B">
        <w:t xml:space="preserve">. This subject </w:t>
      </w:r>
      <w:r w:rsidR="0078624E" w:rsidRPr="0078056B">
        <w:t xml:space="preserve">grouping </w:t>
      </w:r>
      <w:r w:rsidRPr="0078056B">
        <w:t xml:space="preserve">also represents the highest proportion of graduates </w:t>
      </w:r>
      <w:r w:rsidR="0078624E" w:rsidRPr="0078056B">
        <w:t xml:space="preserve">of any subject grouping at the University </w:t>
      </w:r>
      <w:r w:rsidRPr="0078056B">
        <w:t xml:space="preserve">with </w:t>
      </w:r>
      <w:r w:rsidRPr="0078056B">
        <w:rPr>
          <w:b/>
          <w:bCs/>
          <w:color w:val="06357A" w:themeColor="text2"/>
        </w:rPr>
        <w:t>9%</w:t>
      </w:r>
      <w:r w:rsidRPr="0078056B">
        <w:t xml:space="preserve">, </w:t>
      </w:r>
      <w:r w:rsidRPr="0078056B">
        <w:rPr>
          <w:b/>
          <w:bCs/>
          <w:color w:val="06357A" w:themeColor="text2"/>
        </w:rPr>
        <w:t>10%</w:t>
      </w:r>
      <w:r w:rsidRPr="0078056B">
        <w:t xml:space="preserve">, and </w:t>
      </w:r>
      <w:r w:rsidRPr="0078056B">
        <w:rPr>
          <w:b/>
          <w:bCs/>
          <w:color w:val="06357A" w:themeColor="text2"/>
        </w:rPr>
        <w:t>11%</w:t>
      </w:r>
      <w:r w:rsidRPr="0078056B">
        <w:t xml:space="preserve"> </w:t>
      </w:r>
      <w:r w:rsidR="0078624E" w:rsidRPr="0078056B">
        <w:t xml:space="preserve">of graduates </w:t>
      </w:r>
      <w:r w:rsidRPr="0078056B">
        <w:t>at 1, 3, and 5 years after graduation</w:t>
      </w:r>
      <w:r w:rsidR="00BE5327" w:rsidRPr="0078056B">
        <w:t xml:space="preserve"> respectively</w:t>
      </w:r>
      <w:r w:rsidRPr="0078056B">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9963E3" w:rsidRPr="0078056B" w14:paraId="6F2CF175" w14:textId="77777777" w:rsidTr="006A75AB">
        <w:trPr>
          <w:cantSplit/>
        </w:trPr>
        <w:tc>
          <w:tcPr>
            <w:tcW w:w="0" w:type="auto"/>
          </w:tcPr>
          <w:p w14:paraId="013F29A3" w14:textId="77777777" w:rsidR="009963E3" w:rsidRPr="0078056B" w:rsidRDefault="009963E3" w:rsidP="009963E3">
            <w:pPr>
              <w:pStyle w:val="FigureTitle"/>
              <w:numPr>
                <w:ilvl w:val="0"/>
                <w:numId w:val="32"/>
              </w:numPr>
            </w:pPr>
            <w:bookmarkStart w:id="229" w:name="_Ref162877485"/>
            <w:bookmarkStart w:id="230" w:name="_Toc168652197"/>
            <w:r w:rsidRPr="0078056B">
              <w:t>Weighted median earnings of UK first degree graduates of the University of Birmingham</w:t>
            </w:r>
            <w:bookmarkEnd w:id="229"/>
            <w:bookmarkEnd w:id="230"/>
          </w:p>
        </w:tc>
      </w:tr>
      <w:tr w:rsidR="009963E3" w:rsidRPr="0078056B" w14:paraId="432D0EE8" w14:textId="77777777" w:rsidTr="006A75AB">
        <w:trPr>
          <w:cantSplit/>
        </w:trPr>
        <w:tc>
          <w:tcPr>
            <w:tcW w:w="0" w:type="auto"/>
          </w:tcPr>
          <w:p w14:paraId="2A380BE5" w14:textId="30E98152" w:rsidR="009963E3" w:rsidRPr="0078056B" w:rsidRDefault="007C1B21" w:rsidP="007C1B21">
            <w:pPr>
              <w:pStyle w:val="PlaceholderText"/>
              <w:jc w:val="center"/>
            </w:pPr>
            <w:r w:rsidRPr="0078056B">
              <w:rPr>
                <w:noProof/>
              </w:rPr>
              <w:drawing>
                <wp:inline distT="0" distB="0" distL="0" distR="0" wp14:anchorId="5B96AEEF" wp14:editId="6F1656FF">
                  <wp:extent cx="4838700" cy="2432050"/>
                  <wp:effectExtent l="0" t="0" r="0" b="6350"/>
                  <wp:docPr id="19720094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38700" cy="2432050"/>
                          </a:xfrm>
                          <a:prstGeom prst="rect">
                            <a:avLst/>
                          </a:prstGeom>
                          <a:noFill/>
                          <a:ln>
                            <a:noFill/>
                          </a:ln>
                        </pic:spPr>
                      </pic:pic>
                    </a:graphicData>
                  </a:graphic>
                </wp:inline>
              </w:drawing>
            </w:r>
          </w:p>
        </w:tc>
      </w:tr>
      <w:tr w:rsidR="009963E3" w:rsidRPr="0078056B" w14:paraId="4993E45B" w14:textId="77777777" w:rsidTr="006A75AB">
        <w:trPr>
          <w:cantSplit/>
        </w:trPr>
        <w:tc>
          <w:tcPr>
            <w:tcW w:w="0" w:type="auto"/>
          </w:tcPr>
          <w:p w14:paraId="32A1B565" w14:textId="0F5DD7D4" w:rsidR="009963E3" w:rsidRPr="0078056B" w:rsidRDefault="009963E3" w:rsidP="009963E3">
            <w:pPr>
              <w:pStyle w:val="TableNote"/>
            </w:pPr>
            <w:r w:rsidRPr="0078056B">
              <w:t>Note: All estimates are presented in 202</w:t>
            </w:r>
            <w:r w:rsidR="00BA21C3" w:rsidRPr="0078056B">
              <w:t>0</w:t>
            </w:r>
            <w:r w:rsidRPr="0078056B">
              <w:t>-2</w:t>
            </w:r>
            <w:r w:rsidR="00BA21C3" w:rsidRPr="0078056B">
              <w:t>1</w:t>
            </w:r>
            <w:r w:rsidRPr="0078056B">
              <w:t xml:space="preserve"> prices.</w:t>
            </w:r>
          </w:p>
          <w:p w14:paraId="00B8B8BD" w14:textId="77777777" w:rsidR="009963E3" w:rsidRPr="0078056B" w:rsidRDefault="009963E3" w:rsidP="009963E3">
            <w:pPr>
              <w:pStyle w:val="TableSource"/>
            </w:pPr>
            <w:r w:rsidRPr="0078056B">
              <w:t>Source: London Economics’ analysis using Longitudinal Education Outcomes data</w:t>
            </w:r>
          </w:p>
        </w:tc>
      </w:tr>
    </w:tbl>
    <w:p w14:paraId="7D5B8BA9" w14:textId="71186F93" w:rsidR="00AD07C6" w:rsidRPr="0078056B" w:rsidRDefault="00AD07C6" w:rsidP="00C373FA">
      <w:r w:rsidRPr="0078056B">
        <w:lastRenderedPageBreak/>
        <w:t>In addition, the LEO data provides information on the proportion of University of Birmingham graduates in sustained employment, further study, or both.  The University of Birmingham ranked highest out of all Russell Group institution</w:t>
      </w:r>
      <w:r w:rsidR="00535C9C" w:rsidRPr="0078056B">
        <w:t>s</w:t>
      </w:r>
      <w:r w:rsidRPr="0078056B">
        <w:t xml:space="preserve"> in Great Britain at 5 years after graduation (with </w:t>
      </w:r>
      <w:r w:rsidRPr="0078056B">
        <w:rPr>
          <w:b/>
          <w:bCs/>
          <w:color w:val="06357A" w:themeColor="text2"/>
        </w:rPr>
        <w:t>90%</w:t>
      </w:r>
      <w:r w:rsidRPr="0078056B">
        <w:t xml:space="preserve"> of UK domiciled graduates in sustained employment, further study or both), ranking </w:t>
      </w:r>
      <w:r w:rsidRPr="0078056B">
        <w:rPr>
          <w:b/>
          <w:bCs/>
          <w:color w:val="06357A" w:themeColor="text2"/>
        </w:rPr>
        <w:t>4</w:t>
      </w:r>
      <w:r w:rsidRPr="0078056B">
        <w:rPr>
          <w:b/>
          <w:bCs/>
          <w:color w:val="06357A" w:themeColor="text2"/>
          <w:vertAlign w:val="superscript"/>
        </w:rPr>
        <w:t>th</w:t>
      </w:r>
      <w:r w:rsidRPr="0078056B">
        <w:t xml:space="preserve"> (</w:t>
      </w:r>
      <w:r w:rsidRPr="0078056B">
        <w:rPr>
          <w:b/>
          <w:bCs/>
          <w:color w:val="06357A" w:themeColor="text2"/>
        </w:rPr>
        <w:t>90%</w:t>
      </w:r>
      <w:r w:rsidRPr="0078056B">
        <w:t xml:space="preserve">) and </w:t>
      </w:r>
      <w:r w:rsidRPr="0078056B">
        <w:rPr>
          <w:b/>
          <w:bCs/>
          <w:color w:val="06357A" w:themeColor="text2"/>
        </w:rPr>
        <w:t>8</w:t>
      </w:r>
      <w:r w:rsidRPr="0078056B">
        <w:rPr>
          <w:b/>
          <w:bCs/>
          <w:color w:val="06357A" w:themeColor="text2"/>
          <w:vertAlign w:val="superscript"/>
        </w:rPr>
        <w:t>th</w:t>
      </w:r>
      <w:r w:rsidRPr="0078056B">
        <w:t xml:space="preserve"> (</w:t>
      </w:r>
      <w:r w:rsidRPr="0078056B">
        <w:rPr>
          <w:b/>
          <w:bCs/>
          <w:color w:val="06357A" w:themeColor="text2"/>
        </w:rPr>
        <w:t>90%</w:t>
      </w:r>
      <w:r w:rsidRPr="0078056B">
        <w:t>) at 3 years and 1 year after graduation respectively.</w:t>
      </w:r>
    </w:p>
    <w:p w14:paraId="64795D5E" w14:textId="0E136ACB" w:rsidR="00C373FA" w:rsidRPr="0078056B" w:rsidRDefault="00AD07C6" w:rsidP="00C373FA">
      <w:r w:rsidRPr="0078056B">
        <w:t xml:space="preserve">Considering graduate mobility, </w:t>
      </w:r>
      <w:r w:rsidRPr="0078056B">
        <w:fldChar w:fldCharType="begin"/>
      </w:r>
      <w:r w:rsidRPr="0078056B">
        <w:instrText xml:space="preserve"> REF _Ref162968847 \r \h </w:instrText>
      </w:r>
      <w:r w:rsidR="0078056B">
        <w:instrText xml:space="preserve"> \* MERGEFORMAT </w:instrText>
      </w:r>
      <w:r w:rsidRPr="0078056B">
        <w:fldChar w:fldCharType="separate"/>
      </w:r>
      <w:r w:rsidR="00E33157">
        <w:t>Figure 17</w:t>
      </w:r>
      <w:r w:rsidRPr="0078056B">
        <w:fldChar w:fldCharType="end"/>
      </w:r>
      <w:r w:rsidRPr="0078056B">
        <w:t xml:space="preserve">, </w:t>
      </w:r>
      <w:r w:rsidRPr="0078056B">
        <w:fldChar w:fldCharType="begin"/>
      </w:r>
      <w:r w:rsidRPr="0078056B">
        <w:instrText xml:space="preserve"> REF _Ref162968848 \r \h </w:instrText>
      </w:r>
      <w:r w:rsidR="0078056B">
        <w:instrText xml:space="preserve"> \* MERGEFORMAT </w:instrText>
      </w:r>
      <w:r w:rsidRPr="0078056B">
        <w:fldChar w:fldCharType="separate"/>
      </w:r>
      <w:r w:rsidR="00E33157">
        <w:t>Figure 18</w:t>
      </w:r>
      <w:r w:rsidRPr="0078056B">
        <w:fldChar w:fldCharType="end"/>
      </w:r>
      <w:r w:rsidRPr="0078056B">
        <w:t xml:space="preserve"> and </w:t>
      </w:r>
      <w:r w:rsidRPr="0078056B">
        <w:fldChar w:fldCharType="begin"/>
      </w:r>
      <w:r w:rsidRPr="0078056B">
        <w:instrText xml:space="preserve"> REF _Ref162968849 \r \h </w:instrText>
      </w:r>
      <w:r w:rsidR="0078056B">
        <w:instrText xml:space="preserve"> \* MERGEFORMAT </w:instrText>
      </w:r>
      <w:r w:rsidRPr="0078056B">
        <w:fldChar w:fldCharType="separate"/>
      </w:r>
      <w:r w:rsidR="00E33157">
        <w:t>Figure 19</w:t>
      </w:r>
      <w:r w:rsidRPr="0078056B">
        <w:fldChar w:fldCharType="end"/>
      </w:r>
      <w:r w:rsidRPr="0078056B">
        <w:t xml:space="preserve"> demonstrate the extent to which</w:t>
      </w:r>
      <w:r w:rsidR="009963E3" w:rsidRPr="0078056B">
        <w:t xml:space="preserve"> </w:t>
      </w:r>
      <w:r w:rsidRPr="0078056B">
        <w:t xml:space="preserve">UK domiciled </w:t>
      </w:r>
      <w:r w:rsidR="009963E3" w:rsidRPr="0078056B">
        <w:t xml:space="preserve">University of Birmingham </w:t>
      </w:r>
      <w:r w:rsidRPr="0078056B">
        <w:t xml:space="preserve">graduates remain in the </w:t>
      </w:r>
      <w:r w:rsidR="009963E3" w:rsidRPr="0078056B">
        <w:t>West Midlands</w:t>
      </w:r>
      <w:r w:rsidRPr="0078056B">
        <w:t xml:space="preserve"> after study</w:t>
      </w:r>
      <w:r w:rsidR="009963E3" w:rsidRPr="0078056B">
        <w:t>.</w:t>
      </w:r>
      <w:r w:rsidRPr="0078056B">
        <w:t xml:space="preserve"> In total, approximately </w:t>
      </w:r>
      <w:r w:rsidRPr="0078056B">
        <w:rPr>
          <w:b/>
          <w:bCs/>
          <w:color w:val="06357A" w:themeColor="text2"/>
        </w:rPr>
        <w:t>33%</w:t>
      </w:r>
      <w:r w:rsidRPr="0078056B">
        <w:rPr>
          <w:b/>
          <w:bCs/>
        </w:rPr>
        <w:t xml:space="preserve"> </w:t>
      </w:r>
      <w:r w:rsidRPr="0078056B">
        <w:t xml:space="preserve">of University of Birmingham graduates remained in the West Midlands one year after graduation, with the figure standing at </w:t>
      </w:r>
      <w:r w:rsidRPr="0078056B">
        <w:rPr>
          <w:b/>
          <w:bCs/>
          <w:color w:val="06357A" w:themeColor="text2"/>
        </w:rPr>
        <w:t>33%</w:t>
      </w:r>
      <w:r w:rsidRPr="0078056B">
        <w:t xml:space="preserve"> and </w:t>
      </w:r>
      <w:r w:rsidRPr="0078056B">
        <w:rPr>
          <w:b/>
          <w:bCs/>
          <w:color w:val="06357A" w:themeColor="text2"/>
        </w:rPr>
        <w:t>30%</w:t>
      </w:r>
      <w:r w:rsidRPr="0078056B">
        <w:t xml:space="preserve"> at 3 years and 5 years respectively. While this figure is lower than many other HEIs in </w:t>
      </w:r>
      <w:r w:rsidR="005B244F">
        <w:t xml:space="preserve">the </w:t>
      </w:r>
      <w:r w:rsidRPr="0078056B">
        <w:t xml:space="preserve">West Midlands, it in fact represents a </w:t>
      </w:r>
      <w:r w:rsidRPr="0078056B">
        <w:rPr>
          <w:i/>
          <w:iCs/>
        </w:rPr>
        <w:t xml:space="preserve">net migration </w:t>
      </w:r>
      <w:r w:rsidRPr="0078056B">
        <w:t>to the West Midlands. This is because almost all graduates with West Midlands as their home region (</w:t>
      </w:r>
      <w:r w:rsidRPr="0078056B">
        <w:rPr>
          <w:b/>
          <w:bCs/>
          <w:color w:val="06357A" w:themeColor="text2"/>
        </w:rPr>
        <w:t>93%</w:t>
      </w:r>
      <w:r w:rsidRPr="0078056B">
        <w:rPr>
          <w:b/>
          <w:bCs/>
        </w:rPr>
        <w:t xml:space="preserve"> </w:t>
      </w:r>
      <w:r w:rsidRPr="0078056B">
        <w:t>one year post-study) remained in the region post-study, while some graduates from outside the West Midlands (</w:t>
      </w:r>
      <w:r w:rsidRPr="0078056B">
        <w:rPr>
          <w:b/>
          <w:bCs/>
          <w:color w:val="06357A" w:themeColor="text2"/>
        </w:rPr>
        <w:t>15%</w:t>
      </w:r>
      <w:r w:rsidRPr="0078056B">
        <w:rPr>
          <w:b/>
          <w:bCs/>
        </w:rPr>
        <w:t xml:space="preserve"> </w:t>
      </w:r>
      <w:r w:rsidRPr="0078056B">
        <w:t xml:space="preserve">one year post-study) remained in the region post-study. This resulted in net migration to the West Midlands of </w:t>
      </w:r>
      <w:r w:rsidRPr="0078056B">
        <w:rPr>
          <w:b/>
          <w:bCs/>
          <w:color w:val="06357A" w:themeColor="text2"/>
        </w:rPr>
        <w:t>9%</w:t>
      </w:r>
      <w:r w:rsidRPr="0078056B">
        <w:rPr>
          <w:b/>
          <w:bCs/>
        </w:rPr>
        <w:t xml:space="preserve"> </w:t>
      </w:r>
      <w:r w:rsidRPr="0078056B">
        <w:t>of the total cohort size one year post</w:t>
      </w:r>
      <w:r w:rsidR="00DB083B" w:rsidRPr="0078056B">
        <w:t>-</w:t>
      </w:r>
      <w:r w:rsidRPr="0078056B">
        <w:t xml:space="preserve">study, falling to </w:t>
      </w:r>
      <w:r w:rsidRPr="0078056B">
        <w:rPr>
          <w:b/>
          <w:bCs/>
          <w:color w:val="06357A" w:themeColor="text2"/>
        </w:rPr>
        <w:t>6%</w:t>
      </w:r>
      <w:r w:rsidRPr="0078056B">
        <w:rPr>
          <w:b/>
          <w:bCs/>
        </w:rPr>
        <w:t xml:space="preserve"> </w:t>
      </w:r>
      <w:r w:rsidRPr="0078056B">
        <w:t xml:space="preserve">and </w:t>
      </w:r>
      <w:r w:rsidRPr="0078056B">
        <w:rPr>
          <w:b/>
          <w:bCs/>
          <w:color w:val="06357A" w:themeColor="text2"/>
        </w:rPr>
        <w:t>4%</w:t>
      </w:r>
      <w:r w:rsidRPr="0078056B">
        <w:t xml:space="preserve"> at 3 and 5 years respectively, </w:t>
      </w:r>
      <w:r w:rsidR="00310716" w:rsidRPr="0078056B">
        <w:t>which was</w:t>
      </w:r>
      <w:r w:rsidR="00535C9C" w:rsidRPr="0078056B">
        <w:t xml:space="preserve"> a</w:t>
      </w:r>
      <w:r w:rsidR="00310716" w:rsidRPr="0078056B">
        <w:t xml:space="preserve"> larger</w:t>
      </w:r>
      <w:r w:rsidR="00535C9C" w:rsidRPr="0078056B">
        <w:t xml:space="preserve"> net migration to the West Midlands</w:t>
      </w:r>
      <w:r w:rsidR="00310716" w:rsidRPr="0078056B">
        <w:t xml:space="preserve"> than any other HEI in Birmingham</w:t>
      </w:r>
      <w:r w:rsidRPr="0078056B">
        <w:t xml:space="preserve">.  </w:t>
      </w:r>
      <w:r w:rsidR="009963E3" w:rsidRPr="0078056B">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C373FA" w:rsidRPr="0078056B" w14:paraId="324107EC" w14:textId="77777777" w:rsidTr="006A75AB">
        <w:trPr>
          <w:cantSplit/>
        </w:trPr>
        <w:tc>
          <w:tcPr>
            <w:tcW w:w="0" w:type="auto"/>
          </w:tcPr>
          <w:p w14:paraId="19D8EE77" w14:textId="530A7F1A" w:rsidR="00C373FA" w:rsidRPr="0078056B" w:rsidRDefault="00AD07C6" w:rsidP="00C373FA">
            <w:pPr>
              <w:pStyle w:val="FigureTitle"/>
              <w:numPr>
                <w:ilvl w:val="0"/>
                <w:numId w:val="32"/>
              </w:numPr>
            </w:pPr>
            <w:bookmarkStart w:id="231" w:name="_Ref162968847"/>
            <w:bookmarkStart w:id="232" w:name="_Toc168652198"/>
            <w:r w:rsidRPr="0078056B">
              <w:t>Location of UK domiciled University of Birmingham graduates</w:t>
            </w:r>
            <w:r w:rsidR="007B305E" w:rsidRPr="0078056B">
              <w:t xml:space="preserve"> in the 2018-19 graduating cohort</w:t>
            </w:r>
            <w:r w:rsidRPr="0078056B">
              <w:t xml:space="preserve">, before and </w:t>
            </w:r>
            <w:r w:rsidRPr="0078056B">
              <w:rPr>
                <w:u w:val="single"/>
              </w:rPr>
              <w:t>1 year</w:t>
            </w:r>
            <w:r w:rsidRPr="0078056B">
              <w:t xml:space="preserve"> after study</w:t>
            </w:r>
            <w:bookmarkEnd w:id="231"/>
            <w:bookmarkEnd w:id="232"/>
          </w:p>
        </w:tc>
      </w:tr>
      <w:tr w:rsidR="00C373FA" w:rsidRPr="0078056B" w14:paraId="54C80A8A" w14:textId="77777777" w:rsidTr="006A75AB">
        <w:trPr>
          <w:cantSplit/>
        </w:trPr>
        <w:tc>
          <w:tcPr>
            <w:tcW w:w="0" w:type="auto"/>
          </w:tcPr>
          <w:p w14:paraId="03D9C786" w14:textId="121080CB" w:rsidR="00C373FA" w:rsidRPr="0078056B" w:rsidRDefault="000905FC" w:rsidP="006A75AB">
            <w:pPr>
              <w:pStyle w:val="PlaceholderText"/>
              <w:jc w:val="center"/>
            </w:pPr>
            <w:r w:rsidRPr="0078056B">
              <w:rPr>
                <w:noProof/>
              </w:rPr>
              <w:drawing>
                <wp:inline distT="0" distB="0" distL="0" distR="0" wp14:anchorId="3AC80032" wp14:editId="32709261">
                  <wp:extent cx="5616000" cy="2570880"/>
                  <wp:effectExtent l="0" t="0" r="3810" b="1270"/>
                  <wp:docPr id="2535888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696" r="1617"/>
                          <a:stretch/>
                        </pic:blipFill>
                        <pic:spPr bwMode="auto">
                          <a:xfrm>
                            <a:off x="0" y="0"/>
                            <a:ext cx="5616000" cy="25708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373FA" w:rsidRPr="0078056B" w14:paraId="7BBCD40F" w14:textId="77777777" w:rsidTr="006A75AB">
        <w:trPr>
          <w:cantSplit/>
        </w:trPr>
        <w:tc>
          <w:tcPr>
            <w:tcW w:w="0" w:type="auto"/>
          </w:tcPr>
          <w:p w14:paraId="19492614" w14:textId="536978DA" w:rsidR="00C373FA" w:rsidRPr="0078056B" w:rsidRDefault="00C373FA" w:rsidP="006A75AB">
            <w:pPr>
              <w:pStyle w:val="TableNote"/>
            </w:pPr>
            <w:r w:rsidRPr="0078056B">
              <w:t xml:space="preserve">Note: </w:t>
            </w:r>
            <w:r w:rsidR="007340C0" w:rsidRPr="0078056B">
              <w:t>Totals may not sum due to rounding.</w:t>
            </w:r>
            <w:r w:rsidR="00AD07C6" w:rsidRPr="0078056B">
              <w:t xml:space="preserve"> Pre-study location refers to a graduate’s ‘home’ region before study (based on HESA postcode data).</w:t>
            </w:r>
          </w:p>
          <w:p w14:paraId="26468DDB" w14:textId="5A3F63CB" w:rsidR="00C373FA" w:rsidRPr="0078056B" w:rsidRDefault="00C373FA" w:rsidP="006A75AB">
            <w:pPr>
              <w:pStyle w:val="TableSource"/>
            </w:pPr>
            <w:r w:rsidRPr="0078056B">
              <w:t>Source: London Economics’ analysis using Longitudinal Education Outcomes data</w:t>
            </w:r>
            <w:r w:rsidR="007340C0" w:rsidRPr="0078056B">
              <w:t xml:space="preserve"> and SankeyMATIC.</w:t>
            </w:r>
          </w:p>
        </w:tc>
      </w:tr>
      <w:tr w:rsidR="00C373FA" w:rsidRPr="0078056B" w14:paraId="45A1BD09" w14:textId="77777777" w:rsidTr="006A75AB">
        <w:trPr>
          <w:cantSplit/>
        </w:trPr>
        <w:tc>
          <w:tcPr>
            <w:tcW w:w="0" w:type="auto"/>
          </w:tcPr>
          <w:p w14:paraId="63155D1B" w14:textId="6E2FE43A" w:rsidR="00C373FA" w:rsidRPr="0078056B" w:rsidRDefault="00AD07C6" w:rsidP="00C373FA">
            <w:pPr>
              <w:pStyle w:val="FigureTitle"/>
              <w:numPr>
                <w:ilvl w:val="0"/>
                <w:numId w:val="32"/>
              </w:numPr>
            </w:pPr>
            <w:bookmarkStart w:id="233" w:name="_Ref162968848"/>
            <w:bookmarkStart w:id="234" w:name="_Toc168652199"/>
            <w:r w:rsidRPr="0078056B">
              <w:lastRenderedPageBreak/>
              <w:t>Location of UK domiciled University of Birmingham graduates</w:t>
            </w:r>
            <w:r w:rsidR="007B305E" w:rsidRPr="0078056B">
              <w:t xml:space="preserve"> in the 2016-17 graduating cohort</w:t>
            </w:r>
            <w:r w:rsidRPr="0078056B">
              <w:t xml:space="preserve">, before and </w:t>
            </w:r>
            <w:r w:rsidRPr="0078056B">
              <w:rPr>
                <w:u w:val="single"/>
              </w:rPr>
              <w:t>3 years</w:t>
            </w:r>
            <w:r w:rsidRPr="0078056B">
              <w:t xml:space="preserve"> after study</w:t>
            </w:r>
            <w:bookmarkEnd w:id="233"/>
            <w:bookmarkEnd w:id="234"/>
          </w:p>
        </w:tc>
      </w:tr>
      <w:tr w:rsidR="00C373FA" w:rsidRPr="0078056B" w14:paraId="2060A638" w14:textId="77777777" w:rsidTr="006A75AB">
        <w:trPr>
          <w:cantSplit/>
        </w:trPr>
        <w:tc>
          <w:tcPr>
            <w:tcW w:w="0" w:type="auto"/>
          </w:tcPr>
          <w:p w14:paraId="68DDCF25" w14:textId="0C15066B" w:rsidR="00C373FA" w:rsidRPr="0078056B" w:rsidRDefault="00327737" w:rsidP="00327737">
            <w:pPr>
              <w:pStyle w:val="PlaceholderText"/>
              <w:jc w:val="center"/>
            </w:pPr>
            <w:r w:rsidRPr="0078056B">
              <w:rPr>
                <w:noProof/>
              </w:rPr>
              <w:drawing>
                <wp:inline distT="0" distB="0" distL="0" distR="0" wp14:anchorId="6B88D4B6" wp14:editId="5278F56A">
                  <wp:extent cx="5616000" cy="2565066"/>
                  <wp:effectExtent l="0" t="0" r="0" b="6985"/>
                  <wp:docPr id="7279374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696" r="1458"/>
                          <a:stretch/>
                        </pic:blipFill>
                        <pic:spPr bwMode="auto">
                          <a:xfrm>
                            <a:off x="0" y="0"/>
                            <a:ext cx="5616000" cy="25650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373FA" w:rsidRPr="0078056B" w14:paraId="37D2BAB9" w14:textId="77777777" w:rsidTr="006A75AB">
        <w:trPr>
          <w:cantSplit/>
        </w:trPr>
        <w:tc>
          <w:tcPr>
            <w:tcW w:w="0" w:type="auto"/>
          </w:tcPr>
          <w:p w14:paraId="36D57BC6" w14:textId="6F8ADD9C" w:rsidR="00C373FA" w:rsidRPr="0078056B" w:rsidRDefault="00C373FA" w:rsidP="006A75AB">
            <w:pPr>
              <w:pStyle w:val="TableNote"/>
            </w:pPr>
            <w:r w:rsidRPr="0078056B">
              <w:t xml:space="preserve">Note: </w:t>
            </w:r>
            <w:r w:rsidR="007340C0" w:rsidRPr="0078056B">
              <w:t>Totals may not sum due to rounding.</w:t>
            </w:r>
            <w:r w:rsidR="00AD07C6" w:rsidRPr="0078056B">
              <w:t xml:space="preserve"> Pre-study location refers to a graduate’s ‘home’ region before study (based on HESA postcode data).</w:t>
            </w:r>
          </w:p>
          <w:p w14:paraId="36FA3512" w14:textId="137F2074" w:rsidR="00C373FA" w:rsidRPr="0078056B" w:rsidRDefault="00C373FA" w:rsidP="006A75AB">
            <w:pPr>
              <w:pStyle w:val="TableSource"/>
            </w:pPr>
            <w:r w:rsidRPr="0078056B">
              <w:t>Source: London Economics’ analysis using Longitudinal Education Outcomes data</w:t>
            </w:r>
            <w:r w:rsidR="007340C0" w:rsidRPr="0078056B">
              <w:t xml:space="preserve"> and SankeyMATIC.</w:t>
            </w:r>
          </w:p>
        </w:tc>
      </w:tr>
      <w:tr w:rsidR="00C373FA" w:rsidRPr="0078056B" w14:paraId="625CCD5E" w14:textId="77777777" w:rsidTr="006A75AB">
        <w:trPr>
          <w:cantSplit/>
        </w:trPr>
        <w:tc>
          <w:tcPr>
            <w:tcW w:w="0" w:type="auto"/>
          </w:tcPr>
          <w:p w14:paraId="1B4287B4" w14:textId="2C7104F4" w:rsidR="00C373FA" w:rsidRPr="0078056B" w:rsidRDefault="00AD07C6" w:rsidP="00C373FA">
            <w:pPr>
              <w:pStyle w:val="FigureTitle"/>
              <w:numPr>
                <w:ilvl w:val="0"/>
                <w:numId w:val="32"/>
              </w:numPr>
            </w:pPr>
            <w:bookmarkStart w:id="235" w:name="_Ref162968849"/>
            <w:bookmarkStart w:id="236" w:name="_Toc168652200"/>
            <w:r w:rsidRPr="0078056B">
              <w:t>Location of UK domiciled University of Birmingham graduates</w:t>
            </w:r>
            <w:r w:rsidR="007B305E" w:rsidRPr="0078056B">
              <w:t xml:space="preserve"> in the 2014-15 graduating cohort</w:t>
            </w:r>
            <w:r w:rsidRPr="0078056B">
              <w:t xml:space="preserve">, before and </w:t>
            </w:r>
            <w:r w:rsidRPr="0078056B">
              <w:rPr>
                <w:u w:val="single"/>
              </w:rPr>
              <w:t>5 years</w:t>
            </w:r>
            <w:r w:rsidRPr="0078056B">
              <w:t xml:space="preserve"> after study</w:t>
            </w:r>
            <w:bookmarkEnd w:id="235"/>
            <w:bookmarkEnd w:id="236"/>
          </w:p>
        </w:tc>
      </w:tr>
      <w:tr w:rsidR="00C373FA" w:rsidRPr="0078056B" w14:paraId="29F286CD" w14:textId="77777777" w:rsidTr="006A75AB">
        <w:trPr>
          <w:cantSplit/>
        </w:trPr>
        <w:tc>
          <w:tcPr>
            <w:tcW w:w="0" w:type="auto"/>
          </w:tcPr>
          <w:p w14:paraId="1D3F8C35" w14:textId="0137921B" w:rsidR="00C373FA" w:rsidRPr="0078056B" w:rsidRDefault="00AD07C6" w:rsidP="006A75AB">
            <w:pPr>
              <w:pStyle w:val="PlaceholderText"/>
              <w:jc w:val="center"/>
            </w:pPr>
            <w:r w:rsidRPr="0078056B">
              <w:rPr>
                <w:noProof/>
              </w:rPr>
              <w:drawing>
                <wp:inline distT="0" distB="0" distL="0" distR="0" wp14:anchorId="611B78D5" wp14:editId="1EA40343">
                  <wp:extent cx="5616000" cy="2556064"/>
                  <wp:effectExtent l="0" t="0" r="0" b="0"/>
                  <wp:docPr id="7706670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526" r="1226"/>
                          <a:stretch/>
                        </pic:blipFill>
                        <pic:spPr bwMode="auto">
                          <a:xfrm>
                            <a:off x="0" y="0"/>
                            <a:ext cx="5616000" cy="25560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373FA" w:rsidRPr="0078056B" w14:paraId="05C237AE" w14:textId="77777777" w:rsidTr="006A75AB">
        <w:trPr>
          <w:cantSplit/>
        </w:trPr>
        <w:tc>
          <w:tcPr>
            <w:tcW w:w="0" w:type="auto"/>
          </w:tcPr>
          <w:p w14:paraId="582A2D21" w14:textId="116F90C9" w:rsidR="00C373FA" w:rsidRPr="0078056B" w:rsidRDefault="00C373FA" w:rsidP="006A75AB">
            <w:pPr>
              <w:pStyle w:val="TableNote"/>
            </w:pPr>
            <w:r w:rsidRPr="0078056B">
              <w:t xml:space="preserve">Note: </w:t>
            </w:r>
            <w:r w:rsidR="007340C0" w:rsidRPr="0078056B">
              <w:t>Totals may not sum due to rounding.</w:t>
            </w:r>
            <w:r w:rsidR="00AD07C6" w:rsidRPr="0078056B">
              <w:t xml:space="preserve"> Pre-study location refers to a graduate’s ‘home’ region before study (based on HESA postcode data).</w:t>
            </w:r>
          </w:p>
          <w:p w14:paraId="65122FD7" w14:textId="3BB53D4E" w:rsidR="00C373FA" w:rsidRPr="0078056B" w:rsidRDefault="00C373FA" w:rsidP="006A75AB">
            <w:pPr>
              <w:pStyle w:val="TableSource"/>
            </w:pPr>
            <w:r w:rsidRPr="0078056B">
              <w:t>Source: London Economics’ analysis using Longitudinal Education Outcomes data</w:t>
            </w:r>
            <w:r w:rsidR="007340C0" w:rsidRPr="0078056B">
              <w:t xml:space="preserve"> and SankeyMATIC.</w:t>
            </w:r>
          </w:p>
        </w:tc>
      </w:tr>
    </w:tbl>
    <w:p w14:paraId="3B0D0771" w14:textId="16AF9FBF" w:rsidR="00AF18BB" w:rsidRPr="0078056B" w:rsidRDefault="009963E3" w:rsidP="00B32115">
      <w:r w:rsidRPr="0078056B">
        <w:br w:type="page"/>
      </w:r>
    </w:p>
    <w:p w14:paraId="369B8029" w14:textId="0CA27121" w:rsidR="00FA48AB" w:rsidRPr="0078056B" w:rsidRDefault="00AF18BB" w:rsidP="00AF18BB">
      <w:pPr>
        <w:pStyle w:val="Heading1"/>
      </w:pPr>
      <w:bookmarkStart w:id="237" w:name="_Ref162263211"/>
      <w:bookmarkStart w:id="238" w:name="_Ref162268806"/>
      <w:bookmarkStart w:id="239" w:name="_Toc168652127"/>
      <w:r w:rsidRPr="0078056B">
        <w:rPr>
          <w:rStyle w:val="HeaderRepeat"/>
        </w:rPr>
        <w:lastRenderedPageBreak/>
        <w:t>The impact of the University of Birmingham’s educational exports</w:t>
      </w:r>
      <w:bookmarkEnd w:id="237"/>
      <w:bookmarkEnd w:id="238"/>
      <w:bookmarkEnd w:id="239"/>
    </w:p>
    <w:p w14:paraId="42B936D7" w14:textId="77777777" w:rsidR="00B91716" w:rsidRPr="0078056B" w:rsidRDefault="00B91716" w:rsidP="00B91716">
      <w:r w:rsidRPr="0078056B">
        <w:t>With the United Kingdom, and the University of Birmingham in particular, being an attractive destination for many overseas students, the higher education sector is a tradeable industry with imports and exports like any other tradeable sector.</w:t>
      </w:r>
    </w:p>
    <w:p w14:paraId="5679AB39" w14:textId="77777777" w:rsidR="00B91716" w:rsidRPr="0078056B" w:rsidRDefault="00B91716" w:rsidP="00B91716">
      <w:r w:rsidRPr="0078056B">
        <w:t xml:space="preserve">In this part of the analysis, we focus on the impact of educational exports through the injection of </w:t>
      </w:r>
      <w:r w:rsidRPr="0078056B">
        <w:rPr>
          <w:rFonts w:eastAsia="Times New Roman" w:cs="Microsoft Sans Serif"/>
          <w:b/>
          <w:color w:val="06357A"/>
        </w:rPr>
        <w:t>overseas funding into the UK generated by the University.</w:t>
      </w:r>
      <w:r w:rsidRPr="0078056B">
        <w:t xml:space="preserve"> Specifically, we analyse overseas income in the form of </w:t>
      </w:r>
      <w:r w:rsidRPr="0078056B">
        <w:rPr>
          <w:b/>
          <w:bCs/>
          <w:color w:val="06357A" w:themeColor="text2"/>
        </w:rPr>
        <w:t>tuition fee spending</w:t>
      </w:r>
      <w:r w:rsidRPr="0078056B">
        <w:rPr>
          <w:color w:val="06357A" w:themeColor="text2"/>
        </w:rPr>
        <w:t xml:space="preserve"> </w:t>
      </w:r>
      <w:r w:rsidRPr="0078056B">
        <w:t xml:space="preserve">(net of any fee waivers and other bursaries provided by the University) and </w:t>
      </w:r>
      <w:r w:rsidRPr="0078056B">
        <w:rPr>
          <w:b/>
          <w:bCs/>
          <w:color w:val="06357A" w:themeColor="text2"/>
        </w:rPr>
        <w:t>non-tuition fee (off-campus) expenditures</w:t>
      </w:r>
      <w:r w:rsidRPr="0078056B">
        <w:rPr>
          <w:color w:val="06357A" w:themeColor="text2"/>
        </w:rPr>
        <w:t xml:space="preserve"> </w:t>
      </w:r>
      <w:r w:rsidRPr="0078056B">
        <w:t>by international (EU and non-EU domiciled) students in the 2021-22 cohort of the University of Birmingham students, over the entire course of their studies</w:t>
      </w:r>
      <w:r w:rsidRPr="0078056B">
        <w:rPr>
          <w:vertAlign w:val="superscript"/>
        </w:rPr>
        <w:footnoteReference w:id="55"/>
      </w:r>
      <w:r w:rsidRPr="0078056B">
        <w:t xml:space="preserve">. The analysis estimates the </w:t>
      </w:r>
      <w:r w:rsidRPr="0078056B">
        <w:rPr>
          <w:rFonts w:eastAsia="Times New Roman" w:cs="Microsoft Sans Serif"/>
          <w:b/>
          <w:color w:val="06357A"/>
        </w:rPr>
        <w:t>direct, indirect, and induced economic impacts</w:t>
      </w:r>
      <w:r w:rsidRPr="0078056B">
        <w:rPr>
          <w:sz w:val="20"/>
          <w:szCs w:val="20"/>
        </w:rPr>
        <w:t xml:space="preserve"> </w:t>
      </w:r>
      <w:r w:rsidRPr="0078056B">
        <w:t>associated with this export income, defined as follows:</w:t>
      </w:r>
    </w:p>
    <w:p w14:paraId="14AA90BD" w14:textId="77777777" w:rsidR="00B91716" w:rsidRPr="0078056B" w:rsidRDefault="00B91716" w:rsidP="00B91716">
      <w:pPr>
        <w:pStyle w:val="MinorBullet1"/>
        <w:numPr>
          <w:ilvl w:val="0"/>
          <w:numId w:val="21"/>
        </w:numPr>
      </w:pPr>
      <w:r w:rsidRPr="0078056B">
        <w:rPr>
          <w:rFonts w:eastAsia="Times New Roman" w:cs="Microsoft Sans Serif"/>
          <w:b/>
          <w:color w:val="06357A"/>
        </w:rPr>
        <w:t>Direct effect:</w:t>
      </w:r>
      <w:r w:rsidRPr="0078056B">
        <w:rPr>
          <w:sz w:val="20"/>
          <w:szCs w:val="20"/>
        </w:rPr>
        <w:t xml:space="preserve"> </w:t>
      </w:r>
      <w:r w:rsidRPr="0078056B">
        <w:t>This is captured by the level of (net) fee income (accrued by the University of Birmingham itself) and non-fee income (accrued by other organisations providing goods and services to international students) associated with non-UK students in the 2021-22 cohort.</w:t>
      </w:r>
    </w:p>
    <w:p w14:paraId="6E7F4CC4" w14:textId="7500D975" w:rsidR="00B91716" w:rsidRPr="0078056B" w:rsidRDefault="00B91716" w:rsidP="00B91716">
      <w:pPr>
        <w:pStyle w:val="MinorBullet1"/>
        <w:numPr>
          <w:ilvl w:val="0"/>
          <w:numId w:val="21"/>
        </w:numPr>
      </w:pPr>
      <w:r w:rsidRPr="0078056B">
        <w:rPr>
          <w:rFonts w:eastAsia="Times New Roman" w:cs="Microsoft Sans Serif"/>
          <w:b/>
          <w:color w:val="06357A"/>
        </w:rPr>
        <w:t>Indirect effect (‘supply chain impacts’</w:t>
      </w:r>
      <w:r w:rsidRPr="0078056B">
        <w:rPr>
          <w:rFonts w:eastAsia="Times New Roman" w:cs="Microsoft Sans Serif"/>
          <w:b/>
          <w:color w:val="06357A"/>
          <w:sz w:val="24"/>
          <w:szCs w:val="24"/>
        </w:rPr>
        <w:t>):</w:t>
      </w:r>
      <w:r w:rsidRPr="0078056B">
        <w:t xml:space="preserve"> </w:t>
      </w:r>
      <w:r w:rsidR="00935E7D" w:rsidRPr="0078056B">
        <w:t>T</w:t>
      </w:r>
      <w:r w:rsidRPr="0078056B">
        <w:t>he University and local businesses providing other goods and services to international students spend their income on purchases of goods and services from their suppliers, which in turn use this revenue to buy inputs (including labour) to meet these demands. This results in a chain reaction of subsequent rounds of spending across industries, often referred to as a ‘ripple effect’.</w:t>
      </w:r>
    </w:p>
    <w:p w14:paraId="24B0FE8E" w14:textId="2378A223" w:rsidR="00B91716" w:rsidRPr="0078056B" w:rsidRDefault="00B91716" w:rsidP="00B91716">
      <w:pPr>
        <w:pStyle w:val="MinorBullet1"/>
        <w:numPr>
          <w:ilvl w:val="0"/>
          <w:numId w:val="21"/>
        </w:numPr>
      </w:pPr>
      <w:r w:rsidRPr="0078056B">
        <w:rPr>
          <w:rFonts w:eastAsia="Times New Roman" w:cs="Microsoft Sans Serif"/>
          <w:b/>
          <w:color w:val="06357A"/>
        </w:rPr>
        <w:t>Induced effect (‘wage spending impacts’):</w:t>
      </w:r>
      <w:r w:rsidRPr="0078056B">
        <w:rPr>
          <w:sz w:val="20"/>
          <w:szCs w:val="20"/>
        </w:rPr>
        <w:t xml:space="preserve"> </w:t>
      </w:r>
      <w:r w:rsidRPr="0078056B">
        <w:t>The employees of the University of Birmingham (supported by its tuition fee income) and of companies providing good</w:t>
      </w:r>
      <w:r w:rsidR="00C26610" w:rsidRPr="0078056B">
        <w:t>s</w:t>
      </w:r>
      <w:r w:rsidRPr="0078056B">
        <w:t xml:space="preserve"> and services to the University’s international students use their wages to buy consumer goods and services. This in turn generates wage income for employees within the industries producing these goods and services, again leading to subsequent rounds of spending, i.e. a further ‘ripple effect’ throughout the economy as a whole</w:t>
      </w:r>
      <w:r w:rsidRPr="0078056B">
        <w:rPr>
          <w:vertAlign w:val="superscript"/>
        </w:rPr>
        <w:footnoteReference w:id="56"/>
      </w:r>
      <w:r w:rsidRPr="0078056B">
        <w:t>.</w:t>
      </w:r>
    </w:p>
    <w:p w14:paraId="35225119" w14:textId="59B16FAE" w:rsidR="00B91716" w:rsidRPr="0078056B" w:rsidRDefault="00307820" w:rsidP="00B91716">
      <w:r w:rsidRPr="0078056B">
        <w:t xml:space="preserve">The analysis of </w:t>
      </w:r>
      <w:r w:rsidR="00B91716" w:rsidRPr="0078056B">
        <w:t xml:space="preserve">the impacts associated with the University of Birmingham’s educational exports </w:t>
      </w:r>
      <w:r w:rsidRPr="0078056B">
        <w:t>f</w:t>
      </w:r>
      <w:r w:rsidR="0092452A" w:rsidRPr="0078056B">
        <w:t>ollows a</w:t>
      </w:r>
      <w:r w:rsidR="00935E7D" w:rsidRPr="0078056B">
        <w:t xml:space="preserve"> similar methodology </w:t>
      </w:r>
      <w:r w:rsidR="009A7BCA" w:rsidRPr="0078056B">
        <w:t>to the one used to</w:t>
      </w:r>
      <w:r w:rsidR="00935E7D" w:rsidRPr="0078056B">
        <w:t xml:space="preserve"> estimate the direct, indirect, and induced economic effects associated with the University’s research and knowledge exchange activities (see Section </w:t>
      </w:r>
      <w:r w:rsidR="00935E7D" w:rsidRPr="0078056B">
        <w:fldChar w:fldCharType="begin"/>
      </w:r>
      <w:r w:rsidR="00935E7D" w:rsidRPr="0078056B">
        <w:instrText xml:space="preserve"> REF _Ref162258996 \r \h </w:instrText>
      </w:r>
      <w:r w:rsidR="0078056B">
        <w:instrText xml:space="preserve"> \* MERGEFORMAT </w:instrText>
      </w:r>
      <w:r w:rsidR="00935E7D" w:rsidRPr="0078056B">
        <w:fldChar w:fldCharType="separate"/>
      </w:r>
      <w:r w:rsidR="00E33157">
        <w:t>2</w:t>
      </w:r>
      <w:r w:rsidR="00935E7D" w:rsidRPr="0078056B">
        <w:fldChar w:fldCharType="end"/>
      </w:r>
      <w:r w:rsidR="00935E7D" w:rsidRPr="0078056B">
        <w:t>), operational and capital expenditures (see Section 5) and tourism impact (see Section 6).</w:t>
      </w:r>
    </w:p>
    <w:p w14:paraId="008DF8D0" w14:textId="77777777" w:rsidR="00B91716" w:rsidRPr="0078056B" w:rsidRDefault="00B91716" w:rsidP="00B91716">
      <w:pPr>
        <w:pStyle w:val="Heading2"/>
        <w:numPr>
          <w:ilvl w:val="1"/>
          <w:numId w:val="13"/>
        </w:numPr>
      </w:pPr>
      <w:bookmarkStart w:id="240" w:name="_Toc160209962"/>
      <w:bookmarkStart w:id="241" w:name="_Toc168652128"/>
      <w:r w:rsidRPr="0078056B">
        <w:lastRenderedPageBreak/>
        <w:t>The 2021-22 cohort of international University of Birmingham students</w:t>
      </w:r>
      <w:bookmarkEnd w:id="240"/>
      <w:bookmarkEnd w:id="241"/>
    </w:p>
    <w:p w14:paraId="618EF709" w14:textId="10667B19" w:rsidR="00B91716" w:rsidRPr="0078056B" w:rsidRDefault="00B91716" w:rsidP="00B91716">
      <w:r w:rsidRPr="0078056B">
        <w:fldChar w:fldCharType="begin"/>
      </w:r>
      <w:r w:rsidRPr="0078056B">
        <w:instrText xml:space="preserve"> REF _Ref142312717 \r \h  \* MERGEFORMAT </w:instrText>
      </w:r>
      <w:r w:rsidRPr="0078056B">
        <w:fldChar w:fldCharType="separate"/>
      </w:r>
      <w:r w:rsidR="00E33157">
        <w:t>Figure 20</w:t>
      </w:r>
      <w:r w:rsidRPr="0078056B">
        <w:fldChar w:fldCharType="end"/>
      </w:r>
      <w:r w:rsidRPr="0078056B">
        <w:t xml:space="preserve">, </w:t>
      </w:r>
      <w:r w:rsidRPr="0078056B">
        <w:fldChar w:fldCharType="begin"/>
      </w:r>
      <w:r w:rsidRPr="0078056B">
        <w:instrText xml:space="preserve"> REF _Ref142312769 \r \h  \* MERGEFORMAT </w:instrText>
      </w:r>
      <w:r w:rsidRPr="0078056B">
        <w:fldChar w:fldCharType="separate"/>
      </w:r>
      <w:r w:rsidR="00E33157">
        <w:t>Figure 21</w:t>
      </w:r>
      <w:r w:rsidRPr="0078056B">
        <w:fldChar w:fldCharType="end"/>
      </w:r>
      <w:r w:rsidRPr="0078056B">
        <w:t xml:space="preserve">, and </w:t>
      </w:r>
      <w:r w:rsidRPr="0078056B">
        <w:fldChar w:fldCharType="begin"/>
      </w:r>
      <w:r w:rsidRPr="0078056B">
        <w:instrText xml:space="preserve"> REF _Ref142312777 \r \h  \* MERGEFORMAT </w:instrText>
      </w:r>
      <w:r w:rsidRPr="0078056B">
        <w:fldChar w:fldCharType="separate"/>
      </w:r>
      <w:r w:rsidR="00E33157">
        <w:t>Figure 22</w:t>
      </w:r>
      <w:r w:rsidRPr="0078056B">
        <w:fldChar w:fldCharType="end"/>
      </w:r>
      <w:r w:rsidRPr="0078056B">
        <w:t xml:space="preserve"> present information on the number of non-UK domiciled students in the 2021-22 cohort of University of Birmingham students (by domicile, mode of study, and level of study, respectively). </w:t>
      </w:r>
    </w:p>
    <w:p w14:paraId="44A80C4E" w14:textId="186EDEB2" w:rsidR="00B91716" w:rsidRPr="0078056B" w:rsidRDefault="00B91716" w:rsidP="00B91716">
      <w:r w:rsidRPr="0078056B">
        <w:t>In terms of domicile (</w:t>
      </w:r>
      <w:r w:rsidRPr="0078056B">
        <w:fldChar w:fldCharType="begin"/>
      </w:r>
      <w:r w:rsidRPr="0078056B">
        <w:instrText xml:space="preserve"> REF _Ref142312717 \r \h  \* MERGEFORMAT </w:instrText>
      </w:r>
      <w:r w:rsidRPr="0078056B">
        <w:fldChar w:fldCharType="separate"/>
      </w:r>
      <w:r w:rsidR="00E33157">
        <w:t>Figure 20</w:t>
      </w:r>
      <w:r w:rsidRPr="0078056B">
        <w:fldChar w:fldCharType="end"/>
      </w:r>
      <w:r w:rsidRPr="0078056B">
        <w:t xml:space="preserve">), of the total of </w:t>
      </w:r>
      <w:r w:rsidRPr="0078056B">
        <w:rPr>
          <w:rFonts w:eastAsia="Times New Roman" w:cs="Microsoft Sans Serif"/>
          <w:b/>
          <w:color w:val="06357A"/>
        </w:rPr>
        <w:t xml:space="preserve">5,080 </w:t>
      </w:r>
      <w:r w:rsidRPr="0078056B">
        <w:t xml:space="preserve">international students starting higher education qualifications at the University of Birmingham in 2021-2022, </w:t>
      </w:r>
      <w:r w:rsidRPr="0078056B">
        <w:rPr>
          <w:rFonts w:eastAsia="Times New Roman" w:cs="Microsoft Sans Serif"/>
          <w:b/>
          <w:color w:val="06357A"/>
        </w:rPr>
        <w:t>175</w:t>
      </w:r>
      <w:r w:rsidRPr="0078056B">
        <w:t xml:space="preserve"> (</w:t>
      </w:r>
      <w:r w:rsidRPr="0078056B">
        <w:rPr>
          <w:rFonts w:eastAsia="Times New Roman" w:cs="Microsoft Sans Serif"/>
          <w:b/>
          <w:color w:val="06357A"/>
        </w:rPr>
        <w:t>3%</w:t>
      </w:r>
      <w:r w:rsidRPr="0078056B">
        <w:t>)</w:t>
      </w:r>
      <w:r w:rsidRPr="0078056B">
        <w:rPr>
          <w:rFonts w:eastAsia="Times New Roman" w:cs="Microsoft Sans Serif"/>
          <w:b/>
          <w:color w:val="06357A"/>
        </w:rPr>
        <w:t xml:space="preserve"> </w:t>
      </w:r>
      <w:r w:rsidRPr="0078056B">
        <w:t xml:space="preserve">were domiciled within the European Union, while </w:t>
      </w:r>
      <w:r w:rsidRPr="0078056B">
        <w:rPr>
          <w:rFonts w:eastAsia="Times New Roman" w:cs="Microsoft Sans Serif"/>
          <w:b/>
          <w:color w:val="06357A"/>
        </w:rPr>
        <w:t>4,905</w:t>
      </w:r>
      <w:r w:rsidRPr="0078056B">
        <w:t xml:space="preserve"> (</w:t>
      </w:r>
      <w:r w:rsidRPr="0078056B">
        <w:rPr>
          <w:rFonts w:eastAsia="Times New Roman" w:cs="Microsoft Sans Serif"/>
          <w:b/>
          <w:color w:val="06357A"/>
        </w:rPr>
        <w:t>97%</w:t>
      </w:r>
      <w:r w:rsidRPr="0078056B">
        <w:t>)</w:t>
      </w:r>
      <w:r w:rsidRPr="0078056B">
        <w:rPr>
          <w:rFonts w:eastAsia="Times New Roman" w:cs="Microsoft Sans Serif"/>
          <w:b/>
          <w:color w:val="06357A"/>
        </w:rPr>
        <w:t xml:space="preserve"> </w:t>
      </w:r>
      <w:r w:rsidRPr="0078056B">
        <w:t>were from non-EU countries. In terms of study mode (</w:t>
      </w:r>
      <w:r w:rsidRPr="0078056B">
        <w:fldChar w:fldCharType="begin"/>
      </w:r>
      <w:r w:rsidRPr="0078056B">
        <w:instrText xml:space="preserve"> REF _Ref142312769 \r \h </w:instrText>
      </w:r>
      <w:r w:rsidR="0078056B">
        <w:instrText xml:space="preserve"> \* MERGEFORMAT </w:instrText>
      </w:r>
      <w:r w:rsidRPr="0078056B">
        <w:fldChar w:fldCharType="separate"/>
      </w:r>
      <w:r w:rsidR="00E33157">
        <w:t>Figure 21</w:t>
      </w:r>
      <w:r w:rsidRPr="0078056B">
        <w:fldChar w:fldCharType="end"/>
      </w:r>
      <w:r w:rsidRPr="0078056B">
        <w:t>), the majority of international students in the cohort (</w:t>
      </w:r>
      <w:r w:rsidRPr="0078056B">
        <w:rPr>
          <w:rFonts w:eastAsia="Times New Roman" w:cs="Microsoft Sans Serif"/>
          <w:b/>
          <w:color w:val="06357A"/>
        </w:rPr>
        <w:t>4,905</w:t>
      </w:r>
      <w:r w:rsidRPr="0078056B">
        <w:t xml:space="preserve">, </w:t>
      </w:r>
      <w:r w:rsidRPr="0078056B">
        <w:rPr>
          <w:rFonts w:eastAsia="Times New Roman" w:cs="Microsoft Sans Serif"/>
          <w:b/>
          <w:color w:val="06357A"/>
        </w:rPr>
        <w:t>97%</w:t>
      </w:r>
      <w:r w:rsidRPr="0078056B">
        <w:t>)</w:t>
      </w:r>
      <w:r w:rsidRPr="0078056B">
        <w:rPr>
          <w:rFonts w:eastAsia="Times New Roman" w:cs="Microsoft Sans Serif"/>
          <w:b/>
          <w:color w:val="06357A"/>
        </w:rPr>
        <w:t xml:space="preserve"> </w:t>
      </w:r>
      <w:r w:rsidRPr="0078056B">
        <w:t>were undertaking their qualifications on a full-time basis, with the remaining</w:t>
      </w:r>
      <w:r w:rsidRPr="0078056B">
        <w:rPr>
          <w:rFonts w:eastAsia="Times New Roman" w:cs="Microsoft Sans Serif"/>
          <w:b/>
          <w:color w:val="06357A"/>
        </w:rPr>
        <w:t xml:space="preserve"> 175</w:t>
      </w:r>
      <w:r w:rsidRPr="0078056B">
        <w:t xml:space="preserve"> (</w:t>
      </w:r>
      <w:r w:rsidRPr="0078056B">
        <w:rPr>
          <w:rFonts w:eastAsia="Times New Roman" w:cs="Microsoft Sans Serif"/>
          <w:b/>
          <w:color w:val="06357A"/>
        </w:rPr>
        <w:t>3%</w:t>
      </w:r>
      <w:r w:rsidRPr="0078056B">
        <w:t>)</w:t>
      </w:r>
      <w:r w:rsidRPr="0078056B">
        <w:rPr>
          <w:rFonts w:eastAsia="Times New Roman" w:cs="Microsoft Sans Serif"/>
          <w:b/>
          <w:color w:val="06357A"/>
        </w:rPr>
        <w:t xml:space="preserve"> </w:t>
      </w:r>
      <w:r w:rsidRPr="0078056B">
        <w:t>studying on a part-time basis.</w:t>
      </w:r>
    </w:p>
    <w:p w14:paraId="7DECF130" w14:textId="0DDFD4A1" w:rsidR="00B91716" w:rsidRPr="0078056B" w:rsidRDefault="00B91716" w:rsidP="00B91716">
      <w:pPr>
        <w:rPr>
          <w:rFonts w:eastAsia="Times New Roman" w:cs="Microsoft Sans Serif"/>
          <w:bCs/>
        </w:rPr>
      </w:pPr>
      <w:r w:rsidRPr="0078056B">
        <w:t>In terms of study level (</w:t>
      </w:r>
      <w:r w:rsidRPr="0078056B">
        <w:fldChar w:fldCharType="begin"/>
      </w:r>
      <w:r w:rsidRPr="0078056B">
        <w:instrText xml:space="preserve"> REF _Ref142312777 \r \h  \* MERGEFORMAT </w:instrText>
      </w:r>
      <w:r w:rsidRPr="0078056B">
        <w:fldChar w:fldCharType="separate"/>
      </w:r>
      <w:r w:rsidR="00E33157">
        <w:t>Figure 22</w:t>
      </w:r>
      <w:r w:rsidRPr="0078056B">
        <w:fldChar w:fldCharType="end"/>
      </w:r>
      <w:r w:rsidRPr="0078056B">
        <w:t xml:space="preserve">), in contrast to UK domiciled students (see Section </w:t>
      </w:r>
      <w:r w:rsidR="00135C90" w:rsidRPr="0078056B">
        <w:fldChar w:fldCharType="begin"/>
      </w:r>
      <w:r w:rsidR="00135C90" w:rsidRPr="0078056B">
        <w:instrText xml:space="preserve"> REF _Ref162259129 \r \h  \* MERGEFORMAT </w:instrText>
      </w:r>
      <w:r w:rsidR="00135C90" w:rsidRPr="0078056B">
        <w:fldChar w:fldCharType="separate"/>
      </w:r>
      <w:r w:rsidR="00E33157">
        <w:t>3.1</w:t>
      </w:r>
      <w:r w:rsidR="00135C90" w:rsidRPr="0078056B">
        <w:fldChar w:fldCharType="end"/>
      </w:r>
      <w:r w:rsidRPr="0078056B">
        <w:t>), the majority of non-UK domiciled students in the cohort were undertaking postgraduate qualifications (</w:t>
      </w:r>
      <w:r w:rsidRPr="0078056B">
        <w:rPr>
          <w:rFonts w:eastAsia="Times New Roman" w:cs="Microsoft Sans Serif"/>
          <w:b/>
          <w:color w:val="06357A"/>
        </w:rPr>
        <w:t>3,495, 69%</w:t>
      </w:r>
      <w:r w:rsidRPr="0078056B">
        <w:t xml:space="preserve">), including </w:t>
      </w:r>
      <w:r w:rsidRPr="0078056B">
        <w:rPr>
          <w:rFonts w:eastAsia="Times New Roman" w:cs="Microsoft Sans Serif"/>
          <w:b/>
          <w:color w:val="06357A"/>
        </w:rPr>
        <w:t xml:space="preserve">3,140 </w:t>
      </w:r>
      <w:r w:rsidRPr="0078056B">
        <w:t>students</w:t>
      </w:r>
      <w:r w:rsidRPr="0078056B">
        <w:rPr>
          <w:rFonts w:eastAsia="Times New Roman" w:cs="Microsoft Sans Serif"/>
          <w:b/>
          <w:color w:val="06357A"/>
        </w:rPr>
        <w:t xml:space="preserve"> </w:t>
      </w:r>
      <w:r w:rsidRPr="0078056B">
        <w:t>(</w:t>
      </w:r>
      <w:r w:rsidRPr="0078056B">
        <w:rPr>
          <w:rFonts w:eastAsia="Times New Roman" w:cs="Microsoft Sans Serif"/>
          <w:b/>
          <w:color w:val="06357A"/>
        </w:rPr>
        <w:t>62%</w:t>
      </w:r>
      <w:r w:rsidRPr="0078056B">
        <w:t>)</w:t>
      </w:r>
      <w:r w:rsidRPr="0078056B">
        <w:rPr>
          <w:sz w:val="20"/>
          <w:szCs w:val="20"/>
        </w:rPr>
        <w:t xml:space="preserve"> </w:t>
      </w:r>
      <w:r w:rsidRPr="0078056B">
        <w:t xml:space="preserve">enrolled in postgraduate taught degrees, </w:t>
      </w:r>
      <w:r w:rsidRPr="0078056B">
        <w:rPr>
          <w:rFonts w:eastAsia="Times New Roman" w:cs="Microsoft Sans Serif"/>
          <w:b/>
          <w:color w:val="06357A"/>
        </w:rPr>
        <w:t>295</w:t>
      </w:r>
      <w:r w:rsidRPr="0078056B">
        <w:t xml:space="preserve"> (</w:t>
      </w:r>
      <w:r w:rsidRPr="0078056B">
        <w:rPr>
          <w:rFonts w:eastAsia="Times New Roman" w:cs="Microsoft Sans Serif"/>
          <w:b/>
          <w:color w:val="06357A"/>
        </w:rPr>
        <w:t>6%</w:t>
      </w:r>
      <w:r w:rsidRPr="0078056B">
        <w:t>)</w:t>
      </w:r>
      <w:r w:rsidRPr="0078056B">
        <w:rPr>
          <w:rFonts w:eastAsia="Times New Roman" w:cs="Microsoft Sans Serif"/>
          <w:b/>
          <w:color w:val="06357A"/>
        </w:rPr>
        <w:t xml:space="preserve"> </w:t>
      </w:r>
      <w:r w:rsidRPr="0078056B">
        <w:t xml:space="preserve">undertaking postgraduate research degrees, and </w:t>
      </w:r>
      <w:r w:rsidRPr="0078056B">
        <w:rPr>
          <w:rFonts w:eastAsia="Times New Roman" w:cs="Microsoft Sans Serif"/>
          <w:b/>
          <w:color w:val="06357A"/>
        </w:rPr>
        <w:t>60</w:t>
      </w:r>
      <w:r w:rsidRPr="0078056B">
        <w:t xml:space="preserve"> (</w:t>
      </w:r>
      <w:r w:rsidRPr="0078056B">
        <w:rPr>
          <w:rFonts w:eastAsia="Times New Roman" w:cs="Microsoft Sans Serif"/>
          <w:b/>
          <w:color w:val="06357A"/>
        </w:rPr>
        <w:t>1%</w:t>
      </w:r>
      <w:r w:rsidRPr="0078056B">
        <w:t>)</w:t>
      </w:r>
      <w:r w:rsidRPr="0078056B">
        <w:rPr>
          <w:rFonts w:eastAsia="Times New Roman" w:cs="Microsoft Sans Serif"/>
          <w:b/>
          <w:color w:val="06357A"/>
        </w:rPr>
        <w:t xml:space="preserve"> </w:t>
      </w:r>
      <w:r w:rsidRPr="0078056B">
        <w:t xml:space="preserve">undertaking other postgraduate qualifications. At undergraduate level, there were </w:t>
      </w:r>
      <w:r w:rsidRPr="0078056B">
        <w:rPr>
          <w:rFonts w:eastAsia="Times New Roman" w:cs="Microsoft Sans Serif"/>
          <w:b/>
          <w:color w:val="06357A"/>
        </w:rPr>
        <w:t>1,435</w:t>
      </w:r>
      <w:r w:rsidRPr="0078056B">
        <w:t xml:space="preserve"> (</w:t>
      </w:r>
      <w:r w:rsidRPr="0078056B">
        <w:rPr>
          <w:rFonts w:eastAsia="Times New Roman" w:cs="Microsoft Sans Serif"/>
          <w:b/>
          <w:color w:val="06357A"/>
        </w:rPr>
        <w:t>28%</w:t>
      </w:r>
      <w:r w:rsidRPr="0078056B">
        <w:t>)</w:t>
      </w:r>
      <w:r w:rsidRPr="0078056B">
        <w:rPr>
          <w:rFonts w:eastAsia="Times New Roman" w:cs="Microsoft Sans Serif"/>
          <w:b/>
          <w:color w:val="06357A"/>
        </w:rPr>
        <w:t xml:space="preserve"> </w:t>
      </w:r>
      <w:r w:rsidRPr="0078056B">
        <w:t>students undertaking first degrees,</w:t>
      </w:r>
      <w:r w:rsidRPr="0078056B">
        <w:rPr>
          <w:rFonts w:eastAsia="Times New Roman" w:cs="Microsoft Sans Serif"/>
          <w:bCs/>
        </w:rPr>
        <w:t xml:space="preserve"> while the remaining</w:t>
      </w:r>
      <w:r w:rsidRPr="0078056B">
        <w:rPr>
          <w:rFonts w:eastAsia="Times New Roman" w:cs="Microsoft Sans Serif"/>
          <w:b/>
        </w:rPr>
        <w:t xml:space="preserve"> </w:t>
      </w:r>
      <w:r w:rsidRPr="0078056B">
        <w:rPr>
          <w:rFonts w:eastAsia="Times New Roman" w:cs="Microsoft Sans Serif"/>
          <w:b/>
          <w:color w:val="06357A"/>
        </w:rPr>
        <w:t>150</w:t>
      </w:r>
      <w:r w:rsidRPr="0078056B">
        <w:t xml:space="preserve"> (</w:t>
      </w:r>
      <w:r w:rsidRPr="0078056B">
        <w:rPr>
          <w:rFonts w:eastAsia="Times New Roman" w:cs="Microsoft Sans Serif"/>
          <w:b/>
          <w:color w:val="06357A"/>
        </w:rPr>
        <w:t>3%</w:t>
      </w:r>
      <w:r w:rsidRPr="0078056B">
        <w:t>)</w:t>
      </w:r>
      <w:r w:rsidRPr="0078056B">
        <w:rPr>
          <w:rFonts w:eastAsia="Times New Roman" w:cs="Microsoft Sans Serif"/>
          <w:b/>
          <w:color w:val="06357A"/>
        </w:rPr>
        <w:t xml:space="preserve"> </w:t>
      </w:r>
      <w:r w:rsidRPr="0078056B">
        <w:rPr>
          <w:rFonts w:eastAsia="Times New Roman" w:cs="Microsoft Sans Serif"/>
          <w:bCs/>
        </w:rPr>
        <w:t>students were enrolled in other undergraduate learning</w:t>
      </w:r>
      <w:r w:rsidRPr="0078056B">
        <w:rPr>
          <w:rStyle w:val="FootnoteReference"/>
          <w:rFonts w:eastAsia="Times New Roman" w:cs="Microsoft Sans Serif"/>
          <w:bCs/>
        </w:rPr>
        <w:footnoteReference w:id="57"/>
      </w:r>
      <w:r w:rsidRPr="0078056B">
        <w:rPr>
          <w:rFonts w:eastAsia="Times New Roman" w:cs="Microsoft Sans Serif"/>
          <w:bCs/>
        </w:rPr>
        <w:t>.</w:t>
      </w:r>
    </w:p>
    <w:p w14:paraId="05EDAB03" w14:textId="42256DDF" w:rsidR="00B91716" w:rsidRPr="0078056B" w:rsidRDefault="00B91716" w:rsidP="00B91716">
      <w:pPr>
        <w:rPr>
          <w:rFonts w:eastAsia="Times New Roman" w:cs="Microsoft Sans Serif"/>
          <w:bCs/>
        </w:rPr>
      </w:pPr>
      <w:r w:rsidRPr="0078056B">
        <w:rPr>
          <w:rFonts w:eastAsia="Times New Roman" w:cs="Microsoft Sans Serif"/>
          <w:bCs/>
        </w:rPr>
        <w:fldChar w:fldCharType="begin"/>
      </w:r>
      <w:r w:rsidRPr="0078056B">
        <w:rPr>
          <w:rFonts w:eastAsia="Times New Roman" w:cs="Microsoft Sans Serif"/>
          <w:bCs/>
        </w:rPr>
        <w:instrText xml:space="preserve"> REF _Ref142312848 \r \h </w:instrText>
      </w:r>
      <w:r w:rsidR="0078056B">
        <w:rPr>
          <w:rFonts w:eastAsia="Times New Roman" w:cs="Microsoft Sans Serif"/>
          <w:bCs/>
        </w:rPr>
        <w:instrText xml:space="preserve"> \* MERGEFORMAT </w:instrText>
      </w:r>
      <w:r w:rsidRPr="0078056B">
        <w:rPr>
          <w:rFonts w:eastAsia="Times New Roman" w:cs="Microsoft Sans Serif"/>
          <w:bCs/>
        </w:rPr>
      </w:r>
      <w:r w:rsidRPr="0078056B">
        <w:rPr>
          <w:rFonts w:eastAsia="Times New Roman" w:cs="Microsoft Sans Serif"/>
          <w:bCs/>
        </w:rPr>
        <w:fldChar w:fldCharType="separate"/>
      </w:r>
      <w:r w:rsidR="00E33157">
        <w:rPr>
          <w:rFonts w:eastAsia="Times New Roman" w:cs="Microsoft Sans Serif"/>
          <w:bCs/>
        </w:rPr>
        <w:t>Figure 23</w:t>
      </w:r>
      <w:r w:rsidRPr="0078056B">
        <w:rPr>
          <w:rFonts w:eastAsia="Times New Roman" w:cs="Microsoft Sans Serif"/>
          <w:bCs/>
        </w:rPr>
        <w:fldChar w:fldCharType="end"/>
      </w:r>
      <w:r w:rsidRPr="0078056B">
        <w:rPr>
          <w:rFonts w:eastAsia="Times New Roman" w:cs="Microsoft Sans Serif"/>
          <w:bCs/>
        </w:rPr>
        <w:t xml:space="preserve"> presents more detailed information on the country of domicile of international students in the 2021-22 cohort. </w:t>
      </w:r>
    </w:p>
    <w:tbl>
      <w:tblPr>
        <w:tblStyle w:val="TableGrid"/>
        <w:tblW w:w="50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40"/>
        <w:gridCol w:w="568"/>
        <w:gridCol w:w="4137"/>
        <w:gridCol w:w="149"/>
      </w:tblGrid>
      <w:tr w:rsidR="00B91716" w:rsidRPr="0078056B" w14:paraId="6050D41D" w14:textId="77777777" w:rsidTr="000A186C">
        <w:trPr>
          <w:gridAfter w:val="1"/>
          <w:wAfter w:w="83" w:type="pct"/>
          <w:cantSplit/>
        </w:trPr>
        <w:tc>
          <w:tcPr>
            <w:tcW w:w="2301" w:type="pct"/>
          </w:tcPr>
          <w:p w14:paraId="09C64D36" w14:textId="77777777" w:rsidR="00B91716" w:rsidRPr="0078056B" w:rsidRDefault="00B91716" w:rsidP="000A186C">
            <w:pPr>
              <w:pStyle w:val="FigureTitle"/>
            </w:pPr>
            <w:bookmarkStart w:id="242" w:name="_Ref142312717"/>
            <w:bookmarkStart w:id="243" w:name="_Toc148543139"/>
            <w:bookmarkStart w:id="244" w:name="_Toc160209975"/>
            <w:bookmarkStart w:id="245" w:name="_Toc168652201"/>
            <w:r w:rsidRPr="0078056B">
              <w:t>Non-UK domiciled students in the 2021-22 cohort of University of Birmingham students, by domicile</w:t>
            </w:r>
            <w:bookmarkEnd w:id="242"/>
            <w:bookmarkEnd w:id="243"/>
            <w:bookmarkEnd w:id="244"/>
            <w:bookmarkEnd w:id="245"/>
          </w:p>
        </w:tc>
        <w:tc>
          <w:tcPr>
            <w:tcW w:w="316" w:type="pct"/>
          </w:tcPr>
          <w:p w14:paraId="178CD029" w14:textId="77777777" w:rsidR="00B91716" w:rsidRPr="0078056B" w:rsidRDefault="00B91716" w:rsidP="000A186C">
            <w:pPr>
              <w:pStyle w:val="PlaceholderText"/>
            </w:pPr>
          </w:p>
        </w:tc>
        <w:tc>
          <w:tcPr>
            <w:tcW w:w="2300" w:type="pct"/>
          </w:tcPr>
          <w:p w14:paraId="101A6993" w14:textId="77777777" w:rsidR="00B91716" w:rsidRPr="0078056B" w:rsidRDefault="00B91716" w:rsidP="000A186C">
            <w:pPr>
              <w:pStyle w:val="FigureTitle"/>
            </w:pPr>
            <w:bookmarkStart w:id="246" w:name="_Ref142312769"/>
            <w:bookmarkStart w:id="247" w:name="_Toc148543140"/>
            <w:bookmarkStart w:id="248" w:name="_Toc160209976"/>
            <w:bookmarkStart w:id="249" w:name="_Toc168652202"/>
            <w:r w:rsidRPr="0078056B">
              <w:t>Non-UK domiciled students in the 2021-22 cohort of University of Birmingham students, by study mode</w:t>
            </w:r>
            <w:bookmarkEnd w:id="246"/>
            <w:bookmarkEnd w:id="247"/>
            <w:bookmarkEnd w:id="248"/>
            <w:bookmarkEnd w:id="249"/>
          </w:p>
        </w:tc>
      </w:tr>
      <w:tr w:rsidR="00B91716" w:rsidRPr="0078056B" w14:paraId="406A8788" w14:textId="77777777" w:rsidTr="000A186C">
        <w:trPr>
          <w:gridAfter w:val="1"/>
          <w:wAfter w:w="83" w:type="pct"/>
          <w:cantSplit/>
        </w:trPr>
        <w:tc>
          <w:tcPr>
            <w:tcW w:w="2301" w:type="pct"/>
          </w:tcPr>
          <w:p w14:paraId="17E640B8" w14:textId="77777777" w:rsidR="00B91716" w:rsidRPr="0078056B" w:rsidRDefault="00B91716" w:rsidP="000A186C">
            <w:pPr>
              <w:pStyle w:val="PlaceholderText"/>
            </w:pPr>
            <w:r w:rsidRPr="0078056B">
              <w:rPr>
                <w:noProof/>
              </w:rPr>
              <w:drawing>
                <wp:inline distT="0" distB="0" distL="0" distR="0" wp14:anchorId="07B7053C" wp14:editId="13507503">
                  <wp:extent cx="2825879" cy="2715904"/>
                  <wp:effectExtent l="0" t="0" r="0" b="8255"/>
                  <wp:docPr id="1282753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37213" cy="2726796"/>
                          </a:xfrm>
                          <a:prstGeom prst="rect">
                            <a:avLst/>
                          </a:prstGeom>
                          <a:noFill/>
                          <a:ln>
                            <a:noFill/>
                          </a:ln>
                        </pic:spPr>
                      </pic:pic>
                    </a:graphicData>
                  </a:graphic>
                </wp:inline>
              </w:drawing>
            </w:r>
          </w:p>
        </w:tc>
        <w:tc>
          <w:tcPr>
            <w:tcW w:w="316" w:type="pct"/>
          </w:tcPr>
          <w:p w14:paraId="774D80B2" w14:textId="77777777" w:rsidR="00B91716" w:rsidRPr="0078056B" w:rsidRDefault="00B91716" w:rsidP="000A186C">
            <w:pPr>
              <w:pStyle w:val="PlaceholderText"/>
            </w:pPr>
          </w:p>
        </w:tc>
        <w:tc>
          <w:tcPr>
            <w:tcW w:w="2300" w:type="pct"/>
          </w:tcPr>
          <w:p w14:paraId="734F3328" w14:textId="77777777" w:rsidR="00B91716" w:rsidRPr="0078056B" w:rsidRDefault="00B91716" w:rsidP="000A186C">
            <w:pPr>
              <w:pStyle w:val="PlaceholderText"/>
            </w:pPr>
            <w:r w:rsidRPr="0078056B">
              <w:rPr>
                <w:noProof/>
              </w:rPr>
              <w:drawing>
                <wp:inline distT="0" distB="0" distL="0" distR="0" wp14:anchorId="10A5BFFF" wp14:editId="41C34D30">
                  <wp:extent cx="2808773" cy="2714400"/>
                  <wp:effectExtent l="0" t="0" r="0" b="0"/>
                  <wp:docPr id="1385344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08773" cy="2714400"/>
                          </a:xfrm>
                          <a:prstGeom prst="rect">
                            <a:avLst/>
                          </a:prstGeom>
                          <a:noFill/>
                          <a:ln>
                            <a:noFill/>
                          </a:ln>
                        </pic:spPr>
                      </pic:pic>
                    </a:graphicData>
                  </a:graphic>
                </wp:inline>
              </w:drawing>
            </w:r>
          </w:p>
        </w:tc>
      </w:tr>
      <w:tr w:rsidR="00B91716" w:rsidRPr="0078056B" w14:paraId="1FE71E4C" w14:textId="77777777" w:rsidTr="000A186C">
        <w:trPr>
          <w:gridAfter w:val="1"/>
          <w:wAfter w:w="83" w:type="pct"/>
          <w:cantSplit/>
        </w:trPr>
        <w:tc>
          <w:tcPr>
            <w:tcW w:w="2301" w:type="pct"/>
          </w:tcPr>
          <w:p w14:paraId="51DE4BF0" w14:textId="77777777" w:rsidR="00B91716" w:rsidRPr="0078056B" w:rsidRDefault="00B91716" w:rsidP="00257F75">
            <w:pPr>
              <w:pStyle w:val="TableNote"/>
            </w:pPr>
            <w:r w:rsidRPr="0078056B">
              <w:t>Note: All numbers are rounded to the nearest 5, and the total values may not add up precisely due to this rounding.</w:t>
            </w:r>
          </w:p>
          <w:p w14:paraId="581426BB" w14:textId="77777777" w:rsidR="00B91716" w:rsidRPr="0078056B" w:rsidRDefault="00B91716" w:rsidP="00257F75">
            <w:pPr>
              <w:pStyle w:val="TableSource"/>
            </w:pPr>
            <w:r w:rsidRPr="0078056B">
              <w:t>Source: London Economics’ analysis based on University of Birmingham HESA data.</w:t>
            </w:r>
          </w:p>
        </w:tc>
        <w:tc>
          <w:tcPr>
            <w:tcW w:w="316" w:type="pct"/>
          </w:tcPr>
          <w:p w14:paraId="181EA708" w14:textId="77777777" w:rsidR="00B91716" w:rsidRPr="0078056B" w:rsidRDefault="00B91716" w:rsidP="00257F75">
            <w:pPr>
              <w:pStyle w:val="TableNote"/>
            </w:pPr>
          </w:p>
        </w:tc>
        <w:tc>
          <w:tcPr>
            <w:tcW w:w="2300" w:type="pct"/>
          </w:tcPr>
          <w:p w14:paraId="6AFAA23D" w14:textId="77777777" w:rsidR="00B91716" w:rsidRPr="0078056B" w:rsidRDefault="00B91716" w:rsidP="00257F75">
            <w:pPr>
              <w:pStyle w:val="TableNote"/>
            </w:pPr>
            <w:r w:rsidRPr="0078056B">
              <w:t>Note: All numbers are rounded to the nearest 5, and the total values may not add up precisely due to this rounding.</w:t>
            </w:r>
          </w:p>
          <w:p w14:paraId="2C2EF12D" w14:textId="77777777" w:rsidR="00B91716" w:rsidRPr="0078056B" w:rsidRDefault="00B91716" w:rsidP="00257F75">
            <w:pPr>
              <w:pStyle w:val="TableSource"/>
            </w:pPr>
            <w:r w:rsidRPr="0078056B">
              <w:t>Source: London Economics’ analysis based on University of Birmingham HESA data.</w:t>
            </w:r>
          </w:p>
        </w:tc>
      </w:tr>
      <w:tr w:rsidR="00B91716" w:rsidRPr="0078056B" w14:paraId="164721A0" w14:textId="77777777" w:rsidTr="000A186C">
        <w:trPr>
          <w:cantSplit/>
          <w:trHeight w:val="665"/>
        </w:trPr>
        <w:tc>
          <w:tcPr>
            <w:tcW w:w="8994" w:type="dxa"/>
            <w:gridSpan w:val="4"/>
          </w:tcPr>
          <w:p w14:paraId="00820003" w14:textId="77777777" w:rsidR="00B91716" w:rsidRPr="0078056B" w:rsidRDefault="00B91716" w:rsidP="000A186C">
            <w:pPr>
              <w:pStyle w:val="FigureTitle"/>
            </w:pPr>
            <w:bookmarkStart w:id="250" w:name="_Ref142312777"/>
            <w:bookmarkStart w:id="251" w:name="_Toc148543141"/>
            <w:bookmarkStart w:id="252" w:name="_Toc160209977"/>
            <w:bookmarkStart w:id="253" w:name="_Toc168652203"/>
            <w:r w:rsidRPr="0078056B">
              <w:lastRenderedPageBreak/>
              <w:t>Non-UK domiciled students in the 2021-22 cohort of University of Birmingham students, by level of study</w:t>
            </w:r>
            <w:bookmarkEnd w:id="250"/>
            <w:bookmarkEnd w:id="251"/>
            <w:bookmarkEnd w:id="252"/>
            <w:bookmarkEnd w:id="253"/>
          </w:p>
        </w:tc>
      </w:tr>
      <w:tr w:rsidR="00B91716" w:rsidRPr="0078056B" w14:paraId="0832A071" w14:textId="77777777" w:rsidTr="000A186C">
        <w:trPr>
          <w:cantSplit/>
          <w:trHeight w:val="3822"/>
        </w:trPr>
        <w:tc>
          <w:tcPr>
            <w:tcW w:w="8994" w:type="dxa"/>
            <w:gridSpan w:val="4"/>
          </w:tcPr>
          <w:p w14:paraId="41E1A2E2" w14:textId="77777777" w:rsidR="00B91716" w:rsidRPr="0078056B" w:rsidRDefault="00B91716" w:rsidP="000A186C">
            <w:pPr>
              <w:pStyle w:val="PlaceholderText"/>
              <w:jc w:val="center"/>
            </w:pPr>
            <w:r w:rsidRPr="0078056B">
              <w:rPr>
                <w:noProof/>
              </w:rPr>
              <w:drawing>
                <wp:inline distT="0" distB="0" distL="0" distR="0" wp14:anchorId="7C750313" wp14:editId="3003EB89">
                  <wp:extent cx="3797845" cy="2831597"/>
                  <wp:effectExtent l="0" t="0" r="0" b="0"/>
                  <wp:docPr id="11304999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806959" cy="2838392"/>
                          </a:xfrm>
                          <a:prstGeom prst="rect">
                            <a:avLst/>
                          </a:prstGeom>
                          <a:noFill/>
                          <a:ln>
                            <a:noFill/>
                          </a:ln>
                        </pic:spPr>
                      </pic:pic>
                    </a:graphicData>
                  </a:graphic>
                </wp:inline>
              </w:drawing>
            </w:r>
          </w:p>
        </w:tc>
      </w:tr>
      <w:tr w:rsidR="00B91716" w:rsidRPr="0078056B" w14:paraId="3D2E5D74" w14:textId="77777777" w:rsidTr="000A186C">
        <w:trPr>
          <w:cantSplit/>
          <w:trHeight w:val="1119"/>
        </w:trPr>
        <w:tc>
          <w:tcPr>
            <w:tcW w:w="8994" w:type="dxa"/>
            <w:gridSpan w:val="4"/>
          </w:tcPr>
          <w:p w14:paraId="1941D33D" w14:textId="77777777" w:rsidR="00B91716" w:rsidRPr="0078056B" w:rsidRDefault="00B91716" w:rsidP="00257F75">
            <w:pPr>
              <w:pStyle w:val="TableNote"/>
            </w:pPr>
            <w:r w:rsidRPr="0078056B">
              <w:t xml:space="preserve">Note: All numbers are rounded to the nearest 5, and the total values may not add up precisely due to this rounding. </w:t>
            </w:r>
          </w:p>
          <w:p w14:paraId="0D5189E1" w14:textId="77777777" w:rsidR="00B91716" w:rsidRPr="0078056B" w:rsidRDefault="00B91716" w:rsidP="00257F75">
            <w:pPr>
              <w:pStyle w:val="TableNote"/>
            </w:pPr>
            <w:r w:rsidRPr="0078056B">
              <w:t>‘Other undergraduate’ learning relates to undergraduate-level diplomas and certificates. ‘</w:t>
            </w:r>
            <w:r w:rsidRPr="0078056B">
              <w:rPr>
                <w:rFonts w:asciiTheme="minorHAnsi" w:hAnsiTheme="minorHAnsi" w:cstheme="minorHAnsi"/>
                <w:szCs w:val="16"/>
              </w:rPr>
              <w:t>Other postgraduate’ learning includes postgraduate-level diplomas and other qualifications, as well as taught work for credit at postgraduate level.</w:t>
            </w:r>
          </w:p>
          <w:p w14:paraId="0C23317E" w14:textId="77777777" w:rsidR="00B91716" w:rsidRPr="0078056B" w:rsidRDefault="00B91716" w:rsidP="00257F75">
            <w:pPr>
              <w:pStyle w:val="TableSource"/>
            </w:pPr>
            <w:r w:rsidRPr="0078056B">
              <w:t>Source: London Economics’ analysis based on University of Birmingham HESA data.</w:t>
            </w:r>
          </w:p>
        </w:tc>
      </w:tr>
    </w:tbl>
    <w:p w14:paraId="36C40B33" w14:textId="77777777" w:rsidR="00B91716" w:rsidRPr="0078056B" w:rsidRDefault="00B91716" w:rsidP="00B91716">
      <w:pPr>
        <w:spacing w:before="0" w:after="200" w:line="276" w:lineRule="auto"/>
        <w:jc w:val="left"/>
      </w:pPr>
    </w:p>
    <w:p w14:paraId="19EE7820" w14:textId="77777777" w:rsidR="00B91716" w:rsidRPr="0078056B" w:rsidRDefault="00B91716" w:rsidP="00B91716">
      <w:pPr>
        <w:spacing w:before="0" w:after="200" w:line="276" w:lineRule="auto"/>
        <w:jc w:val="left"/>
        <w:sectPr w:rsidR="00B91716" w:rsidRPr="0078056B" w:rsidSect="00B91716">
          <w:headerReference w:type="even" r:id="rId90"/>
          <w:headerReference w:type="default" r:id="rId91"/>
          <w:footerReference w:type="even" r:id="rId92"/>
          <w:footerReference w:type="default" r:id="rId93"/>
          <w:headerReference w:type="first" r:id="rId94"/>
          <w:footerReference w:type="first" r:id="rId95"/>
          <w:pgSz w:w="11906" w:h="16838"/>
          <w:pgMar w:top="1418" w:right="1531" w:bottom="1418" w:left="1531" w:header="709" w:footer="850" w:gutter="0"/>
          <w:pgNumType w:start="1"/>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004"/>
      </w:tblGrid>
      <w:tr w:rsidR="00B91716" w:rsidRPr="0078056B" w14:paraId="7C846D54" w14:textId="77777777" w:rsidTr="000A186C">
        <w:trPr>
          <w:cantSplit/>
        </w:trPr>
        <w:tc>
          <w:tcPr>
            <w:tcW w:w="0" w:type="auto"/>
          </w:tcPr>
          <w:p w14:paraId="6C8319DF" w14:textId="77777777" w:rsidR="00B91716" w:rsidRPr="0078056B" w:rsidRDefault="00B91716" w:rsidP="000A186C">
            <w:pPr>
              <w:pStyle w:val="FigureTitle"/>
            </w:pPr>
            <w:bookmarkStart w:id="254" w:name="_Ref142312848"/>
            <w:bookmarkStart w:id="255" w:name="_Toc148543142"/>
            <w:bookmarkStart w:id="256" w:name="_Toc160209978"/>
            <w:bookmarkStart w:id="257" w:name="_Toc168652204"/>
            <w:r w:rsidRPr="0078056B">
              <w:lastRenderedPageBreak/>
              <w:t>Non-UK domiciled students in the 2021-22 cohort of University of Birmingham students, by country of domicile</w:t>
            </w:r>
            <w:bookmarkEnd w:id="254"/>
            <w:bookmarkEnd w:id="255"/>
            <w:bookmarkEnd w:id="256"/>
            <w:bookmarkEnd w:id="257"/>
          </w:p>
        </w:tc>
      </w:tr>
      <w:tr w:rsidR="00B91716" w:rsidRPr="0078056B" w14:paraId="1B41768F" w14:textId="77777777" w:rsidTr="000A186C">
        <w:trPr>
          <w:cantSplit/>
        </w:trPr>
        <w:tc>
          <w:tcPr>
            <w:tcW w:w="0" w:type="auto"/>
          </w:tcPr>
          <w:p w14:paraId="7F633050" w14:textId="77777777" w:rsidR="00B91716" w:rsidRPr="0078056B" w:rsidRDefault="00B91716" w:rsidP="000A186C">
            <w:pPr>
              <w:pStyle w:val="PlaceholderText"/>
              <w:jc w:val="center"/>
            </w:pPr>
            <w:r w:rsidRPr="0078056B">
              <w:rPr>
                <w:noProof/>
              </w:rPr>
              <w:drawing>
                <wp:inline distT="0" distB="0" distL="0" distR="0" wp14:anchorId="216FB585" wp14:editId="5593857C">
                  <wp:extent cx="7759608" cy="5040000"/>
                  <wp:effectExtent l="0" t="0" r="0" b="8255"/>
                  <wp:docPr id="1482993558"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993558" name="Picture 1" descr="A map of the world&#10;&#10;Description automatically generated"/>
                          <pic:cNvPicPr/>
                        </pic:nvPicPr>
                        <pic:blipFill rotWithShape="1">
                          <a:blip r:embed="rId96" cstate="print">
                            <a:extLst>
                              <a:ext uri="{28A0092B-C50C-407E-A947-70E740481C1C}">
                                <a14:useLocalDpi xmlns:a14="http://schemas.microsoft.com/office/drawing/2010/main" val="0"/>
                              </a:ext>
                            </a:extLst>
                          </a:blip>
                          <a:srcRect l="19494" t="3454" r="19189" b="30166"/>
                          <a:stretch/>
                        </pic:blipFill>
                        <pic:spPr bwMode="auto">
                          <a:xfrm>
                            <a:off x="0" y="0"/>
                            <a:ext cx="7759608" cy="5040000"/>
                          </a:xfrm>
                          <a:prstGeom prst="rect">
                            <a:avLst/>
                          </a:prstGeom>
                          <a:ln>
                            <a:noFill/>
                          </a:ln>
                          <a:extLst>
                            <a:ext uri="{53640926-AAD7-44D8-BBD7-CCE9431645EC}">
                              <a14:shadowObscured xmlns:a14="http://schemas.microsoft.com/office/drawing/2010/main"/>
                            </a:ext>
                          </a:extLst>
                        </pic:spPr>
                      </pic:pic>
                    </a:graphicData>
                  </a:graphic>
                </wp:inline>
              </w:drawing>
            </w:r>
          </w:p>
        </w:tc>
      </w:tr>
      <w:tr w:rsidR="00B91716" w:rsidRPr="0078056B" w14:paraId="421AC0F6" w14:textId="77777777" w:rsidTr="000A186C">
        <w:trPr>
          <w:cantSplit/>
        </w:trPr>
        <w:tc>
          <w:tcPr>
            <w:tcW w:w="0" w:type="auto"/>
          </w:tcPr>
          <w:p w14:paraId="396E0B6A" w14:textId="77777777" w:rsidR="00B91716" w:rsidRPr="0078056B" w:rsidRDefault="00B91716" w:rsidP="00257F75">
            <w:pPr>
              <w:pStyle w:val="TableNote"/>
            </w:pPr>
            <w:r w:rsidRPr="0078056B">
              <w:t xml:space="preserve">Note: Based on data provided by the University of Birmingham on </w:t>
            </w:r>
            <w:r w:rsidRPr="0078056B">
              <w:rPr>
                <w:rFonts w:eastAsia="Times New Roman" w:cs="Microsoft Sans Serif"/>
                <w:b/>
                <w:color w:val="06357A"/>
                <w:szCs w:val="16"/>
              </w:rPr>
              <w:t>5,060</w:t>
            </w:r>
            <w:r w:rsidRPr="0078056B">
              <w:rPr>
                <w:rFonts w:eastAsia="Times New Roman" w:cs="Microsoft Sans Serif"/>
                <w:b/>
                <w:color w:val="06357A"/>
                <w:sz w:val="18"/>
                <w:szCs w:val="18"/>
              </w:rPr>
              <w:t xml:space="preserve"> </w:t>
            </w:r>
            <w:r w:rsidRPr="0078056B">
              <w:t xml:space="preserve">first year overseas domiciled students from the University of Birmingham in 2021-22. Of these students, </w:t>
            </w:r>
            <w:r w:rsidRPr="0078056B">
              <w:rPr>
                <w:b/>
                <w:bCs/>
                <w:color w:val="06357A" w:themeColor="text2"/>
              </w:rPr>
              <w:t>50</w:t>
            </w:r>
            <w:r w:rsidRPr="0078056B">
              <w:rPr>
                <w:b/>
                <w:bCs/>
              </w:rPr>
              <w:t xml:space="preserve"> </w:t>
            </w:r>
            <w:r w:rsidRPr="0078056B">
              <w:t>were excluded as they could not be matched to a country within the World Bank data.</w:t>
            </w:r>
          </w:p>
          <w:p w14:paraId="4DB8B594" w14:textId="77777777" w:rsidR="00B91716" w:rsidRPr="0078056B" w:rsidRDefault="00B91716" w:rsidP="00257F75">
            <w:pPr>
              <w:pStyle w:val="TableSource"/>
            </w:pPr>
            <w:r w:rsidRPr="0078056B">
              <w:t>Source: London Economics’ analysis based on University of Birmingham and World Bank data.</w:t>
            </w:r>
          </w:p>
        </w:tc>
      </w:tr>
    </w:tbl>
    <w:p w14:paraId="1769812D" w14:textId="77777777" w:rsidR="00B91716" w:rsidRPr="0078056B" w:rsidRDefault="00B91716" w:rsidP="00B91716">
      <w:pPr>
        <w:sectPr w:rsidR="00B91716" w:rsidRPr="0078056B" w:rsidSect="00B91716">
          <w:headerReference w:type="even" r:id="rId97"/>
          <w:headerReference w:type="default" r:id="rId98"/>
          <w:footerReference w:type="even" r:id="rId99"/>
          <w:footerReference w:type="default" r:id="rId100"/>
          <w:headerReference w:type="first" r:id="rId101"/>
          <w:footerReference w:type="first" r:id="rId102"/>
          <w:pgSz w:w="16838" w:h="11906" w:orient="landscape"/>
          <w:pgMar w:top="964" w:right="1417" w:bottom="1417" w:left="1417" w:header="567" w:footer="340" w:gutter="0"/>
          <w:cols w:space="708"/>
          <w:docGrid w:linePitch="360"/>
        </w:sectPr>
      </w:pPr>
    </w:p>
    <w:p w14:paraId="458D4CBA" w14:textId="12D60385" w:rsidR="00B91716" w:rsidRPr="0078056B" w:rsidRDefault="00B91716" w:rsidP="00383BF9">
      <w:pPr>
        <w:pStyle w:val="Heading2"/>
        <w:numPr>
          <w:ilvl w:val="1"/>
          <w:numId w:val="31"/>
        </w:numPr>
      </w:pPr>
      <w:bookmarkStart w:id="258" w:name="_Ref144367001"/>
      <w:bookmarkStart w:id="259" w:name="_Toc160209963"/>
      <w:bookmarkStart w:id="260" w:name="_Toc168652129"/>
      <w:r w:rsidRPr="0078056B">
        <w:lastRenderedPageBreak/>
        <w:t xml:space="preserve">Changes in the number of international students at </w:t>
      </w:r>
      <w:bookmarkEnd w:id="258"/>
      <w:r w:rsidRPr="0078056B">
        <w:t>the University of Birmingham</w:t>
      </w:r>
      <w:bookmarkEnd w:id="259"/>
      <w:bookmarkEnd w:id="260"/>
    </w:p>
    <w:p w14:paraId="58C549F2" w14:textId="77777777" w:rsidR="00B91716" w:rsidRPr="0078056B" w:rsidRDefault="00B91716" w:rsidP="00B91716">
      <w:r w:rsidRPr="0078056B">
        <w:t xml:space="preserve">Alongside the analysis of the 2021-22 cohort of non-UK domiciled </w:t>
      </w:r>
      <w:r w:rsidRPr="0078056B">
        <w:rPr>
          <w:i/>
          <w:iCs/>
        </w:rPr>
        <w:t>first-year</w:t>
      </w:r>
      <w:r w:rsidRPr="0078056B">
        <w:t xml:space="preserve"> students, we have also examined the trends in the University of Birmingham’s </w:t>
      </w:r>
      <w:r w:rsidRPr="0078056B">
        <w:rPr>
          <w:i/>
          <w:iCs/>
        </w:rPr>
        <w:t>entire</w:t>
      </w:r>
      <w:r w:rsidRPr="0078056B">
        <w:t xml:space="preserve"> non-UK student body over the past twelve years (i.e. academic years 2010-11 to 2021-22).</w:t>
      </w:r>
    </w:p>
    <w:p w14:paraId="23B2A29B" w14:textId="3EB31190" w:rsidR="00B91716" w:rsidRPr="0078056B" w:rsidRDefault="00B91716" w:rsidP="00B91716">
      <w:r w:rsidRPr="0078056B">
        <w:t xml:space="preserve">With the University of Birmingham being an increasingly popular destination for international students, there has been a significant increase in the number of non-UK domiciled students enrolled at the University of Birmingham over the last decade, increasing from </w:t>
      </w:r>
      <w:r w:rsidRPr="0078056B">
        <w:rPr>
          <w:rFonts w:eastAsia="Times New Roman" w:cs="Microsoft Sans Serif"/>
          <w:b/>
          <w:color w:val="06357A"/>
        </w:rPr>
        <w:t>6,390</w:t>
      </w:r>
      <w:r w:rsidRPr="0078056B">
        <w:rPr>
          <w:sz w:val="20"/>
          <w:szCs w:val="20"/>
        </w:rPr>
        <w:t xml:space="preserve"> </w:t>
      </w:r>
      <w:r w:rsidRPr="0078056B">
        <w:t xml:space="preserve">students in 2010-11 to </w:t>
      </w:r>
      <w:r w:rsidRPr="0078056B">
        <w:rPr>
          <w:rFonts w:eastAsia="Times New Roman" w:cs="Microsoft Sans Serif"/>
          <w:b/>
          <w:color w:val="06357A"/>
        </w:rPr>
        <w:t>9,555</w:t>
      </w:r>
      <w:r w:rsidRPr="0078056B">
        <w:rPr>
          <w:sz w:val="20"/>
          <w:szCs w:val="20"/>
        </w:rPr>
        <w:t xml:space="preserve"> </w:t>
      </w:r>
      <w:r w:rsidRPr="0078056B">
        <w:t xml:space="preserve">students in the 2021-22 academic year (a </w:t>
      </w:r>
      <w:r w:rsidRPr="0078056B">
        <w:rPr>
          <w:rFonts w:eastAsia="Times New Roman" w:cs="Microsoft Sans Serif"/>
          <w:b/>
          <w:color w:val="06357A"/>
        </w:rPr>
        <w:t>50%</w:t>
      </w:r>
      <w:r w:rsidRPr="0078056B">
        <w:rPr>
          <w:sz w:val="20"/>
          <w:szCs w:val="20"/>
        </w:rPr>
        <w:t xml:space="preserve"> </w:t>
      </w:r>
      <w:r w:rsidRPr="0078056B">
        <w:t>increase).</w:t>
      </w:r>
      <w:r w:rsidR="004653C8" w:rsidRPr="0078056B">
        <w:t xml:space="preserve"> </w:t>
      </w:r>
      <w:r w:rsidRPr="0078056B">
        <w:t xml:space="preserve"> With the number of UK domiciled students having increased at a slower rate across the period (by </w:t>
      </w:r>
      <w:r w:rsidRPr="0078056B">
        <w:rPr>
          <w:rFonts w:eastAsia="Times New Roman" w:cs="Microsoft Sans Serif"/>
          <w:b/>
          <w:color w:val="06357A"/>
        </w:rPr>
        <w:t>17%</w:t>
      </w:r>
      <w:r w:rsidRPr="0078056B">
        <w:t xml:space="preserve">), the proportion of the University’s students that are from non-UK domiciles has increased from </w:t>
      </w:r>
      <w:r w:rsidRPr="0078056B">
        <w:rPr>
          <w:rFonts w:eastAsia="Times New Roman" w:cs="Microsoft Sans Serif"/>
          <w:b/>
          <w:color w:val="06357A"/>
        </w:rPr>
        <w:t>21%</w:t>
      </w:r>
      <w:r w:rsidRPr="0078056B">
        <w:t xml:space="preserve"> in 2010-11 to </w:t>
      </w:r>
      <w:r w:rsidRPr="0078056B">
        <w:rPr>
          <w:rFonts w:eastAsia="Times New Roman" w:cs="Microsoft Sans Serif"/>
          <w:b/>
          <w:color w:val="06357A"/>
        </w:rPr>
        <w:t>25%</w:t>
      </w:r>
      <w:r w:rsidRPr="0078056B">
        <w:t xml:space="preserve"> in the 2021-22 academic year (see </w:t>
      </w:r>
      <w:r w:rsidRPr="0078056B">
        <w:fldChar w:fldCharType="begin"/>
      </w:r>
      <w:r w:rsidRPr="0078056B">
        <w:instrText xml:space="preserve"> REF _Ref141111811 \r \h  \* MERGEFORMAT </w:instrText>
      </w:r>
      <w:r w:rsidRPr="0078056B">
        <w:fldChar w:fldCharType="separate"/>
      </w:r>
      <w:r w:rsidR="00E33157">
        <w:t>Figure 24</w:t>
      </w:r>
      <w:r w:rsidRPr="0078056B">
        <w:fldChar w:fldCharType="end"/>
      </w:r>
      <w:r w:rsidRPr="0078056B">
        <w:t>).</w:t>
      </w:r>
      <w:r w:rsidR="004653C8" w:rsidRPr="0078056B">
        <w:t xml:space="preserve"> In 2021-22, the University of Birmingham accounted for nearly </w:t>
      </w:r>
      <w:r w:rsidR="004653C8" w:rsidRPr="0078056B">
        <w:rPr>
          <w:b/>
          <w:bCs/>
          <w:color w:val="06357A" w:themeColor="text2"/>
        </w:rPr>
        <w:t>1 in 5</w:t>
      </w:r>
      <w:r w:rsidR="004653C8" w:rsidRPr="0078056B">
        <w:t xml:space="preserve"> (</w:t>
      </w:r>
      <w:r w:rsidR="004653C8" w:rsidRPr="0078056B">
        <w:rPr>
          <w:b/>
          <w:bCs/>
          <w:color w:val="06357A" w:themeColor="text2"/>
        </w:rPr>
        <w:t>19%</w:t>
      </w:r>
      <w:r w:rsidR="004653C8" w:rsidRPr="0078056B">
        <w:t>)</w:t>
      </w:r>
      <w:r w:rsidR="004653C8" w:rsidRPr="0078056B">
        <w:rPr>
          <w:b/>
          <w:bCs/>
        </w:rPr>
        <w:t xml:space="preserve"> </w:t>
      </w:r>
      <w:r w:rsidR="004653C8" w:rsidRPr="0078056B">
        <w:t xml:space="preserve">of all international students at higher education providers (HEPs) in the West Midlands and </w:t>
      </w:r>
      <w:r w:rsidR="004653C8" w:rsidRPr="0078056B">
        <w:rPr>
          <w:b/>
          <w:bCs/>
          <w:color w:val="06357A" w:themeColor="text2"/>
        </w:rPr>
        <w:t>over half</w:t>
      </w:r>
      <w:r w:rsidR="004653C8" w:rsidRPr="0078056B">
        <w:rPr>
          <w:color w:val="06357A" w:themeColor="text2"/>
        </w:rPr>
        <w:t xml:space="preserve"> </w:t>
      </w:r>
      <w:r w:rsidR="004653C8" w:rsidRPr="0078056B">
        <w:t>(</w:t>
      </w:r>
      <w:r w:rsidR="004653C8" w:rsidRPr="0078056B">
        <w:rPr>
          <w:b/>
          <w:bCs/>
          <w:color w:val="06357A" w:themeColor="text2"/>
        </w:rPr>
        <w:t>51%</w:t>
      </w:r>
      <w:r w:rsidR="004653C8" w:rsidRPr="0078056B">
        <w:t>) of those studying at HEPs in Birmingham.</w:t>
      </w:r>
      <w:r w:rsidR="004653C8" w:rsidRPr="0078056B">
        <w:rPr>
          <w:rStyle w:val="FootnoteReference"/>
        </w:rPr>
        <w:footnoteReference w:id="58"/>
      </w:r>
    </w:p>
    <w:p w14:paraId="55FE4229" w14:textId="37F1F424" w:rsidR="003635BB" w:rsidRPr="0078056B" w:rsidRDefault="002321DB" w:rsidP="00B91716">
      <w:r w:rsidRPr="0078056B">
        <w:t>The overall increase in international students was predominantly driven by an increase in students from non-EU domiciles</w:t>
      </w:r>
      <w:r w:rsidR="003635BB" w:rsidRPr="0078056B">
        <w:t>, with</w:t>
      </w:r>
      <w:r w:rsidRPr="0078056B">
        <w:t xml:space="preserve"> an increase in the number of non-EU domiciled students as a proportion of the total non-UK domiciled student population, from </w:t>
      </w:r>
      <w:r w:rsidRPr="0078056B">
        <w:rPr>
          <w:rFonts w:eastAsia="Times New Roman" w:cs="Microsoft Sans Serif"/>
          <w:b/>
          <w:color w:val="06357A"/>
        </w:rPr>
        <w:t>79%</w:t>
      </w:r>
      <w:r w:rsidRPr="0078056B">
        <w:rPr>
          <w:sz w:val="20"/>
          <w:szCs w:val="20"/>
        </w:rPr>
        <w:t xml:space="preserve"> </w:t>
      </w:r>
      <w:r w:rsidRPr="0078056B">
        <w:t xml:space="preserve">in 2010-11 to </w:t>
      </w:r>
      <w:r w:rsidRPr="0078056B">
        <w:rPr>
          <w:rFonts w:eastAsia="Times New Roman" w:cs="Microsoft Sans Serif"/>
          <w:b/>
          <w:color w:val="06357A"/>
        </w:rPr>
        <w:t>89%</w:t>
      </w:r>
      <w:r w:rsidRPr="0078056B">
        <w:t xml:space="preserve"> in the 2021-22 academic year.</w:t>
      </w:r>
      <w:r w:rsidR="005C4C32" w:rsidRPr="0078056B">
        <w:t xml:space="preserve"> </w:t>
      </w:r>
      <w:r w:rsidR="003635BB" w:rsidRPr="0078056B">
        <w:t xml:space="preserve">The increase in the number of international students studying at the University of Birmingham occurred across both undergraduate and postgraduate students, with the number of non-UK undergraduate students more than doubling, increasing from </w:t>
      </w:r>
      <w:r w:rsidR="003635BB" w:rsidRPr="0078056B">
        <w:rPr>
          <w:rFonts w:eastAsia="Times New Roman" w:cs="Microsoft Sans Serif"/>
          <w:b/>
          <w:color w:val="06357A"/>
        </w:rPr>
        <w:t>2,005</w:t>
      </w:r>
      <w:r w:rsidR="003635BB" w:rsidRPr="0078056B">
        <w:rPr>
          <w:sz w:val="20"/>
          <w:szCs w:val="20"/>
        </w:rPr>
        <w:t xml:space="preserve"> </w:t>
      </w:r>
      <w:r w:rsidR="003635BB" w:rsidRPr="0078056B">
        <w:t xml:space="preserve">in 2010-11 to </w:t>
      </w:r>
      <w:r w:rsidR="003635BB" w:rsidRPr="0078056B">
        <w:rPr>
          <w:rFonts w:eastAsia="Times New Roman" w:cs="Microsoft Sans Serif"/>
          <w:b/>
          <w:color w:val="06357A"/>
        </w:rPr>
        <w:t>4,710</w:t>
      </w:r>
      <w:r w:rsidR="003635BB" w:rsidRPr="0078056B">
        <w:rPr>
          <w:sz w:val="20"/>
          <w:szCs w:val="20"/>
        </w:rPr>
        <w:t xml:space="preserve"> </w:t>
      </w:r>
      <w:r w:rsidR="003635BB" w:rsidRPr="0078056B">
        <w:t xml:space="preserve">in the 2021-22 academic year, and the number of non-UK postgraduate students rising from </w:t>
      </w:r>
      <w:r w:rsidR="003635BB" w:rsidRPr="0078056B">
        <w:rPr>
          <w:rFonts w:eastAsia="Times New Roman" w:cs="Microsoft Sans Serif"/>
          <w:b/>
          <w:color w:val="06357A"/>
        </w:rPr>
        <w:t>4,385</w:t>
      </w:r>
      <w:r w:rsidR="003635BB" w:rsidRPr="0078056B">
        <w:rPr>
          <w:sz w:val="20"/>
          <w:szCs w:val="20"/>
        </w:rPr>
        <w:t xml:space="preserve"> </w:t>
      </w:r>
      <w:r w:rsidR="003635BB" w:rsidRPr="0078056B">
        <w:t xml:space="preserve">in 2010-11 to </w:t>
      </w:r>
      <w:r w:rsidR="003635BB" w:rsidRPr="0078056B">
        <w:rPr>
          <w:rFonts w:eastAsia="Times New Roman" w:cs="Microsoft Sans Serif"/>
          <w:b/>
          <w:color w:val="06357A"/>
        </w:rPr>
        <w:t>4,845</w:t>
      </w:r>
      <w:r w:rsidR="003635BB" w:rsidRPr="0078056B">
        <w:t xml:space="preserve"> in the 2021-22 academic year.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B91716" w:rsidRPr="0078056B" w14:paraId="15B0FFA1" w14:textId="77777777" w:rsidTr="000A186C">
        <w:trPr>
          <w:cantSplit/>
        </w:trPr>
        <w:tc>
          <w:tcPr>
            <w:tcW w:w="0" w:type="auto"/>
          </w:tcPr>
          <w:p w14:paraId="1714D80C" w14:textId="77777777" w:rsidR="00B91716" w:rsidRPr="0078056B" w:rsidRDefault="00B91716" w:rsidP="000A186C">
            <w:pPr>
              <w:pStyle w:val="FigureTitle"/>
            </w:pPr>
            <w:bookmarkStart w:id="261" w:name="_Ref141111811"/>
            <w:bookmarkStart w:id="262" w:name="_Toc148543143"/>
            <w:bookmarkStart w:id="263" w:name="_Toc160209979"/>
            <w:bookmarkStart w:id="264" w:name="_Toc168652205"/>
            <w:r w:rsidRPr="0078056B">
              <w:t>Total number of students at the University of Birmingham, 2010-11 to 2021-22, by domicile</w:t>
            </w:r>
            <w:bookmarkEnd w:id="261"/>
            <w:bookmarkEnd w:id="262"/>
            <w:bookmarkEnd w:id="263"/>
            <w:bookmarkEnd w:id="264"/>
            <w:r w:rsidRPr="0078056B">
              <w:t xml:space="preserve"> </w:t>
            </w:r>
          </w:p>
        </w:tc>
      </w:tr>
      <w:tr w:rsidR="00B91716" w:rsidRPr="0078056B" w14:paraId="68052686" w14:textId="77777777" w:rsidTr="000A186C">
        <w:trPr>
          <w:cantSplit/>
        </w:trPr>
        <w:tc>
          <w:tcPr>
            <w:tcW w:w="0" w:type="auto"/>
          </w:tcPr>
          <w:p w14:paraId="424B90F7" w14:textId="77777777" w:rsidR="00B91716" w:rsidRPr="0078056B" w:rsidRDefault="00B91716" w:rsidP="000A186C">
            <w:pPr>
              <w:pStyle w:val="PlaceholderText"/>
            </w:pPr>
            <w:r w:rsidRPr="0078056B">
              <w:rPr>
                <w:noProof/>
              </w:rPr>
              <w:drawing>
                <wp:inline distT="0" distB="0" distL="0" distR="0" wp14:anchorId="1774BB8B" wp14:editId="744B80A2">
                  <wp:extent cx="5613400" cy="2830830"/>
                  <wp:effectExtent l="0" t="0" r="6350" b="7620"/>
                  <wp:docPr id="4966519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613400" cy="2830830"/>
                          </a:xfrm>
                          <a:prstGeom prst="rect">
                            <a:avLst/>
                          </a:prstGeom>
                          <a:noFill/>
                          <a:ln>
                            <a:noFill/>
                          </a:ln>
                        </pic:spPr>
                      </pic:pic>
                    </a:graphicData>
                  </a:graphic>
                </wp:inline>
              </w:drawing>
            </w:r>
          </w:p>
        </w:tc>
      </w:tr>
      <w:tr w:rsidR="00B91716" w:rsidRPr="0078056B" w14:paraId="1B31BC65" w14:textId="77777777" w:rsidTr="000A186C">
        <w:trPr>
          <w:cantSplit/>
        </w:trPr>
        <w:tc>
          <w:tcPr>
            <w:tcW w:w="0" w:type="auto"/>
          </w:tcPr>
          <w:p w14:paraId="28A3D7DF" w14:textId="77777777" w:rsidR="00B91716" w:rsidRPr="0078056B" w:rsidRDefault="00B91716" w:rsidP="00257F75">
            <w:pPr>
              <w:pStyle w:val="TableNote"/>
            </w:pPr>
            <w:r w:rsidRPr="0078056B">
              <w:t xml:space="preserve">Note: All numbers are rounded to the nearest 5, and the total values may not add up precisely due to this rounding. </w:t>
            </w:r>
          </w:p>
          <w:p w14:paraId="309D3CC9" w14:textId="3F9ECB20" w:rsidR="00B91716" w:rsidRPr="0078056B" w:rsidRDefault="00B91716" w:rsidP="00257F75">
            <w:pPr>
              <w:pStyle w:val="TableSource"/>
            </w:pPr>
            <w:r w:rsidRPr="0078056B">
              <w:t xml:space="preserve">Source: London Economics’ analysis based on HESA (2011, 2012, 2013, 2014, 2015, and </w:t>
            </w:r>
            <w:r w:rsidR="00E87F38" w:rsidRPr="0078056B">
              <w:t>2023f</w:t>
            </w:r>
            <w:r w:rsidRPr="0078056B">
              <w:t>)</w:t>
            </w:r>
          </w:p>
        </w:tc>
      </w:tr>
    </w:tbl>
    <w:p w14:paraId="2A2CB473" w14:textId="77777777" w:rsidR="00B91716" w:rsidRPr="0078056B" w:rsidRDefault="00B91716" w:rsidP="00383BF9">
      <w:pPr>
        <w:pStyle w:val="Heading2"/>
        <w:numPr>
          <w:ilvl w:val="1"/>
          <w:numId w:val="31"/>
        </w:numPr>
      </w:pPr>
      <w:bookmarkStart w:id="265" w:name="_Toc160209965"/>
      <w:bookmarkStart w:id="266" w:name="_Ref162270067"/>
      <w:bookmarkStart w:id="267" w:name="_Toc168652130"/>
      <w:r w:rsidRPr="0078056B">
        <w:lastRenderedPageBreak/>
        <w:t>Direct impact</w:t>
      </w:r>
      <w:bookmarkEnd w:id="265"/>
      <w:bookmarkEnd w:id="266"/>
      <w:bookmarkEnd w:id="267"/>
    </w:p>
    <w:p w14:paraId="10136D08" w14:textId="2CFC08AC" w:rsidR="00B91716" w:rsidRPr="0078056B" w:rsidRDefault="00030324" w:rsidP="00B91716">
      <w:pPr>
        <w:pStyle w:val="Heading3"/>
      </w:pPr>
      <w:r w:rsidRPr="0078056B">
        <w:t>Methodology</w:t>
      </w:r>
    </w:p>
    <w:p w14:paraId="15CD2FA6" w14:textId="7E4B0356" w:rsidR="00030324" w:rsidRPr="0078056B" w:rsidRDefault="00030324" w:rsidP="00030324">
      <w:pPr>
        <w:pStyle w:val="Heading4"/>
      </w:pPr>
      <w:r w:rsidRPr="0078056B">
        <w:t>Net tuition fee income</w:t>
      </w:r>
    </w:p>
    <w:p w14:paraId="544A89CC" w14:textId="30C310B2" w:rsidR="00B91716" w:rsidRPr="0078056B" w:rsidRDefault="00B91716" w:rsidP="00B91716">
      <w:r w:rsidRPr="0078056B">
        <w:t xml:space="preserve">To assess the level of </w:t>
      </w:r>
      <w:r w:rsidRPr="0078056B">
        <w:rPr>
          <w:rFonts w:eastAsia="Times New Roman" w:cs="Microsoft Sans Serif"/>
          <w:b/>
          <w:i/>
          <w:iCs/>
          <w:color w:val="06357A"/>
        </w:rPr>
        <w:t>gross</w:t>
      </w:r>
      <w:r w:rsidRPr="0078056B">
        <w:rPr>
          <w:rFonts w:eastAsia="Times New Roman" w:cs="Microsoft Sans Serif"/>
          <w:b/>
          <w:color w:val="06357A"/>
        </w:rPr>
        <w:t xml:space="preserve"> tuition fee income</w:t>
      </w:r>
      <w:r w:rsidRPr="0078056B">
        <w:rPr>
          <w:sz w:val="20"/>
          <w:szCs w:val="20"/>
        </w:rPr>
        <w:t xml:space="preserve"> </w:t>
      </w:r>
      <w:r w:rsidRPr="0078056B">
        <w:t>associated with international students in the 2021-22 cohort, we made use of data on the average tuition fees per student charged by the University of Birmingham in the 2021-22 academic year (by study level, mode, and domicile</w:t>
      </w:r>
      <w:r w:rsidRPr="0078056B">
        <w:rPr>
          <w:vertAlign w:val="superscript"/>
        </w:rPr>
        <w:footnoteReference w:id="59"/>
      </w:r>
      <w:r w:rsidRPr="0078056B">
        <w:t xml:space="preserve">). Assuming the same average study durations as in the analysis of the impact of the University of Birmingham’s teaching and learning activities provided to UK-domiciled students (see </w:t>
      </w:r>
      <w:r w:rsidR="005252F7" w:rsidRPr="0078056B">
        <w:t xml:space="preserve">Annex </w:t>
      </w:r>
      <w:r w:rsidR="005252F7" w:rsidRPr="0078056B">
        <w:fldChar w:fldCharType="begin"/>
      </w:r>
      <w:r w:rsidR="005252F7" w:rsidRPr="0078056B">
        <w:instrText xml:space="preserve"> REF _Ref162254768 \r \h  \* MERGEFORMAT </w:instrText>
      </w:r>
      <w:r w:rsidR="005252F7" w:rsidRPr="0078056B">
        <w:fldChar w:fldCharType="separate"/>
      </w:r>
      <w:r w:rsidR="00E33157">
        <w:t>A2.3</w:t>
      </w:r>
      <w:r w:rsidR="005252F7" w:rsidRPr="0078056B">
        <w:fldChar w:fldCharType="end"/>
      </w:r>
      <w:r w:rsidRPr="0078056B">
        <w:t>), we calculated the resulting tuition fee income per international student in the cohort from the start of a student’s learning aim until completion. Expressing the total fee income until completion in 2021-22 prices and using the HM Treasury Green Book real discount rate of 3.5% (see HM Treasury, 2022), we arrived at an estimate of the gross tuition fee income per student (in present value terms over the total study duration).</w:t>
      </w:r>
    </w:p>
    <w:p w14:paraId="58B7699F" w14:textId="0DDF5803" w:rsidR="00B91716" w:rsidRPr="0078056B" w:rsidRDefault="00B91716" w:rsidP="00B91716">
      <w:r w:rsidRPr="0078056B">
        <w:t xml:space="preserve">To calculate the </w:t>
      </w:r>
      <w:r w:rsidRPr="0078056B">
        <w:rPr>
          <w:rFonts w:eastAsia="Times New Roman" w:cs="Microsoft Sans Serif"/>
          <w:b/>
          <w:i/>
          <w:iCs/>
          <w:color w:val="06357A"/>
        </w:rPr>
        <w:t xml:space="preserve">net tuition </w:t>
      </w:r>
      <w:r w:rsidRPr="0078056B">
        <w:rPr>
          <w:rFonts w:eastAsia="Times New Roman" w:cs="Microsoft Sans Serif"/>
          <w:b/>
          <w:color w:val="06357A"/>
        </w:rPr>
        <w:t>fee income</w:t>
      </w:r>
      <w:r w:rsidRPr="0078056B">
        <w:t xml:space="preserve"> per student, we then deducted any </w:t>
      </w:r>
      <w:r w:rsidRPr="0078056B">
        <w:rPr>
          <w:rFonts w:eastAsia="Times New Roman" w:cs="Microsoft Sans Serif"/>
          <w:b/>
          <w:color w:val="06357A"/>
        </w:rPr>
        <w:t xml:space="preserve">fee waivers and bursaries </w:t>
      </w:r>
      <w:r w:rsidRPr="0078056B">
        <w:t>paid to international students by the University of Birmingham</w:t>
      </w:r>
      <w:r w:rsidRPr="0078056B">
        <w:rPr>
          <w:rStyle w:val="FootnoteReference"/>
        </w:rPr>
        <w:footnoteReference w:id="60"/>
      </w:r>
      <w:r w:rsidRPr="0078056B">
        <w:t>. These costs were again calculated over students’ total study duration and estimated in present value terms</w:t>
      </w:r>
      <w:r w:rsidRPr="0078056B">
        <w:rPr>
          <w:rStyle w:val="FootnoteReference"/>
        </w:rPr>
        <w:footnoteReference w:id="61"/>
      </w:r>
      <w:r w:rsidRPr="0078056B">
        <w:t>.</w:t>
      </w:r>
      <w:r w:rsidR="00030324" w:rsidRPr="0078056B">
        <w:t xml:space="preserve"> These</w:t>
      </w:r>
      <w:r w:rsidR="000E29D6" w:rsidRPr="0078056B">
        <w:t xml:space="preserve"> </w:t>
      </w:r>
      <w:r w:rsidRPr="0078056B">
        <w:t xml:space="preserve">estimates per student </w:t>
      </w:r>
      <w:r w:rsidR="000E29D6" w:rsidRPr="0078056B">
        <w:t xml:space="preserve">were combined </w:t>
      </w:r>
      <w:r w:rsidRPr="0078056B">
        <w:t>with information on the number of non-UK students in the 2021-22 cohort</w:t>
      </w:r>
      <w:r w:rsidR="000E29D6" w:rsidRPr="0078056B">
        <w:t xml:space="preserve"> and used </w:t>
      </w:r>
      <w:r w:rsidRPr="0078056B">
        <w:t>the same assumptions on completion rates as for UK domiciled students (as part of the analysis of the impact of teaching and learning (</w:t>
      </w:r>
      <w:r w:rsidR="00160B9E" w:rsidRPr="0078056B">
        <w:t xml:space="preserve">see Annex </w:t>
      </w:r>
      <w:r w:rsidR="00160B9E" w:rsidRPr="0078056B">
        <w:fldChar w:fldCharType="begin"/>
      </w:r>
      <w:r w:rsidR="00160B9E" w:rsidRPr="0078056B">
        <w:instrText xml:space="preserve"> REF _Ref162254768 \r \h  \* MERGEFORMAT </w:instrText>
      </w:r>
      <w:r w:rsidR="00160B9E" w:rsidRPr="0078056B">
        <w:fldChar w:fldCharType="separate"/>
      </w:r>
      <w:r w:rsidR="00E33157">
        <w:t>A2.3</w:t>
      </w:r>
      <w:r w:rsidR="00160B9E" w:rsidRPr="0078056B">
        <w:fldChar w:fldCharType="end"/>
      </w:r>
      <w:r w:rsidRPr="0078056B">
        <w:t>)</w:t>
      </w:r>
      <w:r w:rsidR="006A7CF8" w:rsidRPr="0078056B">
        <w:rPr>
          <w:rStyle w:val="FootnoteReference"/>
        </w:rPr>
        <w:footnoteReference w:id="62"/>
      </w:r>
      <w:r w:rsidR="000E29D6" w:rsidRPr="0078056B">
        <w:t>.</w:t>
      </w:r>
    </w:p>
    <w:p w14:paraId="1F2CE3E3" w14:textId="77777777" w:rsidR="00B91716" w:rsidRPr="0078056B" w:rsidRDefault="00B91716" w:rsidP="00030324">
      <w:pPr>
        <w:pStyle w:val="Heading4"/>
      </w:pPr>
      <w:bookmarkStart w:id="268" w:name="_Ref144479918"/>
      <w:r w:rsidRPr="0078056B">
        <w:t>Non-fee income</w:t>
      </w:r>
      <w:bookmarkEnd w:id="268"/>
      <w:r w:rsidRPr="0078056B">
        <w:t xml:space="preserve"> </w:t>
      </w:r>
    </w:p>
    <w:p w14:paraId="182F499E" w14:textId="77777777" w:rsidR="00B91716" w:rsidRPr="0078056B" w:rsidRDefault="00B91716" w:rsidP="00B91716">
      <w:r w:rsidRPr="0078056B">
        <w:t xml:space="preserve">In addition to tuition fees, the UK economy benefits from export income from overseas students’ </w:t>
      </w:r>
      <w:r w:rsidRPr="0078056B">
        <w:rPr>
          <w:rFonts w:eastAsia="Times New Roman" w:cs="Microsoft Sans Serif"/>
          <w:b/>
          <w:color w:val="06357A"/>
        </w:rPr>
        <w:t>non-tuition fee (i.e. living cost) expenditures</w:t>
      </w:r>
      <w:r w:rsidRPr="0078056B">
        <w:t xml:space="preserve"> incurred during their studies at the University of Birmingham. These costs include:</w:t>
      </w:r>
    </w:p>
    <w:p w14:paraId="6927F72E" w14:textId="77777777" w:rsidR="00B91716" w:rsidRPr="0078056B" w:rsidRDefault="00B91716" w:rsidP="00B91716">
      <w:pPr>
        <w:pStyle w:val="MinorBullet1"/>
        <w:numPr>
          <w:ilvl w:val="0"/>
          <w:numId w:val="21"/>
        </w:numPr>
      </w:pPr>
      <w:r w:rsidRPr="0078056B">
        <w:rPr>
          <w:rFonts w:eastAsia="Times New Roman" w:cs="Microsoft Sans Serif"/>
          <w:b/>
          <w:color w:val="06357A"/>
        </w:rPr>
        <w:t>Accommodation costs</w:t>
      </w:r>
      <w:r w:rsidRPr="0078056B">
        <w:rPr>
          <w:sz w:val="20"/>
          <w:szCs w:val="20"/>
        </w:rPr>
        <w:t xml:space="preserve"> </w:t>
      </w:r>
      <w:r w:rsidRPr="0078056B">
        <w:t>(e.g. rent costs, council tax, household bills etc.);</w:t>
      </w:r>
    </w:p>
    <w:p w14:paraId="3D42962C" w14:textId="77777777" w:rsidR="00B91716" w:rsidRPr="0078056B" w:rsidRDefault="00B91716" w:rsidP="00B91716">
      <w:pPr>
        <w:pStyle w:val="MinorBullet1"/>
        <w:numPr>
          <w:ilvl w:val="0"/>
          <w:numId w:val="21"/>
        </w:numPr>
      </w:pPr>
      <w:r w:rsidRPr="0078056B">
        <w:rPr>
          <w:rFonts w:eastAsia="Times New Roman" w:cs="Microsoft Sans Serif"/>
          <w:b/>
          <w:color w:val="06357A"/>
        </w:rPr>
        <w:t>Subsistence costs</w:t>
      </w:r>
      <w:r w:rsidRPr="0078056B">
        <w:rPr>
          <w:sz w:val="20"/>
          <w:szCs w:val="20"/>
        </w:rPr>
        <w:t xml:space="preserve"> </w:t>
      </w:r>
      <w:r w:rsidRPr="0078056B">
        <w:t>(e.g. food, entertainment, personal items, non-course travel etc.);</w:t>
      </w:r>
    </w:p>
    <w:p w14:paraId="3E87F67E" w14:textId="77777777" w:rsidR="00B91716" w:rsidRPr="0078056B" w:rsidRDefault="00B91716" w:rsidP="00B91716">
      <w:pPr>
        <w:pStyle w:val="MinorBullet1"/>
        <w:numPr>
          <w:ilvl w:val="0"/>
          <w:numId w:val="21"/>
        </w:numPr>
      </w:pPr>
      <w:r w:rsidRPr="0078056B">
        <w:rPr>
          <w:rFonts w:eastAsia="Times New Roman" w:cs="Microsoft Sans Serif"/>
          <w:b/>
          <w:color w:val="06357A"/>
        </w:rPr>
        <w:t>Direct course costs</w:t>
      </w:r>
      <w:r w:rsidRPr="0078056B">
        <w:t xml:space="preserve"> (e.g. course-related books, subscriptions, computers etc.);</w:t>
      </w:r>
    </w:p>
    <w:p w14:paraId="010817D1" w14:textId="77777777" w:rsidR="00B91716" w:rsidRPr="0078056B" w:rsidRDefault="00B91716" w:rsidP="00B91716">
      <w:pPr>
        <w:pStyle w:val="MinorBullet1"/>
        <w:numPr>
          <w:ilvl w:val="0"/>
          <w:numId w:val="21"/>
        </w:numPr>
      </w:pPr>
      <w:r w:rsidRPr="0078056B">
        <w:rPr>
          <w:rFonts w:eastAsia="Times New Roman" w:cs="Microsoft Sans Serif"/>
          <w:b/>
          <w:color w:val="06357A"/>
        </w:rPr>
        <w:t>Facilitation costs</w:t>
      </w:r>
      <w:r w:rsidRPr="0078056B">
        <w:rPr>
          <w:sz w:val="20"/>
          <w:szCs w:val="20"/>
        </w:rPr>
        <w:t xml:space="preserve"> </w:t>
      </w:r>
      <w:r w:rsidRPr="0078056B">
        <w:t>(e.g. course-related travel costs); and</w:t>
      </w:r>
    </w:p>
    <w:p w14:paraId="2E8670D0" w14:textId="77777777" w:rsidR="00B91716" w:rsidRPr="0078056B" w:rsidRDefault="00B91716" w:rsidP="00B91716">
      <w:pPr>
        <w:pStyle w:val="MinorBullet1"/>
        <w:numPr>
          <w:ilvl w:val="0"/>
          <w:numId w:val="21"/>
        </w:numPr>
      </w:pPr>
      <w:r w:rsidRPr="0078056B">
        <w:rPr>
          <w:rFonts w:eastAsia="Times New Roman" w:cs="Microsoft Sans Serif"/>
          <w:b/>
          <w:color w:val="06357A"/>
        </w:rPr>
        <w:t>Spending on children</w:t>
      </w:r>
      <w:r w:rsidRPr="0078056B">
        <w:rPr>
          <w:sz w:val="20"/>
          <w:szCs w:val="20"/>
        </w:rPr>
        <w:t xml:space="preserve"> </w:t>
      </w:r>
      <w:r w:rsidRPr="0078056B">
        <w:t>(including childcare that is not related to students’ course participation).</w:t>
      </w:r>
    </w:p>
    <w:p w14:paraId="5897EA4D" w14:textId="77777777" w:rsidR="00B91716" w:rsidRPr="0078056B" w:rsidRDefault="00B91716" w:rsidP="00B91716">
      <w:r w:rsidRPr="0078056B">
        <w:lastRenderedPageBreak/>
        <w:t xml:space="preserve">To analyse the level of non-tuition fee expenditure associated with the 2021-22 cohort of international students studying at the University of Birmingham, we used estimates from the </w:t>
      </w:r>
      <w:r w:rsidRPr="0078056B">
        <w:rPr>
          <w:rFonts w:eastAsia="Times New Roman" w:cs="Microsoft Sans Serif"/>
          <w:b/>
          <w:color w:val="06357A"/>
        </w:rPr>
        <w:t>2021-22 Student Income and Expenditure Survey</w:t>
      </w:r>
      <w:r w:rsidRPr="0078056B">
        <w:rPr>
          <w:sz w:val="20"/>
          <w:szCs w:val="20"/>
        </w:rPr>
        <w:t xml:space="preserve"> </w:t>
      </w:r>
      <w:r w:rsidRPr="0078056B">
        <w:t>(SIES)</w:t>
      </w:r>
      <w:r w:rsidRPr="0078056B">
        <w:rPr>
          <w:vertAlign w:val="superscript"/>
        </w:rPr>
        <w:footnoteReference w:id="63"/>
      </w:r>
      <w:r w:rsidRPr="0078056B">
        <w:t>. The survey provides estimates of the average expenditures of English domiciled undergraduate students (studying in England or Wales) on living costs, housing costs, participation costs (including tuition fees) and spending on children, separately for full-time and part-time students. For the purpose of this analysis, we made the following adjustments to the SIES estimates:</w:t>
      </w:r>
    </w:p>
    <w:p w14:paraId="57046E34" w14:textId="5166036B" w:rsidR="00B91716" w:rsidRPr="0078056B" w:rsidRDefault="00B91716" w:rsidP="00B91716">
      <w:pPr>
        <w:pStyle w:val="MinorBullet1"/>
        <w:numPr>
          <w:ilvl w:val="0"/>
          <w:numId w:val="21"/>
        </w:numPr>
      </w:pPr>
      <w:r w:rsidRPr="0078056B">
        <w:t xml:space="preserve">We excluded estimates of </w:t>
      </w:r>
      <w:r w:rsidRPr="0078056B">
        <w:rPr>
          <w:rFonts w:eastAsia="Times New Roman" w:cs="Microsoft Sans Serif"/>
          <w:b/>
          <w:color w:val="06357A"/>
        </w:rPr>
        <w:t xml:space="preserve">tuition fee expenditure </w:t>
      </w:r>
      <w:r w:rsidRPr="0078056B">
        <w:t xml:space="preserve">(to avoid double-counting with the analysis presented in Section </w:t>
      </w:r>
      <w:r w:rsidR="00E35AF2" w:rsidRPr="0078056B">
        <w:fldChar w:fldCharType="begin"/>
      </w:r>
      <w:r w:rsidR="00E35AF2" w:rsidRPr="0078056B">
        <w:instrText xml:space="preserve"> REF _Ref162263211 \r \h  \* MERGEFORMAT </w:instrText>
      </w:r>
      <w:r w:rsidR="00E35AF2" w:rsidRPr="0078056B">
        <w:fldChar w:fldCharType="separate"/>
      </w:r>
      <w:r w:rsidR="00E33157">
        <w:t>4</w:t>
      </w:r>
      <w:r w:rsidR="00E35AF2" w:rsidRPr="0078056B">
        <w:fldChar w:fldCharType="end"/>
      </w:r>
      <w:r w:rsidRPr="0078056B">
        <w:t>).</w:t>
      </w:r>
    </w:p>
    <w:p w14:paraId="60049FC0" w14:textId="3578C1AB" w:rsidR="00B91716" w:rsidRPr="0078056B" w:rsidRDefault="00B91716" w:rsidP="00B91716">
      <w:pPr>
        <w:pStyle w:val="MinorBullet1"/>
        <w:numPr>
          <w:ilvl w:val="0"/>
          <w:numId w:val="21"/>
        </w:numPr>
      </w:pPr>
      <w:r w:rsidRPr="0078056B">
        <w:t xml:space="preserve">We deducted any </w:t>
      </w:r>
      <w:r w:rsidRPr="0078056B">
        <w:rPr>
          <w:rFonts w:eastAsia="Times New Roman" w:cs="Microsoft Sans Serif"/>
          <w:b/>
          <w:color w:val="06357A"/>
        </w:rPr>
        <w:t>on-campus expenditure</w:t>
      </w:r>
      <w:r w:rsidRPr="0078056B">
        <w:t xml:space="preserve"> that students might incur (to avoid double-counting with the analysis of the impacts of the expenditure of the University of Birmingham itself (see Section </w:t>
      </w:r>
      <w:r w:rsidR="0027423B" w:rsidRPr="0078056B">
        <w:fldChar w:fldCharType="begin"/>
      </w:r>
      <w:r w:rsidR="0027423B" w:rsidRPr="0078056B">
        <w:instrText xml:space="preserve"> REF _Ref162251984 \r \h  \* MERGEFORMAT </w:instrText>
      </w:r>
      <w:r w:rsidR="0027423B" w:rsidRPr="0078056B">
        <w:fldChar w:fldCharType="separate"/>
      </w:r>
      <w:r w:rsidR="00E33157">
        <w:t>5</w:t>
      </w:r>
      <w:r w:rsidR="0027423B" w:rsidRPr="0078056B">
        <w:fldChar w:fldCharType="end"/>
      </w:r>
      <w:r w:rsidRPr="0078056B">
        <w:t>))</w:t>
      </w:r>
      <w:r w:rsidRPr="0078056B">
        <w:rPr>
          <w:vertAlign w:val="superscript"/>
        </w:rPr>
        <w:footnoteReference w:id="64"/>
      </w:r>
      <w:r w:rsidRPr="0078056B">
        <w:t>.</w:t>
      </w:r>
    </w:p>
    <w:p w14:paraId="2C7160F1" w14:textId="77777777" w:rsidR="00B91716" w:rsidRPr="0078056B" w:rsidRDefault="00B91716" w:rsidP="00B91716">
      <w:pPr>
        <w:pStyle w:val="MinorBullet1"/>
        <w:numPr>
          <w:ilvl w:val="0"/>
          <w:numId w:val="21"/>
        </w:numPr>
      </w:pPr>
      <w:r w:rsidRPr="0078056B">
        <w:t xml:space="preserve">Since the SIES results do not provide expenditure estimates for non-UK domiciled students, our analysis implicitly assumes that non-tuition fee expenditure levels do not vary significantly between UK and international students. We do however adjust the SIES estimates for the longer </w:t>
      </w:r>
      <w:r w:rsidRPr="0078056B">
        <w:rPr>
          <w:rFonts w:eastAsia="Times New Roman" w:cs="Microsoft Sans Serif"/>
          <w:b/>
          <w:color w:val="06357A"/>
        </w:rPr>
        <w:t>average stay durations</w:t>
      </w:r>
      <w:r w:rsidRPr="0078056B">
        <w:t xml:space="preserve"> in the UK of non-EU students compared to EU students</w:t>
      </w:r>
      <w:r w:rsidRPr="0078056B">
        <w:rPr>
          <w:vertAlign w:val="superscript"/>
        </w:rPr>
        <w:footnoteReference w:id="65"/>
      </w:r>
      <w:r w:rsidRPr="0078056B">
        <w:t>.</w:t>
      </w:r>
    </w:p>
    <w:p w14:paraId="784056D6" w14:textId="0DD3B830" w:rsidR="00B91716" w:rsidRPr="0078056B" w:rsidRDefault="00B91716" w:rsidP="00B91716">
      <w:r w:rsidRPr="0078056B">
        <w:t>Similar to tuition fees, we then calculated the non-tuition fee expenditure over the entire duration of students’ higher education courses (and discounted to reflect present values). The resulting estimates provide the total average (off-campus) non-fee expenditure per student in 2021-22 prices, by level of study, mode, and domicile</w:t>
      </w:r>
      <w:r w:rsidRPr="0078056B">
        <w:rPr>
          <w:vertAlign w:val="superscript"/>
        </w:rPr>
        <w:footnoteReference w:id="66"/>
      </w:r>
      <w:r w:rsidRPr="0078056B">
        <w:t>.</w:t>
      </w:r>
      <w:r w:rsidR="009F1DA3" w:rsidRPr="0078056B">
        <w:t xml:space="preserve"> </w:t>
      </w:r>
      <w:r w:rsidRPr="0078056B">
        <w:t>Again</w:t>
      </w:r>
      <w:r w:rsidR="009F1DA3" w:rsidRPr="0078056B">
        <w:t xml:space="preserve">, </w:t>
      </w:r>
      <w:r w:rsidRPr="0078056B">
        <w:t>the estimated non-tuition fee income per student</w:t>
      </w:r>
      <w:r w:rsidR="009F1DA3" w:rsidRPr="0078056B">
        <w:t xml:space="preserve"> was combined</w:t>
      </w:r>
      <w:r w:rsidRPr="0078056B">
        <w:t xml:space="preserve"> with the number of international students in the 2021-22 cohort expected to complete qualifications (or credits/modules) at the University of Birmingham. </w:t>
      </w:r>
    </w:p>
    <w:p w14:paraId="4A21E9F2" w14:textId="77777777" w:rsidR="00B91716" w:rsidRPr="0078056B" w:rsidRDefault="00B91716" w:rsidP="00B91716">
      <w:pPr>
        <w:pStyle w:val="Heading3"/>
      </w:pPr>
      <w:r w:rsidRPr="0078056B">
        <w:t>Total direct impact</w:t>
      </w:r>
    </w:p>
    <w:p w14:paraId="1218B51F" w14:textId="4DFE3D98" w:rsidR="00B91716" w:rsidRPr="0078056B" w:rsidRDefault="009F1DA3" w:rsidP="00B91716">
      <w:r w:rsidRPr="0078056B">
        <w:t>T</w:t>
      </w:r>
      <w:r w:rsidR="00B91716" w:rsidRPr="0078056B">
        <w:t xml:space="preserve">he total direct economic impact of the expenditures of international students in the 2021-22 University of Birmingham cohort (in economic output terms) was estimated at </w:t>
      </w:r>
      <w:r w:rsidR="00B91716" w:rsidRPr="0078056B">
        <w:rPr>
          <w:rFonts w:eastAsia="Times New Roman" w:cs="Microsoft Sans Serif"/>
          <w:b/>
          <w:color w:val="06357A"/>
        </w:rPr>
        <w:t>£278 million</w:t>
      </w:r>
      <w:r w:rsidR="00B91716" w:rsidRPr="0078056B">
        <w:t xml:space="preserve"> (</w:t>
      </w:r>
      <w:r w:rsidR="00B91716" w:rsidRPr="0078056B">
        <w:fldChar w:fldCharType="begin"/>
      </w:r>
      <w:r w:rsidR="00B91716" w:rsidRPr="0078056B">
        <w:instrText xml:space="preserve"> REF _Ref144375207 \r \h  \* MERGEFORMAT </w:instrText>
      </w:r>
      <w:r w:rsidR="00B91716" w:rsidRPr="0078056B">
        <w:fldChar w:fldCharType="separate"/>
      </w:r>
      <w:r w:rsidR="00E33157">
        <w:t>Figure 25</w:t>
      </w:r>
      <w:r w:rsidR="00B91716" w:rsidRPr="0078056B">
        <w:fldChar w:fldCharType="end"/>
      </w:r>
      <w:r w:rsidR="00B91716" w:rsidRPr="0078056B">
        <w:t>). Over half of this total (</w:t>
      </w:r>
      <w:r w:rsidR="00B91716" w:rsidRPr="0078056B">
        <w:rPr>
          <w:rFonts w:eastAsia="Times New Roman" w:cs="Microsoft Sans Serif"/>
          <w:b/>
          <w:color w:val="06357A"/>
        </w:rPr>
        <w:t>£151 million, 54%</w:t>
      </w:r>
      <w:r w:rsidR="00B91716" w:rsidRPr="0078056B">
        <w:t xml:space="preserve">) was generated from international students’ tuition fees accrued by the University of Birmingham (net of any fee waivers or bursaries provided by the University), while the remaining </w:t>
      </w:r>
      <w:r w:rsidR="00B91716" w:rsidRPr="0078056B">
        <w:rPr>
          <w:rFonts w:eastAsia="Times New Roman" w:cs="Microsoft Sans Serif"/>
          <w:b/>
          <w:color w:val="06357A"/>
        </w:rPr>
        <w:t xml:space="preserve">£127 million </w:t>
      </w:r>
      <w:r w:rsidR="00B91716" w:rsidRPr="0078056B">
        <w:t>(</w:t>
      </w:r>
      <w:r w:rsidR="00B91716" w:rsidRPr="0078056B">
        <w:rPr>
          <w:rFonts w:eastAsia="Times New Roman" w:cs="Microsoft Sans Serif"/>
          <w:b/>
          <w:color w:val="06357A"/>
        </w:rPr>
        <w:t>46%</w:t>
      </w:r>
      <w:r w:rsidR="00B91716" w:rsidRPr="0078056B">
        <w:t>) was generated from international students’ non-tuition fee spending. In terms of student domicile, most of this impact (</w:t>
      </w:r>
      <w:r w:rsidR="00B91716" w:rsidRPr="0078056B">
        <w:rPr>
          <w:rFonts w:eastAsia="Times New Roman" w:cs="Microsoft Sans Serif"/>
          <w:b/>
          <w:color w:val="06357A"/>
        </w:rPr>
        <w:t>£267 million</w:t>
      </w:r>
      <w:r w:rsidR="00B91716" w:rsidRPr="0078056B">
        <w:t xml:space="preserve">, </w:t>
      </w:r>
      <w:r w:rsidR="00B91716" w:rsidRPr="0078056B">
        <w:rPr>
          <w:rFonts w:eastAsia="Times New Roman" w:cs="Microsoft Sans Serif"/>
          <w:b/>
          <w:color w:val="06357A"/>
        </w:rPr>
        <w:t>96%</w:t>
      </w:r>
      <w:r w:rsidR="00B91716" w:rsidRPr="0078056B">
        <w:t xml:space="preserve">) was generated by non-EU domiciled students, while </w:t>
      </w:r>
      <w:r w:rsidR="00B91716" w:rsidRPr="0078056B">
        <w:rPr>
          <w:rFonts w:eastAsia="Times New Roman" w:cs="Microsoft Sans Serif"/>
          <w:b/>
          <w:color w:val="06357A"/>
        </w:rPr>
        <w:t>£11 million</w:t>
      </w:r>
      <w:r w:rsidR="00B91716" w:rsidRPr="0078056B">
        <w:t xml:space="preserve"> (</w:t>
      </w:r>
      <w:r w:rsidR="00B91716" w:rsidRPr="0078056B">
        <w:rPr>
          <w:rFonts w:eastAsia="Times New Roman" w:cs="Microsoft Sans Serif"/>
          <w:b/>
          <w:color w:val="06357A"/>
        </w:rPr>
        <w:t>4%</w:t>
      </w:r>
      <w:r w:rsidR="00B91716" w:rsidRPr="0078056B">
        <w:t>) was associated with EU students (not presented graphically here).</w:t>
      </w:r>
    </w:p>
    <w:p w14:paraId="58E90F52" w14:textId="77777777" w:rsidR="00B91716" w:rsidRPr="0078056B" w:rsidRDefault="00B91716" w:rsidP="00B91716">
      <w:r w:rsidRPr="0078056B">
        <w:t>In addition to economic output (i.e. export income), it was possible to convert the above estimates into gross value added and the number of full-time equivalent jobs supported</w:t>
      </w:r>
      <w:r w:rsidRPr="0078056B">
        <w:rPr>
          <w:vertAlign w:val="superscript"/>
        </w:rPr>
        <w:footnoteReference w:id="67"/>
      </w:r>
      <w:r w:rsidRPr="0078056B">
        <w:t xml:space="preserve">. We thus estimate </w:t>
      </w:r>
      <w:r w:rsidRPr="0078056B">
        <w:lastRenderedPageBreak/>
        <w:t xml:space="preserve">that the export income generated by international students in the 2021-22 University of Birmingham cohort directly generates </w:t>
      </w:r>
      <w:r w:rsidRPr="0078056B">
        <w:rPr>
          <w:rFonts w:eastAsia="Times New Roman" w:cs="Microsoft Sans Serif"/>
          <w:b/>
          <w:color w:val="06357A"/>
        </w:rPr>
        <w:t>£183 million</w:t>
      </w:r>
      <w:r w:rsidRPr="0078056B">
        <w:rPr>
          <w:sz w:val="20"/>
          <w:szCs w:val="20"/>
        </w:rPr>
        <w:t xml:space="preserve"> </w:t>
      </w:r>
      <w:r w:rsidRPr="0078056B">
        <w:rPr>
          <w:rFonts w:eastAsia="Times New Roman" w:cs="Microsoft Sans Serif"/>
          <w:b/>
          <w:color w:val="06357A"/>
        </w:rPr>
        <w:t>in GVA</w:t>
      </w:r>
      <w:r w:rsidRPr="0078056B">
        <w:t xml:space="preserve"> (</w:t>
      </w:r>
      <w:r w:rsidRPr="0078056B">
        <w:rPr>
          <w:rFonts w:eastAsia="Times New Roman" w:cs="Microsoft Sans Serif"/>
          <w:b/>
          <w:color w:val="06357A"/>
        </w:rPr>
        <w:t xml:space="preserve">£102 million </w:t>
      </w:r>
      <w:r w:rsidRPr="0078056B">
        <w:t xml:space="preserve">from international (net) fee income and </w:t>
      </w:r>
      <w:r w:rsidRPr="0078056B">
        <w:rPr>
          <w:rFonts w:eastAsia="Times New Roman" w:cs="Microsoft Sans Serif"/>
          <w:b/>
          <w:color w:val="06357A"/>
        </w:rPr>
        <w:t>£81 million</w:t>
      </w:r>
      <w:r w:rsidRPr="0078056B">
        <w:rPr>
          <w:sz w:val="20"/>
          <w:szCs w:val="20"/>
        </w:rPr>
        <w:t xml:space="preserve"> </w:t>
      </w:r>
      <w:r w:rsidRPr="0078056B">
        <w:t>from non-fee income) and supports</w:t>
      </w:r>
      <w:r w:rsidRPr="0078056B">
        <w:rPr>
          <w:rFonts w:eastAsia="Times New Roman" w:cs="Microsoft Sans Serif"/>
          <w:b/>
          <w:color w:val="06357A"/>
        </w:rPr>
        <w:t xml:space="preserve"> 3,015 FTE jobs</w:t>
      </w:r>
      <w:r w:rsidRPr="0078056B">
        <w:rPr>
          <w:sz w:val="20"/>
          <w:szCs w:val="20"/>
        </w:rPr>
        <w:t xml:space="preserve"> </w:t>
      </w:r>
      <w:r w:rsidRPr="0078056B">
        <w:t>(</w:t>
      </w:r>
      <w:r w:rsidRPr="0078056B">
        <w:rPr>
          <w:rFonts w:eastAsia="Times New Roman" w:cs="Microsoft Sans Serif"/>
          <w:b/>
          <w:color w:val="06357A"/>
        </w:rPr>
        <w:t>1,975</w:t>
      </w:r>
      <w:r w:rsidRPr="0078056B">
        <w:rPr>
          <w:sz w:val="20"/>
          <w:szCs w:val="20"/>
        </w:rPr>
        <w:t xml:space="preserve"> </w:t>
      </w:r>
      <w:r w:rsidRPr="0078056B">
        <w:t xml:space="preserve">from (net) tuition fee income and </w:t>
      </w:r>
      <w:r w:rsidRPr="0078056B">
        <w:rPr>
          <w:rFonts w:eastAsia="Times New Roman" w:cs="Microsoft Sans Serif"/>
          <w:b/>
          <w:color w:val="06357A"/>
        </w:rPr>
        <w:t>1,040</w:t>
      </w:r>
      <w:r w:rsidRPr="0078056B">
        <w:t xml:space="preserve"> from non-tuition fee income).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B91716" w:rsidRPr="0078056B" w14:paraId="772DD841" w14:textId="77777777" w:rsidTr="000A186C">
        <w:trPr>
          <w:cantSplit/>
        </w:trPr>
        <w:tc>
          <w:tcPr>
            <w:tcW w:w="0" w:type="auto"/>
          </w:tcPr>
          <w:p w14:paraId="7FFDAB4E" w14:textId="77777777" w:rsidR="00B91716" w:rsidRPr="0078056B" w:rsidRDefault="00B91716" w:rsidP="000A186C">
            <w:pPr>
              <w:pStyle w:val="FigureTitle"/>
            </w:pPr>
            <w:bookmarkStart w:id="269" w:name="_Ref144375207"/>
            <w:bookmarkStart w:id="270" w:name="_Toc148543147"/>
            <w:bookmarkStart w:id="271" w:name="_Toc160209983"/>
            <w:bookmarkStart w:id="272" w:name="_Toc168652206"/>
            <w:r w:rsidRPr="0078056B">
              <w:t>Total direct impact associated with non-UK students in the 2021-22 University of Birmingham entrant cohort, by type of impact</w:t>
            </w:r>
            <w:bookmarkEnd w:id="269"/>
            <w:bookmarkEnd w:id="270"/>
            <w:bookmarkEnd w:id="271"/>
            <w:bookmarkEnd w:id="272"/>
          </w:p>
          <w:p w14:paraId="41A1CC77" w14:textId="77777777" w:rsidR="00B91716" w:rsidRPr="0078056B" w:rsidRDefault="00B91716" w:rsidP="000A186C">
            <w:pPr>
              <w:spacing w:after="0"/>
              <w:rPr>
                <w:b/>
                <w:bCs/>
                <w:color w:val="06357A"/>
              </w:rPr>
            </w:pPr>
            <w:r w:rsidRPr="0078056B">
              <w:rPr>
                <w:b/>
                <w:bCs/>
                <w:color w:val="06357A"/>
              </w:rPr>
              <w:t>Output, £m</w:t>
            </w:r>
          </w:p>
        </w:tc>
      </w:tr>
      <w:tr w:rsidR="00B91716" w:rsidRPr="0078056B" w14:paraId="648C14E9" w14:textId="77777777" w:rsidTr="000A186C">
        <w:trPr>
          <w:cantSplit/>
        </w:trPr>
        <w:tc>
          <w:tcPr>
            <w:tcW w:w="0" w:type="auto"/>
          </w:tcPr>
          <w:p w14:paraId="34CE2C73" w14:textId="77777777" w:rsidR="00B91716" w:rsidRPr="0078056B" w:rsidRDefault="00B91716" w:rsidP="000A186C">
            <w:pPr>
              <w:pStyle w:val="PlaceholderText"/>
            </w:pPr>
            <w:r w:rsidRPr="0078056B">
              <w:rPr>
                <w:noProof/>
              </w:rPr>
              <w:drawing>
                <wp:inline distT="0" distB="0" distL="0" distR="0" wp14:anchorId="14EA96B6" wp14:editId="06A48B4E">
                  <wp:extent cx="5613400" cy="1288415"/>
                  <wp:effectExtent l="0" t="0" r="6350" b="6985"/>
                  <wp:docPr id="943433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13400" cy="1288415"/>
                          </a:xfrm>
                          <a:prstGeom prst="rect">
                            <a:avLst/>
                          </a:prstGeom>
                          <a:noFill/>
                          <a:ln>
                            <a:noFill/>
                          </a:ln>
                        </pic:spPr>
                      </pic:pic>
                    </a:graphicData>
                  </a:graphic>
                </wp:inline>
              </w:drawing>
            </w:r>
          </w:p>
        </w:tc>
      </w:tr>
      <w:tr w:rsidR="00B91716" w:rsidRPr="0078056B" w14:paraId="5FCC3B1E" w14:textId="77777777" w:rsidTr="000A186C">
        <w:trPr>
          <w:cantSplit/>
        </w:trPr>
        <w:tc>
          <w:tcPr>
            <w:tcW w:w="0" w:type="auto"/>
          </w:tcPr>
          <w:p w14:paraId="6D0B2661" w14:textId="77777777" w:rsidR="00B91716" w:rsidRPr="0078056B" w:rsidRDefault="00B91716" w:rsidP="000A186C">
            <w:pPr>
              <w:spacing w:after="0"/>
            </w:pPr>
            <w:r w:rsidRPr="0078056B">
              <w:rPr>
                <w:b/>
                <w:bCs/>
                <w:color w:val="06357A"/>
              </w:rPr>
              <w:t>GVA, £m</w:t>
            </w:r>
          </w:p>
        </w:tc>
      </w:tr>
      <w:tr w:rsidR="00B91716" w:rsidRPr="0078056B" w14:paraId="082D26CD" w14:textId="77777777" w:rsidTr="000A186C">
        <w:trPr>
          <w:cantSplit/>
        </w:trPr>
        <w:tc>
          <w:tcPr>
            <w:tcW w:w="0" w:type="auto"/>
          </w:tcPr>
          <w:p w14:paraId="3904CCAF" w14:textId="77777777" w:rsidR="00B91716" w:rsidRPr="0078056B" w:rsidRDefault="00B91716" w:rsidP="000A186C">
            <w:pPr>
              <w:pStyle w:val="PlaceholderText"/>
            </w:pPr>
            <w:r w:rsidRPr="0078056B">
              <w:rPr>
                <w:noProof/>
              </w:rPr>
              <w:drawing>
                <wp:inline distT="0" distB="0" distL="0" distR="0" wp14:anchorId="7180D1E0" wp14:editId="76007476">
                  <wp:extent cx="5605780" cy="1280160"/>
                  <wp:effectExtent l="0" t="0" r="0" b="0"/>
                  <wp:docPr id="644450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605780" cy="1280160"/>
                          </a:xfrm>
                          <a:prstGeom prst="rect">
                            <a:avLst/>
                          </a:prstGeom>
                          <a:noFill/>
                          <a:ln>
                            <a:noFill/>
                          </a:ln>
                        </pic:spPr>
                      </pic:pic>
                    </a:graphicData>
                  </a:graphic>
                </wp:inline>
              </w:drawing>
            </w:r>
          </w:p>
        </w:tc>
      </w:tr>
      <w:tr w:rsidR="00B91716" w:rsidRPr="0078056B" w14:paraId="05C477AE" w14:textId="77777777" w:rsidTr="000A186C">
        <w:trPr>
          <w:cantSplit/>
        </w:trPr>
        <w:tc>
          <w:tcPr>
            <w:tcW w:w="0" w:type="auto"/>
          </w:tcPr>
          <w:p w14:paraId="4736360D" w14:textId="77777777" w:rsidR="00B91716" w:rsidRPr="0078056B" w:rsidRDefault="00B91716" w:rsidP="000A186C">
            <w:pPr>
              <w:spacing w:after="0"/>
            </w:pPr>
            <w:r w:rsidRPr="0078056B">
              <w:rPr>
                <w:b/>
                <w:bCs/>
                <w:color w:val="06357A"/>
              </w:rPr>
              <w:t>Employment, FTE</w:t>
            </w:r>
          </w:p>
        </w:tc>
      </w:tr>
      <w:tr w:rsidR="00B91716" w:rsidRPr="0078056B" w14:paraId="134AEACE" w14:textId="77777777" w:rsidTr="000A186C">
        <w:trPr>
          <w:cantSplit/>
        </w:trPr>
        <w:tc>
          <w:tcPr>
            <w:tcW w:w="0" w:type="auto"/>
          </w:tcPr>
          <w:p w14:paraId="5D2FF15A" w14:textId="77777777" w:rsidR="00B91716" w:rsidRPr="0078056B" w:rsidRDefault="00B91716" w:rsidP="000A186C">
            <w:pPr>
              <w:pStyle w:val="TableNote"/>
            </w:pPr>
            <w:r w:rsidRPr="0078056B">
              <w:rPr>
                <w:noProof/>
              </w:rPr>
              <w:drawing>
                <wp:inline distT="0" distB="0" distL="0" distR="0" wp14:anchorId="0A80B6E6" wp14:editId="06F55BEB">
                  <wp:extent cx="5613400" cy="1288415"/>
                  <wp:effectExtent l="0" t="0" r="6350" b="6985"/>
                  <wp:docPr id="2028129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613400" cy="1288415"/>
                          </a:xfrm>
                          <a:prstGeom prst="rect">
                            <a:avLst/>
                          </a:prstGeom>
                          <a:noFill/>
                          <a:ln>
                            <a:noFill/>
                          </a:ln>
                        </pic:spPr>
                      </pic:pic>
                    </a:graphicData>
                  </a:graphic>
                </wp:inline>
              </w:drawing>
            </w:r>
          </w:p>
        </w:tc>
      </w:tr>
      <w:tr w:rsidR="00B91716" w:rsidRPr="0078056B" w14:paraId="6E3C18F1" w14:textId="77777777" w:rsidTr="00257F75">
        <w:trPr>
          <w:cantSplit/>
          <w:trHeight w:val="301"/>
        </w:trPr>
        <w:tc>
          <w:tcPr>
            <w:tcW w:w="0" w:type="auto"/>
          </w:tcPr>
          <w:p w14:paraId="3C1EA3E6" w14:textId="77777777" w:rsidR="00B91716" w:rsidRPr="0078056B" w:rsidRDefault="00B91716" w:rsidP="00257F75">
            <w:pPr>
              <w:pStyle w:val="TableNote"/>
            </w:pPr>
            <w:r w:rsidRPr="0078056B">
              <w:t>Note: All monetary estimates are presented in 2021-22 prices, discounted to reflect net present values, and rounded to the nearest £1m. The employment figures are rounded to the nearest 5. Values may not add up precisely to the totals due to rounding.</w:t>
            </w:r>
          </w:p>
          <w:p w14:paraId="7E8277D5" w14:textId="77777777" w:rsidR="00B91716" w:rsidRPr="0078056B" w:rsidRDefault="00B91716" w:rsidP="00257F75">
            <w:pPr>
              <w:pStyle w:val="TableSource"/>
            </w:pPr>
            <w:r w:rsidRPr="0078056B">
              <w:t>Source: London Economics’ analysis</w:t>
            </w:r>
          </w:p>
        </w:tc>
      </w:tr>
    </w:tbl>
    <w:p w14:paraId="1295CB6B" w14:textId="77777777" w:rsidR="00B91716" w:rsidRPr="0078056B" w:rsidRDefault="00B91716" w:rsidP="00B91716">
      <w:pPr>
        <w:pStyle w:val="Heading2"/>
        <w:numPr>
          <w:ilvl w:val="1"/>
          <w:numId w:val="13"/>
        </w:numPr>
      </w:pPr>
      <w:bookmarkStart w:id="273" w:name="_Ref146727792"/>
      <w:bookmarkStart w:id="274" w:name="_Toc160209966"/>
      <w:bookmarkStart w:id="275" w:name="_Toc168652131"/>
      <w:r w:rsidRPr="0078056B">
        <w:t>Total economic impact associated with the University of Birmingham’s educational exports</w:t>
      </w:r>
      <w:bookmarkEnd w:id="273"/>
      <w:bookmarkEnd w:id="274"/>
      <w:bookmarkEnd w:id="275"/>
    </w:p>
    <w:p w14:paraId="17A970B6" w14:textId="32120431" w:rsidR="00B91716" w:rsidRPr="0078056B" w:rsidRDefault="00B91716" w:rsidP="00B91716">
      <w:r w:rsidRPr="0078056B">
        <w:t xml:space="preserve">To estimate the total (direct, indirect, and induced) economic impact associated with the export income generated by international students studying at the University of Birmingham, we used economic multipliers derived from the above-described multi-regional Input-Output model (see Section </w:t>
      </w:r>
      <w:r w:rsidR="0027423B" w:rsidRPr="0078056B">
        <w:fldChar w:fldCharType="begin"/>
      </w:r>
      <w:r w:rsidR="0027423B" w:rsidRPr="0078056B">
        <w:instrText xml:space="preserve"> REF _Ref162262446 \r \h  \* MERGEFORMAT </w:instrText>
      </w:r>
      <w:r w:rsidR="0027423B" w:rsidRPr="0078056B">
        <w:fldChar w:fldCharType="separate"/>
      </w:r>
      <w:r w:rsidR="00E33157">
        <w:t>2.1</w:t>
      </w:r>
      <w:r w:rsidR="0027423B" w:rsidRPr="0078056B">
        <w:fldChar w:fldCharType="end"/>
      </w:r>
      <w:r w:rsidRPr="0078056B">
        <w:t xml:space="preserve">), estimating the extent to which the direct export income generates additional activity </w:t>
      </w:r>
      <w:r w:rsidRPr="0078056B">
        <w:lastRenderedPageBreak/>
        <w:t>throughout the UK economy. Specifically, we applied two types of multipliers to the above-described tuition fee and non-tuition fee income associated with international students in the 2021-22 cohort, including:</w:t>
      </w:r>
    </w:p>
    <w:p w14:paraId="5A55A95E" w14:textId="77777777" w:rsidR="00B91716" w:rsidRPr="0078056B" w:rsidRDefault="00B91716" w:rsidP="00B91716">
      <w:pPr>
        <w:pStyle w:val="MinorBullet1"/>
        <w:numPr>
          <w:ilvl w:val="0"/>
          <w:numId w:val="21"/>
        </w:numPr>
      </w:pPr>
      <w:r w:rsidRPr="0078056B">
        <w:rPr>
          <w:rFonts w:eastAsia="Times New Roman" w:cs="Microsoft Sans Serif"/>
          <w:b/>
          <w:color w:val="06357A"/>
        </w:rPr>
        <w:t>Multipliers relating to international tuition fee income (accrued by the University of Birmingham itself)</w:t>
      </w:r>
      <w:r w:rsidRPr="0078056B">
        <w:t>: The multipliers used to estimate the impact of the University of Birmingham’s international tuition fee income were calculated based on the inter- and intra-industry flows of goods and services for the West Midlands’s government, health, and education sector as a whole</w:t>
      </w:r>
      <w:r w:rsidRPr="0078056B">
        <w:rPr>
          <w:vertAlign w:val="superscript"/>
        </w:rPr>
        <w:footnoteReference w:id="68"/>
      </w:r>
      <w:r w:rsidRPr="0078056B">
        <w:t xml:space="preserve">. </w:t>
      </w:r>
    </w:p>
    <w:p w14:paraId="234F5E48" w14:textId="77777777" w:rsidR="00B91716" w:rsidRPr="0078056B" w:rsidRDefault="00B91716" w:rsidP="00B91716">
      <w:pPr>
        <w:pStyle w:val="MinorBullet1"/>
        <w:numPr>
          <w:ilvl w:val="0"/>
          <w:numId w:val="21"/>
        </w:numPr>
      </w:pPr>
      <w:r w:rsidRPr="0078056B">
        <w:rPr>
          <w:rFonts w:eastAsia="Times New Roman" w:cs="Microsoft Sans Serif"/>
          <w:b/>
          <w:color w:val="06357A"/>
        </w:rPr>
        <w:t>Multipliers relating to income from international students’ (off-campus) non-tuition fee expenditures:</w:t>
      </w:r>
      <w:r w:rsidRPr="0078056B">
        <w:rPr>
          <w:sz w:val="20"/>
          <w:szCs w:val="20"/>
        </w:rPr>
        <w:t xml:space="preserve"> </w:t>
      </w:r>
      <w:r w:rsidRPr="0078056B">
        <w:t>These were calculated based on the final consumption expenditure patterns of households located in the West Midlands</w:t>
      </w:r>
      <w:r w:rsidRPr="0078056B">
        <w:rPr>
          <w:vertAlign w:val="superscript"/>
        </w:rPr>
        <w:footnoteReference w:id="69"/>
      </w:r>
      <w:r w:rsidRPr="0078056B">
        <w:t>, and subsequently applied to the estimated off-campus non-tuition fee expenditures of overseas students in the 2021-22 cohort of the University of Birmingham students.</w:t>
      </w:r>
    </w:p>
    <w:p w14:paraId="36E0AF8C" w14:textId="77777777" w:rsidR="00B91716" w:rsidRPr="0078056B" w:rsidRDefault="00B91716" w:rsidP="00B91716">
      <w:r w:rsidRPr="0078056B">
        <w:t xml:space="preserve">Again, these multipliers are expressed in terms of </w:t>
      </w:r>
      <w:r w:rsidRPr="0078056B">
        <w:rPr>
          <w:rFonts w:eastAsia="Times New Roman" w:cs="Microsoft Sans Serif"/>
          <w:b/>
          <w:color w:val="06357A"/>
        </w:rPr>
        <w:t>economic output, gross value added</w:t>
      </w:r>
      <w:r w:rsidRPr="0078056B">
        <w:t xml:space="preserve">, and (full-time equivalent) </w:t>
      </w:r>
      <w:r w:rsidRPr="0078056B">
        <w:rPr>
          <w:rFonts w:eastAsia="Times New Roman" w:cs="Microsoft Sans Serif"/>
          <w:b/>
          <w:color w:val="06357A"/>
        </w:rPr>
        <w:t>employment</w:t>
      </w:r>
      <w:r w:rsidRPr="0078056B">
        <w:t xml:space="preserve">, and are calculated as </w:t>
      </w:r>
      <w:r w:rsidRPr="0078056B">
        <w:rPr>
          <w:rFonts w:eastAsia="Times New Roman" w:cs="Microsoft Sans Serif"/>
          <w:b/>
          <w:color w:val="06357A"/>
        </w:rPr>
        <w:t>total multipliers</w:t>
      </w:r>
      <w:r w:rsidRPr="0078056B">
        <w:t xml:space="preserve">, capturing the aggregate impact on all industries in the UK economy arising from an initial injection relative to that initial injection. </w:t>
      </w:r>
    </w:p>
    <w:p w14:paraId="64BB5AF5" w14:textId="0AD18B22" w:rsidR="00B91716" w:rsidRPr="0078056B" w:rsidRDefault="00B91716" w:rsidP="00B91716">
      <w:r w:rsidRPr="0078056B">
        <w:fldChar w:fldCharType="begin"/>
      </w:r>
      <w:r w:rsidRPr="0078056B">
        <w:instrText xml:space="preserve"> REF _Ref144895204 \r \h  \* MERGEFORMAT </w:instrText>
      </w:r>
      <w:r w:rsidRPr="0078056B">
        <w:fldChar w:fldCharType="separate"/>
      </w:r>
      <w:r w:rsidR="00E33157">
        <w:t>Table 10</w:t>
      </w:r>
      <w:r w:rsidRPr="0078056B">
        <w:fldChar w:fldCharType="end"/>
      </w:r>
      <w:r w:rsidRPr="0078056B">
        <w:t xml:space="preserve"> presents the economic multipliers applied to the income generated by international students at the University of Birmingham (in terms of the impact on the West Midlands and the UK economy as a whole)</w:t>
      </w:r>
      <w:r w:rsidRPr="0078056B">
        <w:rPr>
          <w:vertAlign w:val="superscript"/>
        </w:rPr>
        <w:footnoteReference w:id="70"/>
      </w:r>
      <w:r w:rsidRPr="0078056B">
        <w:t>.</w:t>
      </w:r>
    </w:p>
    <w:p w14:paraId="029D65B0" w14:textId="77777777" w:rsidR="00B91716" w:rsidRPr="0078056B" w:rsidRDefault="00B91716" w:rsidP="00B91716">
      <w:pPr>
        <w:pStyle w:val="TableTitle"/>
      </w:pPr>
      <w:bookmarkStart w:id="276" w:name="_Ref144895204"/>
      <w:bookmarkStart w:id="277" w:name="_Toc148543108"/>
      <w:bookmarkStart w:id="278" w:name="_Toc160209974"/>
      <w:bookmarkStart w:id="279" w:name="_Toc168652165"/>
      <w:r w:rsidRPr="0078056B">
        <w:t>Economic multipliers associated with the income from international student entrants in the 2021-22 cohort of University of Birmingham students</w:t>
      </w:r>
      <w:bookmarkEnd w:id="276"/>
      <w:bookmarkEnd w:id="277"/>
      <w:bookmarkEnd w:id="278"/>
      <w:bookmarkEnd w:id="279"/>
    </w:p>
    <w:tbl>
      <w:tblPr>
        <w:tblW w:w="8844" w:type="dxa"/>
        <w:tblBorders>
          <w:top w:val="single" w:sz="4" w:space="0" w:color="BFBFBF"/>
          <w:bottom w:val="single" w:sz="4" w:space="0" w:color="BFBFBF"/>
          <w:insideH w:val="single" w:sz="4" w:space="0" w:color="BFBFBF"/>
          <w:insideV w:val="single" w:sz="4" w:space="0" w:color="BFBFBF"/>
        </w:tblBorders>
        <w:tblLayout w:type="fixed"/>
        <w:tblCellMar>
          <w:left w:w="0" w:type="dxa"/>
          <w:right w:w="0" w:type="dxa"/>
        </w:tblCellMar>
        <w:tblLook w:val="0620" w:firstRow="1" w:lastRow="0" w:firstColumn="0" w:lastColumn="0" w:noHBand="1" w:noVBand="1"/>
      </w:tblPr>
      <w:tblGrid>
        <w:gridCol w:w="3544"/>
        <w:gridCol w:w="1701"/>
        <w:gridCol w:w="1843"/>
        <w:gridCol w:w="1756"/>
      </w:tblGrid>
      <w:tr w:rsidR="00B91716" w:rsidRPr="0078056B" w14:paraId="3B5064CB" w14:textId="77777777" w:rsidTr="000A186C">
        <w:trPr>
          <w:trHeight w:val="283"/>
          <w:tblHeader/>
        </w:trPr>
        <w:tc>
          <w:tcPr>
            <w:tcW w:w="3544" w:type="dxa"/>
            <w:tcBorders>
              <w:top w:val="single" w:sz="4" w:space="0" w:color="06357A"/>
              <w:bottom w:val="single" w:sz="4" w:space="0" w:color="06357A"/>
            </w:tcBorders>
            <w:shd w:val="clear" w:color="auto" w:fill="auto"/>
            <w:vAlign w:val="center"/>
          </w:tcPr>
          <w:p w14:paraId="6B52CE00" w14:textId="77777777" w:rsidR="00B91716" w:rsidRPr="0078056B" w:rsidRDefault="00B91716" w:rsidP="000A186C">
            <w:pPr>
              <w:pStyle w:val="TableHeading"/>
              <w:keepNext/>
              <w:ind w:left="57" w:right="57"/>
            </w:pPr>
            <w:r w:rsidRPr="0078056B">
              <w:t>Location of impact and type of income</w:t>
            </w:r>
          </w:p>
        </w:tc>
        <w:tc>
          <w:tcPr>
            <w:tcW w:w="1701" w:type="dxa"/>
            <w:tcBorders>
              <w:top w:val="single" w:sz="4" w:space="0" w:color="06357A"/>
              <w:bottom w:val="single" w:sz="4" w:space="0" w:color="06357A"/>
            </w:tcBorders>
            <w:shd w:val="clear" w:color="auto" w:fill="auto"/>
            <w:vAlign w:val="center"/>
          </w:tcPr>
          <w:p w14:paraId="62B5D7A0" w14:textId="77777777" w:rsidR="00B91716" w:rsidRPr="0078056B" w:rsidRDefault="00B91716" w:rsidP="000A186C">
            <w:pPr>
              <w:pStyle w:val="TableHeading"/>
              <w:keepNext/>
              <w:ind w:left="57" w:right="57"/>
              <w:jc w:val="center"/>
            </w:pPr>
            <w:r w:rsidRPr="0078056B">
              <w:t>Output</w:t>
            </w:r>
          </w:p>
        </w:tc>
        <w:tc>
          <w:tcPr>
            <w:tcW w:w="1843" w:type="dxa"/>
            <w:tcBorders>
              <w:top w:val="single" w:sz="4" w:space="0" w:color="06357A"/>
              <w:bottom w:val="single" w:sz="4" w:space="0" w:color="06357A"/>
            </w:tcBorders>
            <w:shd w:val="clear" w:color="auto" w:fill="auto"/>
            <w:vAlign w:val="center"/>
          </w:tcPr>
          <w:p w14:paraId="751E0F2E" w14:textId="77777777" w:rsidR="00B91716" w:rsidRPr="0078056B" w:rsidRDefault="00B91716" w:rsidP="000A186C">
            <w:pPr>
              <w:pStyle w:val="TableHeading"/>
              <w:keepNext/>
              <w:ind w:left="57" w:right="57"/>
              <w:jc w:val="center"/>
            </w:pPr>
            <w:r w:rsidRPr="0078056B">
              <w:t>GVA</w:t>
            </w:r>
          </w:p>
        </w:tc>
        <w:tc>
          <w:tcPr>
            <w:tcW w:w="1756" w:type="dxa"/>
            <w:tcBorders>
              <w:top w:val="single" w:sz="4" w:space="0" w:color="06357A"/>
              <w:bottom w:val="single" w:sz="4" w:space="0" w:color="06357A"/>
            </w:tcBorders>
            <w:shd w:val="clear" w:color="auto" w:fill="auto"/>
            <w:vAlign w:val="center"/>
          </w:tcPr>
          <w:p w14:paraId="1D3953CB" w14:textId="77777777" w:rsidR="00B91716" w:rsidRPr="0078056B" w:rsidRDefault="00B91716" w:rsidP="000A186C">
            <w:pPr>
              <w:pStyle w:val="TableHeading"/>
              <w:keepNext/>
              <w:ind w:left="57" w:right="57"/>
              <w:jc w:val="center"/>
            </w:pPr>
            <w:r w:rsidRPr="0078056B">
              <w:t>FTE employment</w:t>
            </w:r>
          </w:p>
        </w:tc>
      </w:tr>
      <w:tr w:rsidR="00B91716" w:rsidRPr="0078056B" w14:paraId="50F7759A" w14:textId="77777777" w:rsidTr="000A186C">
        <w:trPr>
          <w:trHeight w:val="283"/>
        </w:trPr>
        <w:tc>
          <w:tcPr>
            <w:tcW w:w="3544" w:type="dxa"/>
            <w:tcBorders>
              <w:top w:val="single" w:sz="4" w:space="0" w:color="06357A"/>
            </w:tcBorders>
            <w:shd w:val="clear" w:color="auto" w:fill="06357A"/>
            <w:vAlign w:val="center"/>
          </w:tcPr>
          <w:p w14:paraId="1637959E" w14:textId="77777777" w:rsidR="00B91716" w:rsidRPr="0078056B" w:rsidRDefault="00B91716" w:rsidP="000A186C">
            <w:pPr>
              <w:pStyle w:val="TableText"/>
              <w:keepNext/>
              <w:ind w:left="57" w:right="57"/>
              <w:rPr>
                <w:b/>
                <w:bCs/>
              </w:rPr>
            </w:pPr>
            <w:r w:rsidRPr="0078056B">
              <w:rPr>
                <w:b/>
                <w:bCs/>
              </w:rPr>
              <w:t xml:space="preserve">Tuition fee income </w:t>
            </w:r>
          </w:p>
        </w:tc>
        <w:tc>
          <w:tcPr>
            <w:tcW w:w="1701" w:type="dxa"/>
            <w:tcBorders>
              <w:top w:val="single" w:sz="4" w:space="0" w:color="06357A"/>
            </w:tcBorders>
            <w:shd w:val="clear" w:color="auto" w:fill="06357A"/>
            <w:vAlign w:val="center"/>
          </w:tcPr>
          <w:p w14:paraId="6D738804" w14:textId="77777777" w:rsidR="00B91716" w:rsidRPr="0078056B" w:rsidRDefault="00B91716" w:rsidP="000A186C">
            <w:pPr>
              <w:pStyle w:val="TableText"/>
              <w:keepNext/>
              <w:ind w:left="57" w:right="57"/>
            </w:pPr>
          </w:p>
        </w:tc>
        <w:tc>
          <w:tcPr>
            <w:tcW w:w="1843" w:type="dxa"/>
            <w:tcBorders>
              <w:top w:val="single" w:sz="4" w:space="0" w:color="06357A"/>
            </w:tcBorders>
            <w:shd w:val="clear" w:color="auto" w:fill="06357A"/>
            <w:vAlign w:val="center"/>
          </w:tcPr>
          <w:p w14:paraId="0435F572" w14:textId="77777777" w:rsidR="00B91716" w:rsidRPr="0078056B" w:rsidRDefault="00B91716" w:rsidP="000A186C">
            <w:pPr>
              <w:pStyle w:val="TableText"/>
              <w:keepNext/>
              <w:ind w:left="57" w:right="57"/>
            </w:pPr>
          </w:p>
        </w:tc>
        <w:tc>
          <w:tcPr>
            <w:tcW w:w="1756" w:type="dxa"/>
            <w:tcBorders>
              <w:top w:val="single" w:sz="4" w:space="0" w:color="06357A"/>
            </w:tcBorders>
            <w:shd w:val="clear" w:color="auto" w:fill="06357A"/>
            <w:vAlign w:val="center"/>
          </w:tcPr>
          <w:p w14:paraId="2515D0C9" w14:textId="77777777" w:rsidR="00B91716" w:rsidRPr="0078056B" w:rsidRDefault="00B91716" w:rsidP="000A186C">
            <w:pPr>
              <w:pStyle w:val="TableText"/>
              <w:keepNext/>
              <w:ind w:left="57" w:right="57"/>
            </w:pPr>
          </w:p>
        </w:tc>
      </w:tr>
      <w:tr w:rsidR="00B91716" w:rsidRPr="0078056B" w14:paraId="4DE60DB9" w14:textId="77777777" w:rsidTr="000A186C">
        <w:trPr>
          <w:trHeight w:val="283"/>
        </w:trPr>
        <w:tc>
          <w:tcPr>
            <w:tcW w:w="3544" w:type="dxa"/>
            <w:shd w:val="clear" w:color="auto" w:fill="auto"/>
            <w:vAlign w:val="center"/>
          </w:tcPr>
          <w:p w14:paraId="406772D5" w14:textId="77777777" w:rsidR="00B91716" w:rsidRPr="0078056B" w:rsidRDefault="00B91716" w:rsidP="000A186C">
            <w:pPr>
              <w:pStyle w:val="TableText"/>
              <w:keepNext/>
              <w:ind w:left="57" w:right="57"/>
            </w:pPr>
            <w:r w:rsidRPr="0078056B">
              <w:t>West Midlands</w:t>
            </w:r>
          </w:p>
        </w:tc>
        <w:tc>
          <w:tcPr>
            <w:tcW w:w="1701" w:type="dxa"/>
            <w:shd w:val="clear" w:color="auto" w:fill="auto"/>
            <w:vAlign w:val="center"/>
          </w:tcPr>
          <w:p w14:paraId="5BAD1FB5" w14:textId="77777777" w:rsidR="00B91716" w:rsidRPr="0078056B" w:rsidRDefault="00B91716" w:rsidP="000A186C">
            <w:pPr>
              <w:pStyle w:val="TableText"/>
              <w:keepNext/>
              <w:ind w:left="57" w:right="57"/>
              <w:jc w:val="center"/>
            </w:pPr>
            <w:r w:rsidRPr="0078056B">
              <w:t>1.50</w:t>
            </w:r>
          </w:p>
        </w:tc>
        <w:tc>
          <w:tcPr>
            <w:tcW w:w="1843" w:type="dxa"/>
            <w:shd w:val="clear" w:color="auto" w:fill="auto"/>
            <w:vAlign w:val="center"/>
          </w:tcPr>
          <w:p w14:paraId="1BA643CA" w14:textId="77777777" w:rsidR="00B91716" w:rsidRPr="0078056B" w:rsidRDefault="00B91716" w:rsidP="000A186C">
            <w:pPr>
              <w:pStyle w:val="TableText"/>
              <w:keepNext/>
              <w:ind w:left="57" w:right="57"/>
              <w:jc w:val="center"/>
            </w:pPr>
            <w:r w:rsidRPr="0078056B">
              <w:t>1.43</w:t>
            </w:r>
          </w:p>
        </w:tc>
        <w:tc>
          <w:tcPr>
            <w:tcW w:w="1756" w:type="dxa"/>
            <w:shd w:val="clear" w:color="auto" w:fill="auto"/>
            <w:vAlign w:val="center"/>
          </w:tcPr>
          <w:p w14:paraId="54835879" w14:textId="77777777" w:rsidR="00B91716" w:rsidRPr="0078056B" w:rsidRDefault="00B91716" w:rsidP="000A186C">
            <w:pPr>
              <w:pStyle w:val="TableText"/>
              <w:keepNext/>
              <w:ind w:left="57" w:right="57"/>
              <w:jc w:val="center"/>
            </w:pPr>
            <w:r w:rsidRPr="0078056B">
              <w:t>1.33</w:t>
            </w:r>
          </w:p>
        </w:tc>
      </w:tr>
      <w:tr w:rsidR="00B91716" w:rsidRPr="0078056B" w14:paraId="3526E692" w14:textId="77777777" w:rsidTr="000A186C">
        <w:trPr>
          <w:trHeight w:val="283"/>
        </w:trPr>
        <w:tc>
          <w:tcPr>
            <w:tcW w:w="3544" w:type="dxa"/>
            <w:shd w:val="clear" w:color="auto" w:fill="auto"/>
            <w:vAlign w:val="center"/>
          </w:tcPr>
          <w:p w14:paraId="0DA93E0A" w14:textId="77777777" w:rsidR="00B91716" w:rsidRPr="0078056B" w:rsidRDefault="00B91716" w:rsidP="000A186C">
            <w:pPr>
              <w:pStyle w:val="TableText"/>
              <w:keepNext/>
              <w:ind w:left="57" w:right="57"/>
            </w:pPr>
            <w:r w:rsidRPr="0078056B">
              <w:t>Total UK</w:t>
            </w:r>
          </w:p>
        </w:tc>
        <w:tc>
          <w:tcPr>
            <w:tcW w:w="1701" w:type="dxa"/>
            <w:shd w:val="clear" w:color="auto" w:fill="auto"/>
            <w:vAlign w:val="center"/>
          </w:tcPr>
          <w:p w14:paraId="30BDB237" w14:textId="77777777" w:rsidR="00B91716" w:rsidRPr="0078056B" w:rsidRDefault="00B91716" w:rsidP="000A186C">
            <w:pPr>
              <w:pStyle w:val="TableText"/>
              <w:keepNext/>
              <w:ind w:left="57" w:right="57"/>
              <w:jc w:val="center"/>
            </w:pPr>
            <w:r w:rsidRPr="0078056B">
              <w:t>2.28</w:t>
            </w:r>
          </w:p>
        </w:tc>
        <w:tc>
          <w:tcPr>
            <w:tcW w:w="1843" w:type="dxa"/>
            <w:shd w:val="clear" w:color="auto" w:fill="auto"/>
            <w:vAlign w:val="center"/>
          </w:tcPr>
          <w:p w14:paraId="786AC4BD" w14:textId="77777777" w:rsidR="00B91716" w:rsidRPr="0078056B" w:rsidRDefault="00B91716" w:rsidP="000A186C">
            <w:pPr>
              <w:pStyle w:val="TableText"/>
              <w:keepNext/>
              <w:ind w:left="57" w:right="57"/>
              <w:jc w:val="center"/>
            </w:pPr>
            <w:r w:rsidRPr="0078056B">
              <w:t>2.07</w:t>
            </w:r>
          </w:p>
        </w:tc>
        <w:tc>
          <w:tcPr>
            <w:tcW w:w="1756" w:type="dxa"/>
            <w:shd w:val="clear" w:color="auto" w:fill="auto"/>
            <w:vAlign w:val="center"/>
          </w:tcPr>
          <w:p w14:paraId="330A81EB" w14:textId="77777777" w:rsidR="00B91716" w:rsidRPr="0078056B" w:rsidRDefault="00B91716" w:rsidP="000A186C">
            <w:pPr>
              <w:pStyle w:val="TableText"/>
              <w:keepNext/>
              <w:ind w:left="57" w:right="57"/>
              <w:jc w:val="center"/>
            </w:pPr>
            <w:r w:rsidRPr="0078056B">
              <w:t>1.79</w:t>
            </w:r>
          </w:p>
        </w:tc>
      </w:tr>
      <w:tr w:rsidR="00B91716" w:rsidRPr="0078056B" w14:paraId="6F4B7C8A" w14:textId="77777777" w:rsidTr="000A186C">
        <w:trPr>
          <w:trHeight w:val="283"/>
        </w:trPr>
        <w:tc>
          <w:tcPr>
            <w:tcW w:w="3544" w:type="dxa"/>
            <w:shd w:val="clear" w:color="auto" w:fill="06357A"/>
            <w:vAlign w:val="center"/>
          </w:tcPr>
          <w:p w14:paraId="30682C7B" w14:textId="77777777" w:rsidR="00B91716" w:rsidRPr="0078056B" w:rsidRDefault="00B91716" w:rsidP="000A186C">
            <w:pPr>
              <w:pStyle w:val="TableText"/>
              <w:keepNext/>
              <w:ind w:left="57" w:right="57"/>
              <w:rPr>
                <w:b/>
                <w:bCs/>
              </w:rPr>
            </w:pPr>
            <w:r w:rsidRPr="0078056B">
              <w:rPr>
                <w:b/>
                <w:bCs/>
              </w:rPr>
              <w:t>Non-fee income</w:t>
            </w:r>
          </w:p>
        </w:tc>
        <w:tc>
          <w:tcPr>
            <w:tcW w:w="1701" w:type="dxa"/>
            <w:shd w:val="clear" w:color="auto" w:fill="06357A"/>
            <w:vAlign w:val="center"/>
          </w:tcPr>
          <w:p w14:paraId="277F426D" w14:textId="77777777" w:rsidR="00B91716" w:rsidRPr="0078056B" w:rsidRDefault="00B91716" w:rsidP="000A186C">
            <w:pPr>
              <w:pStyle w:val="TableText"/>
              <w:keepNext/>
              <w:ind w:left="57" w:right="57"/>
              <w:jc w:val="center"/>
              <w:rPr>
                <w:b/>
                <w:bCs/>
              </w:rPr>
            </w:pPr>
          </w:p>
        </w:tc>
        <w:tc>
          <w:tcPr>
            <w:tcW w:w="1843" w:type="dxa"/>
            <w:shd w:val="clear" w:color="auto" w:fill="06357A"/>
            <w:vAlign w:val="center"/>
          </w:tcPr>
          <w:p w14:paraId="58241DF9" w14:textId="77777777" w:rsidR="00B91716" w:rsidRPr="0078056B" w:rsidRDefault="00B91716" w:rsidP="000A186C">
            <w:pPr>
              <w:pStyle w:val="TableText"/>
              <w:keepNext/>
              <w:ind w:left="57" w:right="57"/>
              <w:jc w:val="center"/>
              <w:rPr>
                <w:b/>
                <w:bCs/>
              </w:rPr>
            </w:pPr>
          </w:p>
        </w:tc>
        <w:tc>
          <w:tcPr>
            <w:tcW w:w="1756" w:type="dxa"/>
            <w:shd w:val="clear" w:color="auto" w:fill="06357A"/>
            <w:vAlign w:val="center"/>
          </w:tcPr>
          <w:p w14:paraId="7C9EB325" w14:textId="77777777" w:rsidR="00B91716" w:rsidRPr="0078056B" w:rsidRDefault="00B91716" w:rsidP="000A186C">
            <w:pPr>
              <w:pStyle w:val="TableText"/>
              <w:keepNext/>
              <w:ind w:left="57" w:right="57"/>
              <w:jc w:val="center"/>
              <w:rPr>
                <w:b/>
                <w:bCs/>
              </w:rPr>
            </w:pPr>
          </w:p>
        </w:tc>
      </w:tr>
      <w:tr w:rsidR="00B91716" w:rsidRPr="0078056B" w14:paraId="0C9F1A91" w14:textId="77777777" w:rsidTr="000A186C">
        <w:trPr>
          <w:trHeight w:val="283"/>
        </w:trPr>
        <w:tc>
          <w:tcPr>
            <w:tcW w:w="3544" w:type="dxa"/>
            <w:shd w:val="clear" w:color="auto" w:fill="auto"/>
            <w:vAlign w:val="center"/>
          </w:tcPr>
          <w:p w14:paraId="3DF59BC4" w14:textId="77777777" w:rsidR="00B91716" w:rsidRPr="0078056B" w:rsidRDefault="00B91716" w:rsidP="000A186C">
            <w:pPr>
              <w:pStyle w:val="TableText"/>
              <w:keepNext/>
              <w:ind w:left="57" w:right="57"/>
            </w:pPr>
            <w:r w:rsidRPr="0078056B">
              <w:t>West Midlands</w:t>
            </w:r>
          </w:p>
        </w:tc>
        <w:tc>
          <w:tcPr>
            <w:tcW w:w="1701" w:type="dxa"/>
            <w:shd w:val="clear" w:color="auto" w:fill="auto"/>
            <w:vAlign w:val="center"/>
          </w:tcPr>
          <w:p w14:paraId="12657BC2" w14:textId="77777777" w:rsidR="00B91716" w:rsidRPr="0078056B" w:rsidRDefault="00B91716" w:rsidP="000A186C">
            <w:pPr>
              <w:pStyle w:val="TableText"/>
              <w:keepNext/>
              <w:ind w:left="57" w:right="57"/>
              <w:jc w:val="center"/>
            </w:pPr>
            <w:r w:rsidRPr="0078056B">
              <w:t>1.63</w:t>
            </w:r>
          </w:p>
        </w:tc>
        <w:tc>
          <w:tcPr>
            <w:tcW w:w="1843" w:type="dxa"/>
            <w:shd w:val="clear" w:color="auto" w:fill="auto"/>
            <w:vAlign w:val="center"/>
          </w:tcPr>
          <w:p w14:paraId="5A4974E0" w14:textId="77777777" w:rsidR="00B91716" w:rsidRPr="0078056B" w:rsidRDefault="00B91716" w:rsidP="000A186C">
            <w:pPr>
              <w:pStyle w:val="TableText"/>
              <w:keepNext/>
              <w:ind w:left="57" w:right="57"/>
              <w:jc w:val="center"/>
            </w:pPr>
            <w:r w:rsidRPr="0078056B">
              <w:t>1.61</w:t>
            </w:r>
          </w:p>
        </w:tc>
        <w:tc>
          <w:tcPr>
            <w:tcW w:w="1756" w:type="dxa"/>
            <w:shd w:val="clear" w:color="auto" w:fill="auto"/>
            <w:vAlign w:val="center"/>
          </w:tcPr>
          <w:p w14:paraId="4F15A671" w14:textId="77777777" w:rsidR="00B91716" w:rsidRPr="0078056B" w:rsidRDefault="00B91716" w:rsidP="000A186C">
            <w:pPr>
              <w:pStyle w:val="TableText"/>
              <w:keepNext/>
              <w:ind w:left="57" w:right="57"/>
              <w:jc w:val="center"/>
            </w:pPr>
            <w:r w:rsidRPr="0078056B">
              <w:t>1.66</w:t>
            </w:r>
          </w:p>
        </w:tc>
      </w:tr>
      <w:tr w:rsidR="00B91716" w:rsidRPr="0078056B" w14:paraId="2FFE6480" w14:textId="77777777" w:rsidTr="000A186C">
        <w:trPr>
          <w:trHeight w:val="283"/>
        </w:trPr>
        <w:tc>
          <w:tcPr>
            <w:tcW w:w="3544" w:type="dxa"/>
            <w:tcBorders>
              <w:bottom w:val="single" w:sz="4" w:space="0" w:color="06357A"/>
            </w:tcBorders>
            <w:shd w:val="clear" w:color="auto" w:fill="auto"/>
            <w:vAlign w:val="center"/>
          </w:tcPr>
          <w:p w14:paraId="4ECAD42A" w14:textId="77777777" w:rsidR="00B91716" w:rsidRPr="0078056B" w:rsidRDefault="00B91716" w:rsidP="000A186C">
            <w:pPr>
              <w:pStyle w:val="TableText"/>
              <w:keepNext/>
              <w:ind w:left="57" w:right="57"/>
            </w:pPr>
            <w:r w:rsidRPr="0078056B">
              <w:t>Total UK</w:t>
            </w:r>
          </w:p>
        </w:tc>
        <w:tc>
          <w:tcPr>
            <w:tcW w:w="1701" w:type="dxa"/>
            <w:tcBorders>
              <w:bottom w:val="single" w:sz="4" w:space="0" w:color="06357A"/>
            </w:tcBorders>
            <w:shd w:val="clear" w:color="auto" w:fill="auto"/>
            <w:vAlign w:val="center"/>
          </w:tcPr>
          <w:p w14:paraId="563A1E88" w14:textId="77777777" w:rsidR="00B91716" w:rsidRPr="0078056B" w:rsidRDefault="00B91716" w:rsidP="000A186C">
            <w:pPr>
              <w:pStyle w:val="TableText"/>
              <w:keepNext/>
              <w:ind w:left="57" w:right="57"/>
              <w:jc w:val="center"/>
            </w:pPr>
            <w:r w:rsidRPr="0078056B">
              <w:t>2.57</w:t>
            </w:r>
          </w:p>
        </w:tc>
        <w:tc>
          <w:tcPr>
            <w:tcW w:w="1843" w:type="dxa"/>
            <w:tcBorders>
              <w:bottom w:val="single" w:sz="4" w:space="0" w:color="06357A"/>
            </w:tcBorders>
            <w:shd w:val="clear" w:color="auto" w:fill="auto"/>
            <w:vAlign w:val="center"/>
          </w:tcPr>
          <w:p w14:paraId="0EB227FE" w14:textId="77777777" w:rsidR="00B91716" w:rsidRPr="0078056B" w:rsidRDefault="00B91716" w:rsidP="000A186C">
            <w:pPr>
              <w:pStyle w:val="TableText"/>
              <w:keepNext/>
              <w:ind w:left="57" w:right="57"/>
              <w:jc w:val="center"/>
            </w:pPr>
            <w:r w:rsidRPr="0078056B">
              <w:t>2.45</w:t>
            </w:r>
          </w:p>
        </w:tc>
        <w:tc>
          <w:tcPr>
            <w:tcW w:w="1756" w:type="dxa"/>
            <w:tcBorders>
              <w:bottom w:val="single" w:sz="4" w:space="0" w:color="06357A"/>
            </w:tcBorders>
            <w:shd w:val="clear" w:color="auto" w:fill="auto"/>
            <w:vAlign w:val="center"/>
          </w:tcPr>
          <w:p w14:paraId="63B4F3EB" w14:textId="77777777" w:rsidR="00B91716" w:rsidRPr="0078056B" w:rsidRDefault="00B91716" w:rsidP="000A186C">
            <w:pPr>
              <w:pStyle w:val="TableText"/>
              <w:keepNext/>
              <w:ind w:left="57" w:right="57"/>
              <w:jc w:val="center"/>
            </w:pPr>
            <w:r w:rsidRPr="0078056B">
              <w:t>2.58</w:t>
            </w:r>
          </w:p>
        </w:tc>
      </w:tr>
    </w:tbl>
    <w:p w14:paraId="4D624C14" w14:textId="77777777" w:rsidR="00B91716" w:rsidRPr="0078056B" w:rsidRDefault="00B91716" w:rsidP="00257F75">
      <w:pPr>
        <w:pStyle w:val="TableNote"/>
      </w:pPr>
      <w:r w:rsidRPr="0078056B">
        <w:t xml:space="preserve">Note: All multipliers constitute Type II multipliers, defined as [Direct + indirect + induced impact]/[Direct impact]. </w:t>
      </w:r>
    </w:p>
    <w:p w14:paraId="4F0D8357" w14:textId="77777777" w:rsidR="00B91716" w:rsidRPr="0078056B" w:rsidRDefault="00B91716" w:rsidP="00257F75">
      <w:pPr>
        <w:pStyle w:val="TableSource"/>
      </w:pPr>
      <w:r w:rsidRPr="0078056B">
        <w:t>Source: London Economics' analysis</w:t>
      </w:r>
    </w:p>
    <w:p w14:paraId="547485E8" w14:textId="7A7A893D" w:rsidR="00B91716" w:rsidRPr="0078056B" w:rsidRDefault="00B91716" w:rsidP="00B91716">
      <w:r w:rsidRPr="0078056B">
        <w:lastRenderedPageBreak/>
        <w:t>Applying these multipliers to the above direct economic impacts</w:t>
      </w:r>
      <w:r w:rsidRPr="0078056B">
        <w:rPr>
          <w:vertAlign w:val="superscript"/>
        </w:rPr>
        <w:footnoteReference w:id="71"/>
      </w:r>
      <w:r w:rsidRPr="0078056B">
        <w:t xml:space="preserve">, we estimate that the total economic impact on the UK generated by the (net) tuition fee income and non-tuition fee income associated with international students in the 2021-22 University of Birmingham cohort amounts to </w:t>
      </w:r>
      <w:r w:rsidRPr="0078056B">
        <w:rPr>
          <w:rFonts w:eastAsia="Times New Roman" w:cs="Microsoft Sans Serif"/>
          <w:b/>
          <w:color w:val="06357A"/>
        </w:rPr>
        <w:t>£690 million</w:t>
      </w:r>
      <w:r w:rsidRPr="0078056B">
        <w:t xml:space="preserve"> of</w:t>
      </w:r>
      <w:r w:rsidRPr="0078056B">
        <w:rPr>
          <w:rFonts w:eastAsia="Times New Roman" w:cs="Microsoft Sans Serif"/>
          <w:b/>
          <w:color w:val="06357A"/>
        </w:rPr>
        <w:t xml:space="preserve"> economic output </w:t>
      </w:r>
      <w:r w:rsidRPr="0078056B">
        <w:t xml:space="preserve">(see top panel of </w:t>
      </w:r>
      <w:r w:rsidRPr="0078056B">
        <w:fldChar w:fldCharType="begin"/>
      </w:r>
      <w:r w:rsidRPr="0078056B">
        <w:instrText xml:space="preserve"> REF _Ref160722935 \r \h </w:instrText>
      </w:r>
      <w:r w:rsidR="0078056B">
        <w:instrText xml:space="preserve"> \* MERGEFORMAT </w:instrText>
      </w:r>
      <w:r w:rsidRPr="0078056B">
        <w:fldChar w:fldCharType="separate"/>
      </w:r>
      <w:r w:rsidR="00E33157">
        <w:t>Figure 29</w:t>
      </w:r>
      <w:r w:rsidRPr="0078056B">
        <w:fldChar w:fldCharType="end"/>
      </w:r>
      <w:r w:rsidRPr="0078056B">
        <w:t>):</w:t>
      </w:r>
    </w:p>
    <w:p w14:paraId="1542054D" w14:textId="77777777" w:rsidR="00B91716" w:rsidRPr="0078056B" w:rsidRDefault="00B91716" w:rsidP="00B91716">
      <w:pPr>
        <w:pStyle w:val="MinorBullet1"/>
        <w:numPr>
          <w:ilvl w:val="0"/>
          <w:numId w:val="21"/>
        </w:numPr>
      </w:pPr>
      <w:r w:rsidRPr="0078056B">
        <w:rPr>
          <w:noProof/>
        </w:rPr>
        <mc:AlternateContent>
          <mc:Choice Requires="wps">
            <w:drawing>
              <wp:anchor distT="0" distB="0" distL="114300" distR="114300" simplePos="0" relativeHeight="251704320" behindDoc="1" locked="0" layoutInCell="1" allowOverlap="1" wp14:anchorId="0DD3E8FE" wp14:editId="35BB3BD0">
                <wp:simplePos x="0" y="0"/>
                <wp:positionH relativeFrom="margin">
                  <wp:posOffset>3418895</wp:posOffset>
                </wp:positionH>
                <wp:positionV relativeFrom="paragraph">
                  <wp:posOffset>63500</wp:posOffset>
                </wp:positionV>
                <wp:extent cx="2124710" cy="1419225"/>
                <wp:effectExtent l="38100" t="38100" r="104140" b="104775"/>
                <wp:wrapTight wrapText="bothSides">
                  <wp:wrapPolygon edited="0">
                    <wp:start x="0" y="-580"/>
                    <wp:lineTo x="-387" y="-290"/>
                    <wp:lineTo x="-387" y="22035"/>
                    <wp:lineTo x="0" y="22905"/>
                    <wp:lineTo x="22078" y="22905"/>
                    <wp:lineTo x="22465" y="18556"/>
                    <wp:lineTo x="22465" y="4349"/>
                    <wp:lineTo x="22078" y="0"/>
                    <wp:lineTo x="22078" y="-580"/>
                    <wp:lineTo x="0" y="-580"/>
                  </wp:wrapPolygon>
                </wp:wrapTight>
                <wp:docPr id="1" name="Text Box 1"/>
                <wp:cNvGraphicFramePr/>
                <a:graphic xmlns:a="http://schemas.openxmlformats.org/drawingml/2006/main">
                  <a:graphicData uri="http://schemas.microsoft.com/office/word/2010/wordprocessingShape">
                    <wps:wsp>
                      <wps:cNvSpPr txBox="1"/>
                      <wps:spPr>
                        <a:xfrm>
                          <a:off x="0" y="0"/>
                          <a:ext cx="2124710" cy="1419225"/>
                        </a:xfrm>
                        <a:prstGeom prst="rect">
                          <a:avLst/>
                        </a:prstGeom>
                        <a:solidFill>
                          <a:schemeClr val="accent1"/>
                        </a:solidFill>
                        <a:ln w="6350">
                          <a:noFill/>
                        </a:ln>
                        <a:effectLst>
                          <a:outerShdw blurRad="50800" dist="38100" dir="2700000" algn="tl" rotWithShape="0">
                            <a:prstClr val="black">
                              <a:alpha val="40000"/>
                            </a:prstClr>
                          </a:outerShdw>
                        </a:effectLst>
                      </wps:spPr>
                      <wps:txbx>
                        <w:txbxContent>
                          <w:p w14:paraId="4CA0E03C" w14:textId="77777777" w:rsidR="00B91716" w:rsidRPr="003541E0" w:rsidRDefault="00B91716" w:rsidP="00B91716">
                            <w:pPr>
                              <w:pStyle w:val="Quote"/>
                              <w:spacing w:before="0" w:after="0"/>
                              <w:jc w:val="center"/>
                              <w:rPr>
                                <w:rFonts w:eastAsia="Times New Roman"/>
                                <w:b/>
                                <w:bCs/>
                                <w:i w:val="0"/>
                                <w:iCs w:val="0"/>
                                <w:color w:val="FFFFFF" w:themeColor="background1"/>
                                <w:sz w:val="28"/>
                                <w:szCs w:val="28"/>
                              </w:rPr>
                            </w:pPr>
                            <w:r w:rsidRPr="0078056B">
                              <w:rPr>
                                <w:rFonts w:eastAsia="Times New Roman"/>
                                <w:b/>
                                <w:bCs/>
                                <w:i w:val="0"/>
                                <w:iCs w:val="0"/>
                                <w:color w:val="FFFFFF" w:themeColor="background1"/>
                                <w:sz w:val="28"/>
                                <w:szCs w:val="28"/>
                              </w:rPr>
                              <w:t>The impact of the export income generated by the 2021-22 University of Birmingham student cohort stood at £690 million.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D3E8FE" id="Text Box 1" o:spid="_x0000_s1040" type="#_x0000_t202" style="position:absolute;left:0;text-align:left;margin-left:269.2pt;margin-top:5pt;width:167.3pt;height:111.7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x1njgIAABgFAAAOAAAAZHJzL2Uyb0RvYy54bWysVE1v2zAMvQ/YfxB0X/3RpB9BnSJr0WFA&#10;0RZLh54VWY6NyaImMbG7X19KjpOs22lYDooo0k+PfKSurvtWs61yvgFT8Owk5UwZCWVj1gX//nz3&#10;6YIzj8KUQoNRBX9Vnl/PP3646uxM5VCDLpVjBGL8rLMFrxHtLEm8rFUr/AlYZchZgWsFkunWSelE&#10;R+itTvI0PUs6cKV1IJX3dHo7OPk84leVkvhYVV4h0wUnbhhXF9dVWJP5lZitnbB1I3c0xD+waEVj&#10;6NI91K1AwTau+QOqbaQDDxWeSGgTqKpGqpgDZZOl77JZ1sKqmAsVx9t9mfz/g5UP26V9cgz7z9CT&#10;gKEgnfUzT4chn75ybfgnpoz8VMLXfdlUj0zSYZ7lk/OMXJJ82SS7zPNpwEkOn1vn8YuCloVNwR3p&#10;Essltvceh9AxJNzmQTflXaN1NEIvqBvt2FaQikJKZTASpQt+i9SGdQU/O52mEdxAgBjQtQlQKnYE&#10;XRlT2qByy7rs2Epv3DdRFnyaXqSUR9kEkqcX2WBQu+TnafhxJvSa+hw1Zw7wpcE6ahRKEiBDDnui&#10;Ky3kjyFLbWsxsJ9EmEPGFB0LBSOZaB3xTA5qhB32q541RDWbjFKtoHwlBYlP1MdbedcQj3vh8Uk4&#10;6maiTROKj7RUGqhCsNtxVoP79bfzEE9NRl7OOpqOgvufG+EUZ/qrofa7zCYTgsVoTKbnORnu2LM6&#10;9phNewMkXUZvgZVxG+JRj9vKQftCg7wIt5JLGEl3F1yiG40bHKaWngKpFosYRiNkBd6bpZUBfFTg&#10;uX8Rzu5aDalLH2CcJDF713FDbPjSwGKDUDWxHUOph7qSHsGg8YvK7J6KMN/Hdow6PGjzNwAAAP//&#10;AwBQSwMEFAAGAAgAAAAhAMkv9Y/fAAAACgEAAA8AAABkcnMvZG93bnJldi54bWxMj8FOwzAQRO9I&#10;/IO1SNyoQ9KUKMSpgApxRA2gws2NTRwRryPbacLfs5zgtqN5mp2ptosd2En70DsUcL1KgGlsneqx&#10;E/D68nhVAAtRopKDQy3gWwfY1udnlSyVm3GvT03sGIVgKKUAE+NYch5ao60MKzdqJO/TeSsjSd9x&#10;5eVM4XbgaZJsuJU90gcjR/1gdPvVTFbAx/3GrN/SXdo8z41f3vPDtDs8CXF5sdzdAot6iX8w/Nan&#10;6lBTp6ObUAU2CMizYk0oGQltIqC4yeg4CkizLAdeV/z/hPoHAAD//wMAUEsBAi0AFAAGAAgAAAAh&#10;ALaDOJL+AAAA4QEAABMAAAAAAAAAAAAAAAAAAAAAAFtDb250ZW50X1R5cGVzXS54bWxQSwECLQAU&#10;AAYACAAAACEAOP0h/9YAAACUAQAACwAAAAAAAAAAAAAAAAAvAQAAX3JlbHMvLnJlbHNQSwECLQAU&#10;AAYACAAAACEAFN8dZ44CAAAYBQAADgAAAAAAAAAAAAAAAAAuAgAAZHJzL2Uyb0RvYy54bWxQSwEC&#10;LQAUAAYACAAAACEAyS/1j98AAAAKAQAADwAAAAAAAAAAAAAAAADoBAAAZHJzL2Rvd25yZXYueG1s&#10;UEsFBgAAAAAEAAQA8wAAAPQFAAAAAA==&#10;" fillcolor="#06357a [3204]" stroked="f" strokeweight=".5pt">
                <v:shadow on="t" color="black" opacity="26214f" origin="-.5,-.5" offset=".74836mm,.74836mm"/>
                <v:textbox>
                  <w:txbxContent>
                    <w:p w14:paraId="4CA0E03C" w14:textId="77777777" w:rsidR="00B91716" w:rsidRPr="003541E0" w:rsidRDefault="00B91716" w:rsidP="00B91716">
                      <w:pPr>
                        <w:pStyle w:val="Quote"/>
                        <w:spacing w:before="0" w:after="0"/>
                        <w:jc w:val="center"/>
                        <w:rPr>
                          <w:rFonts w:eastAsia="Times New Roman"/>
                          <w:b/>
                          <w:bCs/>
                          <w:i w:val="0"/>
                          <w:iCs w:val="0"/>
                          <w:color w:val="FFFFFF" w:themeColor="background1"/>
                          <w:sz w:val="28"/>
                          <w:szCs w:val="28"/>
                        </w:rPr>
                      </w:pPr>
                      <w:r w:rsidRPr="0078056B">
                        <w:rPr>
                          <w:rFonts w:eastAsia="Times New Roman"/>
                          <w:b/>
                          <w:bCs/>
                          <w:i w:val="0"/>
                          <w:iCs w:val="0"/>
                          <w:color w:val="FFFFFF" w:themeColor="background1"/>
                          <w:sz w:val="28"/>
                          <w:szCs w:val="28"/>
                        </w:rPr>
                        <w:t>The impact of the export income generated by the 2021-22 University of Birmingham student cohort stood at £690 million.</w:t>
                      </w:r>
                    </w:p>
                  </w:txbxContent>
                </v:textbox>
                <w10:wrap type="tight" anchorx="margin"/>
              </v:shape>
            </w:pict>
          </mc:Fallback>
        </mc:AlternateContent>
      </w:r>
      <w:r w:rsidRPr="0078056B">
        <w:t xml:space="preserve">In terms of the breakdown by type of income from international sources, </w:t>
      </w:r>
      <w:r w:rsidRPr="0078056B">
        <w:rPr>
          <w:rFonts w:eastAsia="Times New Roman" w:cs="Microsoft Sans Serif"/>
          <w:b/>
          <w:color w:val="06357A"/>
        </w:rPr>
        <w:t>£363 million</w:t>
      </w:r>
      <w:r w:rsidRPr="0078056B">
        <w:rPr>
          <w:sz w:val="20"/>
          <w:szCs w:val="20"/>
        </w:rPr>
        <w:t xml:space="preserve"> </w:t>
      </w:r>
      <w:r w:rsidRPr="0078056B">
        <w:t xml:space="preserve">of this impact was associated with international students’ (net) </w:t>
      </w:r>
      <w:r w:rsidRPr="0078056B">
        <w:rPr>
          <w:rFonts w:eastAsia="Times New Roman" w:cs="Microsoft Sans Serif"/>
          <w:b/>
          <w:color w:val="06357A"/>
        </w:rPr>
        <w:t>tuition fees</w:t>
      </w:r>
      <w:r w:rsidRPr="0078056B">
        <w:t xml:space="preserve">, and </w:t>
      </w:r>
      <w:r w:rsidRPr="0078056B">
        <w:rPr>
          <w:rFonts w:eastAsia="Times New Roman" w:cs="Microsoft Sans Serif"/>
          <w:b/>
          <w:color w:val="06357A"/>
        </w:rPr>
        <w:t>£327 million</w:t>
      </w:r>
      <w:r w:rsidRPr="0078056B">
        <w:rPr>
          <w:sz w:val="20"/>
          <w:szCs w:val="20"/>
        </w:rPr>
        <w:t xml:space="preserve"> </w:t>
      </w:r>
      <w:r w:rsidRPr="0078056B">
        <w:t xml:space="preserve">was associated with these students’ </w:t>
      </w:r>
      <w:r w:rsidRPr="0078056B">
        <w:rPr>
          <w:rFonts w:eastAsia="Times New Roman" w:cs="Microsoft Sans Serif"/>
          <w:b/>
          <w:color w:val="06357A"/>
        </w:rPr>
        <w:t>non-tuition fee expenditures</w:t>
      </w:r>
      <w:r w:rsidRPr="0078056B">
        <w:rPr>
          <w:sz w:val="20"/>
          <w:szCs w:val="20"/>
        </w:rPr>
        <w:t xml:space="preserve"> </w:t>
      </w:r>
      <w:r w:rsidRPr="0078056B">
        <w:t>over the duration of their studies at the University of Birmingham.</w:t>
      </w:r>
    </w:p>
    <w:p w14:paraId="20D223A8" w14:textId="77777777" w:rsidR="00B91716" w:rsidRPr="0078056B" w:rsidRDefault="00B91716" w:rsidP="00B91716">
      <w:pPr>
        <w:pStyle w:val="MinorBullet1"/>
        <w:numPr>
          <w:ilvl w:val="0"/>
          <w:numId w:val="21"/>
        </w:numPr>
      </w:pPr>
      <w:r w:rsidRPr="0078056B">
        <w:t>In terms of the breakdown by region, most of this impact (</w:t>
      </w:r>
      <w:r w:rsidRPr="0078056B">
        <w:rPr>
          <w:rFonts w:eastAsia="Times New Roman" w:cs="Microsoft Sans Serif"/>
          <w:b/>
          <w:color w:val="06357A"/>
        </w:rPr>
        <w:t>£446 million</w:t>
      </w:r>
      <w:r w:rsidRPr="0078056B">
        <w:t xml:space="preserve">, </w:t>
      </w:r>
      <w:r w:rsidRPr="0078056B">
        <w:rPr>
          <w:rFonts w:eastAsia="Times New Roman" w:cs="Microsoft Sans Serif"/>
          <w:b/>
          <w:color w:val="06357A"/>
        </w:rPr>
        <w:t>65%</w:t>
      </w:r>
      <w:r w:rsidRPr="0078056B">
        <w:t xml:space="preserve">) was generated in </w:t>
      </w:r>
      <w:r w:rsidRPr="0078056B">
        <w:rPr>
          <w:rFonts w:eastAsia="Times New Roman" w:cs="Microsoft Sans Serif"/>
          <w:b/>
          <w:color w:val="06357A"/>
        </w:rPr>
        <w:t>the West Midlands</w:t>
      </w:r>
      <w:r w:rsidRPr="0078056B">
        <w:t xml:space="preserve">, with the remaining </w:t>
      </w:r>
      <w:r w:rsidRPr="0078056B">
        <w:rPr>
          <w:rFonts w:eastAsia="Times New Roman" w:cs="Microsoft Sans Serif"/>
          <w:b/>
          <w:color w:val="06357A"/>
        </w:rPr>
        <w:t>£244 million</w:t>
      </w:r>
      <w:r w:rsidRPr="0078056B">
        <w:t xml:space="preserve"> (</w:t>
      </w:r>
      <w:r w:rsidRPr="0078056B">
        <w:rPr>
          <w:rFonts w:eastAsia="Times New Roman" w:cs="Microsoft Sans Serif"/>
          <w:b/>
          <w:color w:val="06357A"/>
        </w:rPr>
        <w:t>35%</w:t>
      </w:r>
      <w:r w:rsidRPr="0078056B">
        <w:t xml:space="preserve">) occurring in </w:t>
      </w:r>
      <w:r w:rsidRPr="0078056B">
        <w:rPr>
          <w:rFonts w:eastAsia="Times New Roman" w:cs="Microsoft Sans Serif"/>
          <w:b/>
          <w:color w:val="06357A"/>
        </w:rPr>
        <w:t>other regions</w:t>
      </w:r>
      <w:r w:rsidRPr="0078056B">
        <w:rPr>
          <w:sz w:val="20"/>
          <w:szCs w:val="20"/>
        </w:rPr>
        <w:t xml:space="preserve"> </w:t>
      </w:r>
      <w:r w:rsidRPr="0078056B">
        <w:t>across the UK.</w:t>
      </w:r>
    </w:p>
    <w:p w14:paraId="38AE9EDA" w14:textId="77777777" w:rsidR="00B91716" w:rsidRPr="0078056B" w:rsidRDefault="00B91716" w:rsidP="00B91716">
      <w:pPr>
        <w:pStyle w:val="MinorBullet1"/>
        <w:numPr>
          <w:ilvl w:val="0"/>
          <w:numId w:val="21"/>
        </w:numPr>
      </w:pPr>
      <w:r w:rsidRPr="0078056B">
        <w:t xml:space="preserve">In terms of sector, the tuition fee and non-tuition fee income generated from the University of Birmingham’s international students generated particularly large impacts within the </w:t>
      </w:r>
      <w:r w:rsidRPr="0078056B">
        <w:rPr>
          <w:rFonts w:eastAsia="Times New Roman" w:cs="Microsoft Sans Serif"/>
          <w:b/>
          <w:color w:val="06357A"/>
        </w:rPr>
        <w:t>government, health, and education sector</w:t>
      </w:r>
      <w:r w:rsidRPr="0078056B">
        <w:rPr>
          <w:sz w:val="20"/>
          <w:szCs w:val="20"/>
        </w:rPr>
        <w:t xml:space="preserve"> </w:t>
      </w:r>
      <w:r w:rsidRPr="0078056B">
        <w:t>(</w:t>
      </w:r>
      <w:r w:rsidRPr="0078056B">
        <w:rPr>
          <w:rFonts w:eastAsia="Times New Roman" w:cs="Microsoft Sans Serif"/>
          <w:b/>
          <w:color w:val="06357A"/>
        </w:rPr>
        <w:t>£205 million</w:t>
      </w:r>
      <w:r w:rsidRPr="0078056B">
        <w:t xml:space="preserve"> (</w:t>
      </w:r>
      <w:r w:rsidRPr="0078056B">
        <w:rPr>
          <w:rFonts w:eastAsia="Times New Roman" w:cs="Microsoft Sans Serif"/>
          <w:b/>
          <w:color w:val="06357A"/>
        </w:rPr>
        <w:t>30%</w:t>
      </w:r>
      <w:r w:rsidRPr="0078056B">
        <w:t xml:space="preserve">), given that the cohort’s tuition fee income is accrued as income by the University of Birmingham itself). In addition, there are relatively large impacts felt within the </w:t>
      </w:r>
      <w:r w:rsidRPr="0078056B">
        <w:rPr>
          <w:rFonts w:eastAsia="Times New Roman" w:cs="Microsoft Sans Serif"/>
          <w:b/>
          <w:color w:val="06357A"/>
        </w:rPr>
        <w:t>distribution, transport, hotel, and restaurant sector</w:t>
      </w:r>
      <w:r w:rsidRPr="0078056B">
        <w:t xml:space="preserve"> (</w:t>
      </w:r>
      <w:r w:rsidRPr="0078056B">
        <w:rPr>
          <w:rFonts w:eastAsia="Times New Roman" w:cs="Microsoft Sans Serif"/>
          <w:b/>
          <w:color w:val="06357A"/>
        </w:rPr>
        <w:t>£124 million</w:t>
      </w:r>
      <w:r w:rsidRPr="0078056B">
        <w:t xml:space="preserve">, </w:t>
      </w:r>
      <w:r w:rsidRPr="0078056B">
        <w:rPr>
          <w:rFonts w:eastAsia="Times New Roman" w:cs="Microsoft Sans Serif"/>
          <w:b/>
          <w:color w:val="06357A"/>
        </w:rPr>
        <w:t>18%</w:t>
      </w:r>
      <w:r w:rsidRPr="0078056B">
        <w:t xml:space="preserve">), and the </w:t>
      </w:r>
      <w:r w:rsidRPr="0078056B">
        <w:rPr>
          <w:rFonts w:eastAsia="Times New Roman" w:cs="Microsoft Sans Serif"/>
          <w:b/>
          <w:color w:val="06357A"/>
        </w:rPr>
        <w:t>production industry</w:t>
      </w:r>
      <w:r w:rsidRPr="0078056B">
        <w:rPr>
          <w:sz w:val="20"/>
          <w:szCs w:val="20"/>
        </w:rPr>
        <w:t xml:space="preserve"> </w:t>
      </w:r>
      <w:r w:rsidRPr="0078056B">
        <w:t>(</w:t>
      </w:r>
      <w:r w:rsidRPr="0078056B">
        <w:rPr>
          <w:rFonts w:eastAsia="Times New Roman" w:cs="Microsoft Sans Serif"/>
          <w:b/>
          <w:color w:val="06357A"/>
        </w:rPr>
        <w:t>£100 million, 14%</w:t>
      </w:r>
      <w:r w:rsidRPr="0078056B">
        <w:t>)</w:t>
      </w:r>
      <w:r w:rsidRPr="0078056B">
        <w:rPr>
          <w:vertAlign w:val="superscript"/>
        </w:rPr>
        <w:footnoteReference w:id="72"/>
      </w:r>
      <w:r w:rsidRPr="0078056B">
        <w:t>.</w:t>
      </w:r>
    </w:p>
    <w:p w14:paraId="4EDAB8FB" w14:textId="2AEEA930" w:rsidR="00FA48AB" w:rsidRPr="0078056B" w:rsidRDefault="00B91716" w:rsidP="00C0122A">
      <w:r w:rsidRPr="0078056B">
        <w:t xml:space="preserve">The impact in terms of gross value added was estimated at </w:t>
      </w:r>
      <w:r w:rsidRPr="0078056B">
        <w:rPr>
          <w:rFonts w:eastAsia="Times New Roman" w:cs="Microsoft Sans Serif"/>
          <w:b/>
          <w:color w:val="06357A"/>
        </w:rPr>
        <w:t>£420 million</w:t>
      </w:r>
      <w:r w:rsidRPr="0078056B">
        <w:rPr>
          <w:sz w:val="20"/>
          <w:szCs w:val="20"/>
        </w:rPr>
        <w:t xml:space="preserve"> </w:t>
      </w:r>
      <w:r w:rsidRPr="0078056B">
        <w:t xml:space="preserve">across the UK economy as a whole (with </w:t>
      </w:r>
      <w:r w:rsidRPr="0078056B">
        <w:rPr>
          <w:rFonts w:eastAsia="Times New Roman" w:cs="Microsoft Sans Serif"/>
          <w:b/>
          <w:color w:val="06357A"/>
        </w:rPr>
        <w:t>£284 million</w:t>
      </w:r>
      <w:r w:rsidRPr="0078056B">
        <w:rPr>
          <w:sz w:val="20"/>
          <w:szCs w:val="20"/>
        </w:rPr>
        <w:t xml:space="preserve"> </w:t>
      </w:r>
      <w:r w:rsidRPr="0078056B">
        <w:t xml:space="preserve">generated within the West Midlands), while the corresponding estimates in terms of employment stood at </w:t>
      </w:r>
      <w:r w:rsidRPr="0078056B">
        <w:rPr>
          <w:rFonts w:eastAsia="Times New Roman" w:cs="Microsoft Sans Serif"/>
          <w:b/>
          <w:color w:val="06357A"/>
        </w:rPr>
        <w:t>6,355 full-time equivalent jobs</w:t>
      </w:r>
      <w:r w:rsidRPr="0078056B">
        <w:rPr>
          <w:sz w:val="20"/>
          <w:szCs w:val="20"/>
        </w:rPr>
        <w:t xml:space="preserve"> </w:t>
      </w:r>
      <w:r w:rsidRPr="0078056B">
        <w:t xml:space="preserve">across the UK as a whole, with </w:t>
      </w:r>
      <w:r w:rsidRPr="0078056B">
        <w:rPr>
          <w:rFonts w:eastAsia="Times New Roman" w:cs="Microsoft Sans Serif"/>
          <w:b/>
          <w:color w:val="06357A"/>
        </w:rPr>
        <w:t>4,465</w:t>
      </w:r>
      <w:r w:rsidRPr="0078056B">
        <w:t xml:space="preserve"> jobs supported across the West Midlands.</w:t>
      </w:r>
      <w:r w:rsidR="00FA48AB" w:rsidRPr="0078056B">
        <w:br w:type="page"/>
      </w:r>
    </w:p>
    <w:p w14:paraId="59DE78BA" w14:textId="11F824D9" w:rsidR="00AF18BB" w:rsidRPr="0078056B" w:rsidRDefault="00AF18BB" w:rsidP="00AF18BB">
      <w:pPr>
        <w:pStyle w:val="Heading1"/>
      </w:pPr>
      <w:bookmarkStart w:id="280" w:name="_Ref162251984"/>
      <w:bookmarkStart w:id="281" w:name="_Toc168652132"/>
      <w:r w:rsidRPr="0078056B">
        <w:rPr>
          <w:rStyle w:val="HeaderRepeat"/>
        </w:rPr>
        <w:lastRenderedPageBreak/>
        <w:t>The impact of the University of Birmingham’s expenditures</w:t>
      </w:r>
      <w:bookmarkEnd w:id="280"/>
      <w:bookmarkEnd w:id="281"/>
    </w:p>
    <w:p w14:paraId="1574CDBB" w14:textId="125737DD" w:rsidR="00383BF9" w:rsidRPr="0078056B" w:rsidRDefault="00383BF9" w:rsidP="00383BF9">
      <w:pPr>
        <w:rPr>
          <w:rFonts w:eastAsia="Calibri" w:cs="Times New Roman"/>
        </w:rPr>
      </w:pPr>
      <w:r w:rsidRPr="0078056B">
        <w:t xml:space="preserve">In </w:t>
      </w:r>
      <w:r w:rsidRPr="0078056B">
        <w:rPr>
          <w:rFonts w:eastAsia="Calibri" w:cs="Times New Roman"/>
        </w:rPr>
        <w:t xml:space="preserve">this section, we outline our estimates of the </w:t>
      </w:r>
      <w:r w:rsidRPr="0078056B">
        <w:rPr>
          <w:rFonts w:eastAsia="Calibri" w:cs="Times New Roman"/>
          <w:b/>
          <w:bCs/>
          <w:color w:val="06357A"/>
        </w:rPr>
        <w:t>direct, indirect, and induced impacts</w:t>
      </w:r>
      <w:r w:rsidRPr="0078056B">
        <w:rPr>
          <w:rFonts w:eastAsia="Calibri" w:cs="Times New Roman"/>
        </w:rPr>
        <w:t xml:space="preserve"> associated with the operational and capital expenditures of </w:t>
      </w:r>
      <w:r w:rsidRPr="0078056B">
        <w:t>the University of Birmingham</w:t>
      </w:r>
      <w:r w:rsidRPr="0078056B">
        <w:rPr>
          <w:rFonts w:eastAsia="Calibri" w:cs="Times New Roman"/>
        </w:rPr>
        <w:t xml:space="preserve">. Analyses of these impacts consider universities as economic units creating output within their local economies by purchasing products and services from their suppliers and hiring employees. Similar to the impact </w:t>
      </w:r>
      <w:r w:rsidR="000E29D6" w:rsidRPr="0078056B">
        <w:t xml:space="preserve">associated with the University’s research </w:t>
      </w:r>
      <w:r w:rsidR="004F17FC" w:rsidRPr="0078056B">
        <w:t xml:space="preserve">and </w:t>
      </w:r>
      <w:r w:rsidR="000E29D6" w:rsidRPr="0078056B">
        <w:t xml:space="preserve">knowledge exchange activities (see Section </w:t>
      </w:r>
      <w:r w:rsidR="000E29D6" w:rsidRPr="0078056B">
        <w:fldChar w:fldCharType="begin"/>
      </w:r>
      <w:r w:rsidR="000E29D6" w:rsidRPr="0078056B">
        <w:instrText xml:space="preserve"> REF _Ref162258996 \r \h </w:instrText>
      </w:r>
      <w:r w:rsidR="0078056B">
        <w:instrText xml:space="preserve"> \* MERGEFORMAT </w:instrText>
      </w:r>
      <w:r w:rsidR="000E29D6" w:rsidRPr="0078056B">
        <w:fldChar w:fldCharType="separate"/>
      </w:r>
      <w:r w:rsidR="00E33157">
        <w:t>2</w:t>
      </w:r>
      <w:r w:rsidR="000E29D6" w:rsidRPr="0078056B">
        <w:fldChar w:fldCharType="end"/>
      </w:r>
      <w:r w:rsidR="000E29D6" w:rsidRPr="0078056B">
        <w:t xml:space="preserve">), </w:t>
      </w:r>
      <w:r w:rsidR="00951772" w:rsidRPr="0078056B">
        <w:t>educational exports</w:t>
      </w:r>
      <w:r w:rsidR="000E29D6" w:rsidRPr="0078056B">
        <w:t xml:space="preserve"> (see Section 4) and tourism impact (see Section 6)</w:t>
      </w:r>
      <w:r w:rsidRPr="0078056B">
        <w:rPr>
          <w:rFonts w:eastAsia="Calibri" w:cs="Times New Roman"/>
        </w:rPr>
        <w:t xml:space="preserve">, </w:t>
      </w:r>
      <w:r w:rsidRPr="0078056B">
        <w:t xml:space="preserve">the </w:t>
      </w:r>
      <w:r w:rsidRPr="0078056B">
        <w:rPr>
          <w:rFonts w:eastAsia="Times New Roman" w:cs="Microsoft Sans Serif"/>
        </w:rPr>
        <w:t>direct</w:t>
      </w:r>
      <w:r w:rsidRPr="0078056B">
        <w:rPr>
          <w:bCs/>
        </w:rPr>
        <w:t xml:space="preserve">, </w:t>
      </w:r>
      <w:r w:rsidRPr="0078056B">
        <w:rPr>
          <w:rFonts w:eastAsia="Times New Roman" w:cs="Microsoft Sans Serif"/>
        </w:rPr>
        <w:t>indirect,</w:t>
      </w:r>
      <w:r w:rsidRPr="0078056B">
        <w:t xml:space="preserve"> and </w:t>
      </w:r>
      <w:r w:rsidRPr="0078056B">
        <w:rPr>
          <w:rFonts w:eastAsia="Times New Roman" w:cs="Microsoft Sans Serif"/>
        </w:rPr>
        <w:t>induced</w:t>
      </w:r>
      <w:r w:rsidRPr="0078056B">
        <w:t xml:space="preserve"> economic impacts of a university’s expenditures are defined as follows</w:t>
      </w:r>
      <w:r w:rsidRPr="0078056B">
        <w:rPr>
          <w:rFonts w:eastAsia="Calibri" w:cs="Times New Roman"/>
        </w:rPr>
        <w:t>:</w:t>
      </w:r>
    </w:p>
    <w:p w14:paraId="3D0547FD" w14:textId="77777777" w:rsidR="00383BF9" w:rsidRPr="0078056B" w:rsidRDefault="00383BF9" w:rsidP="00383BF9">
      <w:pPr>
        <w:pStyle w:val="MinorBullet1"/>
        <w:numPr>
          <w:ilvl w:val="0"/>
          <w:numId w:val="21"/>
        </w:numPr>
      </w:pPr>
      <w:r w:rsidRPr="0078056B">
        <w:rPr>
          <w:b/>
          <w:color w:val="06357A"/>
        </w:rPr>
        <w:t>Direct effect</w:t>
      </w:r>
      <w:r w:rsidRPr="0078056B">
        <w:rPr>
          <w:b/>
        </w:rPr>
        <w:t xml:space="preserve">: </w:t>
      </w:r>
      <w:r w:rsidRPr="0078056B">
        <w:t>This considers the economic output generated by the University of Birmingham itself, by purchasing goods and services (including labour) from the economy in which it operates.</w:t>
      </w:r>
    </w:p>
    <w:p w14:paraId="0EA79293" w14:textId="77777777" w:rsidR="00383BF9" w:rsidRPr="0078056B" w:rsidRDefault="00383BF9" w:rsidP="00383BF9">
      <w:pPr>
        <w:pStyle w:val="MinorBullet1"/>
        <w:numPr>
          <w:ilvl w:val="0"/>
          <w:numId w:val="21"/>
        </w:numPr>
      </w:pPr>
      <w:r w:rsidRPr="0078056B">
        <w:rPr>
          <w:b/>
          <w:color w:val="06357A"/>
        </w:rPr>
        <w:t>Indirect effect</w:t>
      </w:r>
      <w:r w:rsidRPr="0078056B">
        <w:rPr>
          <w:b/>
        </w:rPr>
        <w:t xml:space="preserve">: </w:t>
      </w:r>
      <w:r w:rsidRPr="0078056B">
        <w:t>The University of Birmingham’s purchases generate income for the supplying industries, which they in turn spend on their own purchases from suppliers to meet the University’s demands. This again results in a chain reaction of subsequent rounds of spending across industries, also referred to as a ‘ripple effect’.</w:t>
      </w:r>
    </w:p>
    <w:p w14:paraId="4DAEC6D3" w14:textId="77777777" w:rsidR="00383BF9" w:rsidRPr="0078056B" w:rsidRDefault="00383BF9" w:rsidP="00383BF9">
      <w:pPr>
        <w:pStyle w:val="MinorBullet1"/>
        <w:numPr>
          <w:ilvl w:val="0"/>
          <w:numId w:val="21"/>
        </w:numPr>
      </w:pPr>
      <w:r w:rsidRPr="0078056B">
        <w:rPr>
          <w:b/>
          <w:color w:val="06357A"/>
        </w:rPr>
        <w:t>Induced effect</w:t>
      </w:r>
      <w:r w:rsidRPr="0078056B">
        <w:t>: The employees of the University of Birmingham and of businesses operating in the University’s supply chain use their wages to buy consumer goods and services within the economy. This in turn generates wage income for employees within the industries producing these goods and services, who then spend their own income on goods and services – leading to a further ‘ripple effect’ throughout the economy as a whole.</w:t>
      </w:r>
    </w:p>
    <w:p w14:paraId="450E7A0C" w14:textId="3DF95D33" w:rsidR="00383BF9" w:rsidRPr="0078056B" w:rsidRDefault="00383BF9" w:rsidP="00383BF9">
      <w:pPr>
        <w:rPr>
          <w:rFonts w:eastAsia="Calibri" w:cs="Times New Roman"/>
        </w:rPr>
      </w:pPr>
      <w:r w:rsidRPr="0078056B">
        <w:rPr>
          <w:rFonts w:eastAsia="Calibri" w:cs="Times New Roman"/>
        </w:rPr>
        <w:t>In line with the other strands of impact, the analysis focuses on the 2021-22 academic year. As with the direct, indirect and induced impact of the University’s research and knowledge exchange activities</w:t>
      </w:r>
      <w:r w:rsidR="000E29D6" w:rsidRPr="0078056B">
        <w:rPr>
          <w:rFonts w:eastAsia="Calibri" w:cs="Times New Roman"/>
        </w:rPr>
        <w:t>,</w:t>
      </w:r>
      <w:r w:rsidRPr="0078056B">
        <w:rPr>
          <w:rFonts w:eastAsia="Calibri" w:cs="Times New Roman"/>
        </w:rPr>
        <w:t xml:space="preserve"> educational export</w:t>
      </w:r>
      <w:r w:rsidR="000E29D6" w:rsidRPr="0078056B">
        <w:rPr>
          <w:rFonts w:eastAsia="Calibri" w:cs="Times New Roman"/>
        </w:rPr>
        <w:t>s and tourism</w:t>
      </w:r>
      <w:r w:rsidR="00C26610" w:rsidRPr="0078056B">
        <w:rPr>
          <w:rFonts w:eastAsia="Calibri" w:cs="Times New Roman"/>
        </w:rPr>
        <w:t>,</w:t>
      </w:r>
      <w:r w:rsidRPr="0078056B">
        <w:rPr>
          <w:rFonts w:eastAsia="Calibri" w:cs="Times New Roman"/>
        </w:rPr>
        <w:t xml:space="preserve"> these impacts can be measured in terms of </w:t>
      </w:r>
      <w:r w:rsidRPr="0078056B">
        <w:rPr>
          <w:rFonts w:eastAsia="Calibri" w:cs="Times New Roman"/>
          <w:bCs/>
        </w:rPr>
        <w:t xml:space="preserve">economic output, gross value added, and FTE employment. </w:t>
      </w:r>
    </w:p>
    <w:p w14:paraId="576CFFB1" w14:textId="77777777" w:rsidR="00383BF9" w:rsidRPr="0078056B" w:rsidRDefault="00383BF9" w:rsidP="00383BF9">
      <w:pPr>
        <w:pStyle w:val="Heading2"/>
      </w:pPr>
      <w:bookmarkStart w:id="282" w:name="_Toc160794510"/>
      <w:bookmarkStart w:id="283" w:name="_Toc168652133"/>
      <w:r w:rsidRPr="0078056B">
        <w:t>Direct impact of the University’s expenditures</w:t>
      </w:r>
      <w:bookmarkEnd w:id="282"/>
      <w:bookmarkEnd w:id="283"/>
    </w:p>
    <w:p w14:paraId="0B9A0145" w14:textId="77777777" w:rsidR="00383BF9" w:rsidRPr="0078056B" w:rsidRDefault="00383BF9" w:rsidP="00383BF9">
      <w:pPr>
        <w:pStyle w:val="Heading3"/>
      </w:pPr>
      <w:r w:rsidRPr="0078056B">
        <w:t>Gross direct impact of the University’s expenditures</w:t>
      </w:r>
    </w:p>
    <w:p w14:paraId="2E2F70FC" w14:textId="77777777" w:rsidR="00383BF9" w:rsidRPr="0078056B" w:rsidRDefault="00383BF9" w:rsidP="00383BF9">
      <w:pPr>
        <w:spacing w:before="0" w:after="120"/>
        <w:rPr>
          <w:rFonts w:asciiTheme="minorHAnsi" w:hAnsiTheme="minorHAnsi"/>
        </w:rPr>
      </w:pPr>
      <w:r w:rsidRPr="0078056B">
        <w:rPr>
          <w:rFonts w:asciiTheme="minorHAnsi" w:hAnsiTheme="minorHAnsi"/>
        </w:rPr>
        <w:t xml:space="preserve">To measure the direct economic impact of the purchases of goods, services, and labour by </w:t>
      </w:r>
      <w:r w:rsidRPr="0078056B">
        <w:t>the University of Birmingham,</w:t>
      </w:r>
      <w:r w:rsidRPr="0078056B">
        <w:rPr>
          <w:rFonts w:asciiTheme="minorHAnsi" w:hAnsiTheme="minorHAnsi"/>
        </w:rPr>
        <w:t xml:space="preserve"> we used information on </w:t>
      </w:r>
      <w:r w:rsidRPr="0078056B">
        <w:t xml:space="preserve">the </w:t>
      </w:r>
      <w:r w:rsidRPr="0078056B">
        <w:rPr>
          <w:rFonts w:asciiTheme="minorHAnsi" w:hAnsiTheme="minorHAnsi"/>
        </w:rPr>
        <w:t>University’s operational expenditures (including staff and non-staff spending), capital expenditures, as well as the number of staff employed (in terms of full-time equivalent employees), for the 2021-22 academic year</w:t>
      </w:r>
      <w:r w:rsidRPr="0078056B">
        <w:rPr>
          <w:rStyle w:val="FootnoteReference"/>
          <w:rFonts w:asciiTheme="minorHAnsi" w:hAnsiTheme="minorHAnsi"/>
        </w:rPr>
        <w:footnoteReference w:id="73"/>
      </w:r>
      <w:r w:rsidRPr="0078056B">
        <w:rPr>
          <w:rFonts w:asciiTheme="minorHAnsi" w:hAnsiTheme="minorHAnsi"/>
        </w:rPr>
        <w:t>.</w:t>
      </w:r>
    </w:p>
    <w:p w14:paraId="6D0E40DF" w14:textId="1E28E124" w:rsidR="00383BF9" w:rsidRPr="0078056B" w:rsidRDefault="00383BF9" w:rsidP="00383BF9">
      <w:r w:rsidRPr="0078056B">
        <w:t xml:space="preserve">Based on this, in terms of monetary economic </w:t>
      </w:r>
      <w:r w:rsidRPr="0078056B">
        <w:rPr>
          <w:rFonts w:eastAsia="Calibri" w:cs="Times New Roman"/>
          <w:b/>
          <w:color w:val="06357A"/>
        </w:rPr>
        <w:t>output</w:t>
      </w:r>
      <w:r w:rsidRPr="0078056B">
        <w:rPr>
          <w:rFonts w:eastAsia="Times New Roman" w:cs="Microsoft Sans Serif"/>
          <w:b/>
          <w:color w:val="06357A"/>
        </w:rPr>
        <w:t xml:space="preserve"> </w:t>
      </w:r>
      <w:r w:rsidRPr="0078056B">
        <w:rPr>
          <w:rFonts w:eastAsia="Times New Roman" w:cs="Microsoft Sans Serif"/>
          <w:bCs/>
        </w:rPr>
        <w:t>(</w:t>
      </w:r>
      <w:r w:rsidRPr="0078056B">
        <w:t xml:space="preserve">measured in terms of expenditure), </w:t>
      </w:r>
      <w:r w:rsidRPr="0078056B">
        <w:rPr>
          <w:rFonts w:eastAsia="Calibri" w:cs="Times New Roman"/>
          <w:b/>
          <w:color w:val="06357A"/>
        </w:rPr>
        <w:t>the gross direct economic impact</w:t>
      </w:r>
      <w:r w:rsidRPr="0078056B">
        <w:t xml:space="preserve"> associated with the University of Birmingham’s expenditures stood at approximately </w:t>
      </w:r>
      <w:r w:rsidRPr="0078056B">
        <w:rPr>
          <w:rFonts w:eastAsia="Calibri" w:cs="Times New Roman"/>
          <w:b/>
          <w:color w:val="06357A"/>
        </w:rPr>
        <w:t xml:space="preserve">£872 million </w:t>
      </w:r>
      <w:r w:rsidRPr="0078056B">
        <w:t xml:space="preserve">in the 2021-22 academic year (see </w:t>
      </w:r>
      <w:r w:rsidRPr="0078056B">
        <w:fldChar w:fldCharType="begin"/>
      </w:r>
      <w:r w:rsidRPr="0078056B">
        <w:instrText xml:space="preserve"> REF _Ref76118258 \r \h  \* MERGEFORMAT </w:instrText>
      </w:r>
      <w:r w:rsidRPr="0078056B">
        <w:fldChar w:fldCharType="separate"/>
      </w:r>
      <w:r w:rsidR="00E33157">
        <w:t>Figure 26</w:t>
      </w:r>
      <w:r w:rsidRPr="0078056B">
        <w:fldChar w:fldCharType="end"/>
      </w:r>
      <w:r w:rsidRPr="0078056B">
        <w:t xml:space="preserve">). This includes </w:t>
      </w:r>
      <w:r w:rsidRPr="0078056B">
        <w:rPr>
          <w:rFonts w:eastAsia="Calibri" w:cs="Times New Roman"/>
          <w:b/>
          <w:color w:val="06357A"/>
        </w:rPr>
        <w:t>£440 million</w:t>
      </w:r>
      <w:r w:rsidRPr="0078056B">
        <w:rPr>
          <w:color w:val="06357A"/>
        </w:rPr>
        <w:t xml:space="preserve"> </w:t>
      </w:r>
      <w:r w:rsidRPr="0078056B">
        <w:t xml:space="preserve">of operating expenditure on staff related costs, </w:t>
      </w:r>
      <w:r w:rsidRPr="0078056B">
        <w:rPr>
          <w:rFonts w:eastAsia="Calibri" w:cs="Times New Roman"/>
          <w:b/>
          <w:color w:val="06357A"/>
        </w:rPr>
        <w:t xml:space="preserve">£329 million </w:t>
      </w:r>
      <w:r w:rsidRPr="0078056B">
        <w:t>of expenditure on other (non-staff) operating expenses</w:t>
      </w:r>
      <w:bookmarkStart w:id="284" w:name="_Ref46482336"/>
      <w:r w:rsidRPr="0078056B">
        <w:rPr>
          <w:rStyle w:val="FootnoteReference"/>
          <w:rFonts w:asciiTheme="minorHAnsi" w:hAnsiTheme="minorHAnsi"/>
        </w:rPr>
        <w:footnoteReference w:id="74"/>
      </w:r>
      <w:bookmarkEnd w:id="284"/>
      <w:r w:rsidRPr="0078056B">
        <w:t xml:space="preserve">, as well as </w:t>
      </w:r>
      <w:r w:rsidRPr="0078056B">
        <w:rPr>
          <w:rFonts w:eastAsia="Calibri" w:cs="Times New Roman"/>
          <w:b/>
          <w:color w:val="06357A"/>
        </w:rPr>
        <w:t>£103 million</w:t>
      </w:r>
      <w:r w:rsidRPr="0078056B">
        <w:rPr>
          <w:color w:val="06357A"/>
        </w:rPr>
        <w:t xml:space="preserve"> </w:t>
      </w:r>
      <w:r w:rsidRPr="0078056B">
        <w:t>of capital expenditure incurred in that academic year.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383BF9" w:rsidRPr="0078056B" w14:paraId="411F52F0" w14:textId="77777777" w:rsidTr="000A186C">
        <w:trPr>
          <w:cantSplit/>
        </w:trPr>
        <w:tc>
          <w:tcPr>
            <w:tcW w:w="0" w:type="auto"/>
          </w:tcPr>
          <w:p w14:paraId="56DB963C" w14:textId="77777777" w:rsidR="00383BF9" w:rsidRPr="0078056B" w:rsidRDefault="00383BF9" w:rsidP="000A186C">
            <w:pPr>
              <w:pStyle w:val="FigureTitle"/>
            </w:pPr>
            <w:bookmarkStart w:id="285" w:name="_Ref76118258"/>
            <w:bookmarkStart w:id="286" w:name="_Toc77715298"/>
            <w:bookmarkStart w:id="287" w:name="_Toc114743538"/>
            <w:bookmarkStart w:id="288" w:name="_Toc138171623"/>
            <w:bookmarkStart w:id="289" w:name="_Toc148543149"/>
            <w:bookmarkStart w:id="290" w:name="_Toc160794520"/>
            <w:bookmarkStart w:id="291" w:name="_Toc168652207"/>
            <w:r w:rsidRPr="0078056B">
              <w:lastRenderedPageBreak/>
              <w:t>Gross direct economic impact (in terms of output) of the University of Birmingham’s expenditure in the 2021-22 academic year, by type of expenditure</w:t>
            </w:r>
            <w:bookmarkEnd w:id="285"/>
            <w:bookmarkEnd w:id="286"/>
            <w:bookmarkEnd w:id="287"/>
            <w:bookmarkEnd w:id="288"/>
            <w:bookmarkEnd w:id="289"/>
            <w:bookmarkEnd w:id="290"/>
            <w:bookmarkEnd w:id="291"/>
          </w:p>
        </w:tc>
      </w:tr>
      <w:tr w:rsidR="00383BF9" w:rsidRPr="0078056B" w14:paraId="2B5E3CCB" w14:textId="77777777" w:rsidTr="000A186C">
        <w:trPr>
          <w:cantSplit/>
        </w:trPr>
        <w:tc>
          <w:tcPr>
            <w:tcW w:w="0" w:type="auto"/>
          </w:tcPr>
          <w:p w14:paraId="69BDA48A" w14:textId="77777777" w:rsidR="00383BF9" w:rsidRPr="0078056B" w:rsidRDefault="00383BF9" w:rsidP="000A186C">
            <w:pPr>
              <w:pStyle w:val="PlaceholderText"/>
            </w:pPr>
            <w:r w:rsidRPr="0078056B">
              <w:rPr>
                <w:noProof/>
              </w:rPr>
              <w:drawing>
                <wp:inline distT="0" distB="0" distL="0" distR="0" wp14:anchorId="14A4C1B6" wp14:editId="0FA80D88">
                  <wp:extent cx="5608955" cy="1815465"/>
                  <wp:effectExtent l="0" t="0" r="0" b="0"/>
                  <wp:docPr id="1400346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a:ext>
                            </a:extLst>
                          </a:blip>
                          <a:srcRect/>
                          <a:stretch>
                            <a:fillRect/>
                          </a:stretch>
                        </pic:blipFill>
                        <pic:spPr bwMode="auto">
                          <a:xfrm>
                            <a:off x="0" y="0"/>
                            <a:ext cx="5608955" cy="1815465"/>
                          </a:xfrm>
                          <a:prstGeom prst="rect">
                            <a:avLst/>
                          </a:prstGeom>
                          <a:noFill/>
                          <a:ln>
                            <a:noFill/>
                          </a:ln>
                        </pic:spPr>
                      </pic:pic>
                    </a:graphicData>
                  </a:graphic>
                </wp:inline>
              </w:drawing>
            </w:r>
          </w:p>
        </w:tc>
      </w:tr>
      <w:tr w:rsidR="00383BF9" w:rsidRPr="0078056B" w14:paraId="13AA8847" w14:textId="77777777" w:rsidTr="000A186C">
        <w:trPr>
          <w:cantSplit/>
        </w:trPr>
        <w:tc>
          <w:tcPr>
            <w:tcW w:w="0" w:type="auto"/>
          </w:tcPr>
          <w:p w14:paraId="594EF87C" w14:textId="77777777" w:rsidR="00383BF9" w:rsidRPr="0078056B" w:rsidRDefault="00383BF9" w:rsidP="000A186C">
            <w:pPr>
              <w:pStyle w:val="TableNote"/>
              <w:jc w:val="both"/>
            </w:pPr>
            <w:r w:rsidRPr="0078056B">
              <w:t xml:space="preserve">Note: We exclude a total of </w:t>
            </w:r>
            <w:r w:rsidRPr="0078056B">
              <w:rPr>
                <w:b/>
                <w:bCs/>
                <w:color w:val="06357A"/>
              </w:rPr>
              <w:t xml:space="preserve">£71 million </w:t>
            </w:r>
            <w:r w:rsidRPr="0078056B">
              <w:t xml:space="preserve">of non-staff costs associated with depreciation, and </w:t>
            </w:r>
            <w:r w:rsidRPr="0078056B">
              <w:rPr>
                <w:b/>
                <w:bCs/>
                <w:color w:val="06357A"/>
              </w:rPr>
              <w:t>£203 million</w:t>
            </w:r>
            <w:r w:rsidRPr="0078056B">
              <w:rPr>
                <w:color w:val="06357A"/>
              </w:rPr>
              <w:t xml:space="preserve"> </w:t>
            </w:r>
            <w:r w:rsidRPr="0078056B">
              <w:t>of staff costs associated with movements in pension provisions, as it is assumed that these are not relevant from a procurement perspective (i.e. these costs are not accounted for as income by other organisations)</w:t>
            </w:r>
            <w:r w:rsidRPr="0078056B">
              <w:rPr>
                <w:rFonts w:asciiTheme="minorHAnsi" w:hAnsiTheme="minorHAnsi"/>
                <w:szCs w:val="16"/>
              </w:rPr>
              <w:t>.</w:t>
            </w:r>
            <w:r w:rsidRPr="0078056B">
              <w:t xml:space="preserve"> All estimates are presented in 2021-22 prices and rounded to the nearest £1m. </w:t>
            </w:r>
          </w:p>
          <w:p w14:paraId="459F847D" w14:textId="6F48C4A9" w:rsidR="00383BF9" w:rsidRPr="0078056B" w:rsidRDefault="00383BF9" w:rsidP="000A186C">
            <w:pPr>
              <w:pStyle w:val="TableSource"/>
            </w:pPr>
            <w:r w:rsidRPr="0078056B">
              <w:t>Source: London Economics’ analysis based on HESA (</w:t>
            </w:r>
            <w:r w:rsidR="00E87F38" w:rsidRPr="0078056B">
              <w:t>2023a</w:t>
            </w:r>
            <w:r w:rsidRPr="0078056B">
              <w:t>), HESA (</w:t>
            </w:r>
            <w:r w:rsidR="00E87F38" w:rsidRPr="0078056B">
              <w:t>2023j</w:t>
            </w:r>
            <w:r w:rsidRPr="0078056B">
              <w:t>) and the University of Birmingham’s annual accounts (University of Birmingham, 2022).</w:t>
            </w:r>
          </w:p>
        </w:tc>
      </w:tr>
    </w:tbl>
    <w:p w14:paraId="103ACF9B" w14:textId="77777777" w:rsidR="00383BF9" w:rsidRPr="0078056B" w:rsidRDefault="00383BF9" w:rsidP="00383BF9">
      <w:pPr>
        <w:pStyle w:val="Heading3"/>
      </w:pPr>
      <w:r w:rsidRPr="0078056B">
        <w:t>Net direct impact of the University’s expenditures</w:t>
      </w:r>
    </w:p>
    <w:p w14:paraId="3B3B2F8C" w14:textId="77777777" w:rsidR="00383BF9" w:rsidRPr="0078056B" w:rsidRDefault="00383BF9" w:rsidP="00383BF9">
      <w:r w:rsidRPr="0078056B">
        <w:t xml:space="preserve">Before arriving at the net direct impact associated with the University of Birmingham’s expenditure, it is necessary to deduct a number of income and expenditure items to avoid double-counting, and to take account of the ‘netting out’ of the costs and benefits associated with the University between different agents in the UK economy. Specifically, we deducted a total of </w:t>
      </w:r>
      <w:r w:rsidRPr="0078056B">
        <w:rPr>
          <w:b/>
          <w:bCs/>
          <w:color w:val="06357A" w:themeColor="text2"/>
        </w:rPr>
        <w:t>£474 million</w:t>
      </w:r>
      <w:r w:rsidRPr="0078056B">
        <w:t>:</w:t>
      </w:r>
    </w:p>
    <w:p w14:paraId="689BD736" w14:textId="5B271E02" w:rsidR="00383BF9" w:rsidRPr="0078056B" w:rsidRDefault="00383BF9" w:rsidP="00383BF9">
      <w:pPr>
        <w:pStyle w:val="MinorBullet1"/>
        <w:numPr>
          <w:ilvl w:val="0"/>
          <w:numId w:val="21"/>
        </w:numPr>
      </w:pPr>
      <w:r w:rsidRPr="0078056B">
        <w:t>The total research income received by the University in the 2021-22 academic year (</w:t>
      </w:r>
      <w:r w:rsidRPr="0078056B">
        <w:rPr>
          <w:rFonts w:eastAsia="Calibri" w:cs="Times New Roman"/>
          <w:b/>
          <w:color w:val="06357A"/>
        </w:rPr>
        <w:t>£162 million</w:t>
      </w:r>
      <w:r w:rsidRPr="0078056B">
        <w:t xml:space="preserve">), to avoid double-counting with the estimated impact of the University’s research activities (Section </w:t>
      </w:r>
      <w:r w:rsidR="00845CA2" w:rsidRPr="0078056B">
        <w:fldChar w:fldCharType="begin"/>
      </w:r>
      <w:r w:rsidR="00845CA2" w:rsidRPr="0078056B">
        <w:instrText xml:space="preserve"> REF _Ref162263179 \r \h </w:instrText>
      </w:r>
      <w:r w:rsidR="0078056B">
        <w:instrText xml:space="preserve"> \* MERGEFORMAT </w:instrText>
      </w:r>
      <w:r w:rsidR="00845CA2" w:rsidRPr="0078056B">
        <w:fldChar w:fldCharType="separate"/>
      </w:r>
      <w:r w:rsidR="00E33157">
        <w:t>2.1</w:t>
      </w:r>
      <w:r w:rsidR="00845CA2" w:rsidRPr="0078056B">
        <w:fldChar w:fldCharType="end"/>
      </w:r>
      <w:r w:rsidRPr="0078056B">
        <w:t xml:space="preserve">); </w:t>
      </w:r>
    </w:p>
    <w:p w14:paraId="3D9C2C27" w14:textId="3802417F" w:rsidR="00383BF9" w:rsidRPr="0078056B" w:rsidRDefault="00383BF9" w:rsidP="00383BF9">
      <w:pPr>
        <w:pStyle w:val="MinorBullet1"/>
        <w:numPr>
          <w:ilvl w:val="0"/>
          <w:numId w:val="21"/>
        </w:numPr>
      </w:pPr>
      <w:r w:rsidRPr="0078056B">
        <w:t>The direct impact associated with the University’s knowledge exchange activities, excluding the impact of spinouts and startups (</w:t>
      </w:r>
      <w:r w:rsidRPr="0078056B">
        <w:rPr>
          <w:b/>
          <w:bCs/>
          <w:color w:val="06357A" w:themeColor="accent1"/>
        </w:rPr>
        <w:t>£</w:t>
      </w:r>
      <w:r w:rsidRPr="0078056B">
        <w:rPr>
          <w:rFonts w:eastAsia="Calibri" w:cs="Times New Roman"/>
          <w:b/>
          <w:color w:val="06357A"/>
        </w:rPr>
        <w:t>117 million</w:t>
      </w:r>
      <w:r w:rsidRPr="0078056B">
        <w:t xml:space="preserve"> in economic output terms), to avoid double-counting with the impact of the University’s wider knowledge exchange activities (Section </w:t>
      </w:r>
      <w:r w:rsidR="004A00EE" w:rsidRPr="0078056B">
        <w:fldChar w:fldCharType="begin"/>
      </w:r>
      <w:r w:rsidR="004A00EE" w:rsidRPr="0078056B">
        <w:instrText xml:space="preserve"> REF _Ref162533067 \r \h </w:instrText>
      </w:r>
      <w:r w:rsidR="0078056B">
        <w:instrText xml:space="preserve"> \* MERGEFORMAT </w:instrText>
      </w:r>
      <w:r w:rsidR="004A00EE" w:rsidRPr="0078056B">
        <w:fldChar w:fldCharType="separate"/>
      </w:r>
      <w:r w:rsidR="00E33157">
        <w:t>2.2</w:t>
      </w:r>
      <w:r w:rsidR="004A00EE" w:rsidRPr="0078056B">
        <w:fldChar w:fldCharType="end"/>
      </w:r>
      <w:r w:rsidRPr="0078056B">
        <w:t xml:space="preserve">); </w:t>
      </w:r>
    </w:p>
    <w:p w14:paraId="2B569F79" w14:textId="4FE15D2E" w:rsidR="00383BF9" w:rsidRPr="0078056B" w:rsidRDefault="00383BF9" w:rsidP="00383BF9">
      <w:pPr>
        <w:pStyle w:val="MinorBullet1"/>
        <w:numPr>
          <w:ilvl w:val="0"/>
          <w:numId w:val="21"/>
        </w:numPr>
      </w:pPr>
      <w:r w:rsidRPr="0078056B">
        <w:rPr>
          <w:rFonts w:eastAsia="Calibri" w:cs="Times New Roman"/>
          <w:b/>
          <w:color w:val="06357A"/>
        </w:rPr>
        <w:t>£29 million</w:t>
      </w:r>
      <w:r w:rsidRPr="0078056B">
        <w:t xml:space="preserve"> in bursary spending for UK domiciled students</w:t>
      </w:r>
      <w:r w:rsidRPr="0078056B">
        <w:rPr>
          <w:vertAlign w:val="superscript"/>
        </w:rPr>
        <w:footnoteReference w:id="75"/>
      </w:r>
      <w:r w:rsidRPr="0078056B">
        <w:t xml:space="preserve">, as this was included (as a benefit) in the analysis of the University’s teaching and learning activities (Section </w:t>
      </w:r>
      <w:r w:rsidR="00845CA2" w:rsidRPr="0078056B">
        <w:fldChar w:fldCharType="begin"/>
      </w:r>
      <w:r w:rsidR="00845CA2" w:rsidRPr="0078056B">
        <w:instrText xml:space="preserve"> REF _Ref161750690 \r \h </w:instrText>
      </w:r>
      <w:r w:rsidR="0078056B">
        <w:instrText xml:space="preserve"> \* MERGEFORMAT </w:instrText>
      </w:r>
      <w:r w:rsidR="00845CA2" w:rsidRPr="0078056B">
        <w:fldChar w:fldCharType="separate"/>
      </w:r>
      <w:r w:rsidR="00E33157">
        <w:t>3</w:t>
      </w:r>
      <w:r w:rsidR="00845CA2" w:rsidRPr="0078056B">
        <w:fldChar w:fldCharType="end"/>
      </w:r>
      <w:r w:rsidRPr="0078056B">
        <w:t>); and</w:t>
      </w:r>
    </w:p>
    <w:p w14:paraId="3530AD7D" w14:textId="5AC6ED48" w:rsidR="00383BF9" w:rsidRPr="0078056B" w:rsidRDefault="00383BF9" w:rsidP="00383BF9">
      <w:pPr>
        <w:pStyle w:val="MinorBullet1"/>
        <w:numPr>
          <w:ilvl w:val="0"/>
          <w:numId w:val="21"/>
        </w:numPr>
      </w:pPr>
      <w:r w:rsidRPr="0078056B">
        <w:t>The direct impact generated by the University’s (gross) international fee income associated with the 2021-22 cohort of non-UK students (</w:t>
      </w:r>
      <w:r w:rsidRPr="0078056B">
        <w:rPr>
          <w:rFonts w:eastAsia="Calibri" w:cs="Times New Roman"/>
          <w:b/>
          <w:color w:val="06357A"/>
        </w:rPr>
        <w:t>£166 million</w:t>
      </w:r>
      <w:r w:rsidRPr="0078056B">
        <w:rPr>
          <w:vertAlign w:val="superscript"/>
        </w:rPr>
        <w:footnoteReference w:id="76"/>
      </w:r>
      <w:r w:rsidRPr="0078056B">
        <w:t xml:space="preserve">), to avoid double-counting with the impact of the University’s educational exports (Section </w:t>
      </w:r>
      <w:r w:rsidR="00845CA2" w:rsidRPr="0078056B">
        <w:fldChar w:fldCharType="begin"/>
      </w:r>
      <w:r w:rsidR="00845CA2" w:rsidRPr="0078056B">
        <w:instrText xml:space="preserve"> REF _Ref162263211 \r \h </w:instrText>
      </w:r>
      <w:r w:rsidR="0078056B">
        <w:instrText xml:space="preserve"> \* MERGEFORMAT </w:instrText>
      </w:r>
      <w:r w:rsidR="00845CA2" w:rsidRPr="0078056B">
        <w:fldChar w:fldCharType="separate"/>
      </w:r>
      <w:r w:rsidR="00E33157">
        <w:t>4</w:t>
      </w:r>
      <w:r w:rsidR="00845CA2" w:rsidRPr="0078056B">
        <w:fldChar w:fldCharType="end"/>
      </w:r>
      <w:r w:rsidRPr="0078056B">
        <w:t>).</w:t>
      </w:r>
    </w:p>
    <w:p w14:paraId="277C67A8" w14:textId="77777777" w:rsidR="00383BF9" w:rsidRPr="0078056B" w:rsidRDefault="00383BF9" w:rsidP="00383BF9">
      <w:r w:rsidRPr="0078056B">
        <w:t xml:space="preserve">Having accounted for these deductions, the net direct impact of the University’s expenditure in 2021/22 stood at </w:t>
      </w:r>
      <w:r w:rsidRPr="0078056B">
        <w:rPr>
          <w:b/>
          <w:bCs/>
          <w:color w:val="06357A" w:themeColor="text2"/>
        </w:rPr>
        <w:t>£398 million</w:t>
      </w:r>
      <w:r w:rsidRPr="0078056B">
        <w:t>.</w:t>
      </w:r>
    </w:p>
    <w:p w14:paraId="6AA16A4D" w14:textId="77777777" w:rsidR="00383BF9" w:rsidRPr="0078056B" w:rsidRDefault="00383BF9" w:rsidP="00383BF9">
      <w:pPr>
        <w:pStyle w:val="Heading3"/>
      </w:pPr>
      <w:r w:rsidRPr="0078056B">
        <w:lastRenderedPageBreak/>
        <w:t>The University’s geographical footprint</w:t>
      </w:r>
    </w:p>
    <w:p w14:paraId="4D77F6BF" w14:textId="77777777" w:rsidR="00383BF9" w:rsidRPr="0078056B" w:rsidRDefault="00383BF9" w:rsidP="00383BF9">
      <w:r w:rsidRPr="0078056B">
        <w:t xml:space="preserve">In addition to these total expenditures, we investigated the </w:t>
      </w:r>
      <w:r w:rsidRPr="0078056B">
        <w:rPr>
          <w:b/>
          <w:bCs/>
          <w:color w:val="06357A"/>
        </w:rPr>
        <w:t>geographical breakdown</w:t>
      </w:r>
      <w:r w:rsidRPr="0078056B">
        <w:rPr>
          <w:color w:val="06357A"/>
        </w:rPr>
        <w:t xml:space="preserve"> </w:t>
      </w:r>
      <w:r w:rsidRPr="0078056B">
        <w:t xml:space="preserve">of the University’s procurement expenditures and the number of staff, to demonstrate the University of Birmingham’s impact across the West Midlands and the rest of the UK. </w:t>
      </w:r>
    </w:p>
    <w:p w14:paraId="0E41D103" w14:textId="6F93C139" w:rsidR="00383BF9" w:rsidRPr="0078056B" w:rsidRDefault="00383BF9" w:rsidP="00383BF9">
      <w:r w:rsidRPr="0078056B">
        <w:fldChar w:fldCharType="begin"/>
      </w:r>
      <w:r w:rsidRPr="0078056B">
        <w:instrText xml:space="preserve"> REF _Ref160791282 \r \h  \* MERGEFORMAT </w:instrText>
      </w:r>
      <w:r w:rsidRPr="0078056B">
        <w:fldChar w:fldCharType="separate"/>
      </w:r>
      <w:r w:rsidR="00E33157">
        <w:t>Figure 27</w:t>
      </w:r>
      <w:r w:rsidRPr="0078056B">
        <w:fldChar w:fldCharType="end"/>
      </w:r>
      <w:r w:rsidRPr="0078056B">
        <w:t xml:space="preserve"> presents the distribution of the University of Birmingham’s UK procurement expenditure (based on invoice data for 2021-22) by Local Authority. The map illustrates a concentration of procurement expenditure in the </w:t>
      </w:r>
      <w:r w:rsidRPr="0078056B">
        <w:rPr>
          <w:b/>
          <w:bCs/>
          <w:color w:val="06357A"/>
        </w:rPr>
        <w:t xml:space="preserve">West Midlands </w:t>
      </w:r>
      <w:r w:rsidRPr="0078056B">
        <w:t xml:space="preserve">(approximately </w:t>
      </w:r>
      <w:r w:rsidRPr="0078056B">
        <w:rPr>
          <w:rFonts w:eastAsia="Calibri" w:cs="Times New Roman"/>
          <w:b/>
          <w:color w:val="06357A"/>
        </w:rPr>
        <w:t>45%</w:t>
      </w:r>
      <w:r w:rsidRPr="0078056B">
        <w:rPr>
          <w:b/>
          <w:bCs/>
          <w:color w:val="06357A"/>
        </w:rPr>
        <w:t xml:space="preserve"> of expenditure</w:t>
      </w:r>
      <w:r w:rsidRPr="0078056B">
        <w:t xml:space="preserve">), with </w:t>
      </w:r>
      <w:r w:rsidRPr="0078056B">
        <w:rPr>
          <w:b/>
          <w:bCs/>
          <w:color w:val="06357A" w:themeColor="text2"/>
        </w:rPr>
        <w:t xml:space="preserve">24% of all UK procurement expenditure </w:t>
      </w:r>
      <w:r w:rsidRPr="0078056B">
        <w:t>taking place in</w:t>
      </w:r>
      <w:r w:rsidRPr="0078056B">
        <w:rPr>
          <w:b/>
          <w:bCs/>
        </w:rPr>
        <w:t xml:space="preserve"> </w:t>
      </w:r>
      <w:r w:rsidRPr="0078056B">
        <w:t>Birmingham. Elsewhere in the West Midlands, the University of Birmingham spent</w:t>
      </w:r>
      <w:r w:rsidR="00BC6BA2" w:rsidRPr="0078056B">
        <w:t xml:space="preserve"> approximately</w:t>
      </w:r>
      <w:r w:rsidRPr="0078056B">
        <w:t xml:space="preserve"> </w:t>
      </w:r>
      <w:r w:rsidRPr="0078056B">
        <w:rPr>
          <w:b/>
          <w:bCs/>
          <w:color w:val="06357A" w:themeColor="text2"/>
        </w:rPr>
        <w:t>£25 million</w:t>
      </w:r>
      <w:r w:rsidRPr="0078056B">
        <w:rPr>
          <w:color w:val="06357A" w:themeColor="text2"/>
        </w:rPr>
        <w:t xml:space="preserve"> </w:t>
      </w:r>
      <w:r w:rsidRPr="0078056B">
        <w:t xml:space="preserve">in Rugby, </w:t>
      </w:r>
      <w:r w:rsidRPr="0078056B">
        <w:rPr>
          <w:b/>
          <w:bCs/>
          <w:color w:val="06357A" w:themeColor="text2"/>
        </w:rPr>
        <w:t>£12 million</w:t>
      </w:r>
      <w:r w:rsidRPr="0078056B">
        <w:rPr>
          <w:color w:val="06357A" w:themeColor="text2"/>
        </w:rPr>
        <w:t xml:space="preserve"> </w:t>
      </w:r>
      <w:r w:rsidRPr="0078056B">
        <w:t xml:space="preserve">in Coventry, </w:t>
      </w:r>
      <w:r w:rsidRPr="0078056B">
        <w:rPr>
          <w:b/>
          <w:bCs/>
          <w:color w:val="06357A" w:themeColor="text2"/>
        </w:rPr>
        <w:t>£12 million</w:t>
      </w:r>
      <w:r w:rsidRPr="0078056B">
        <w:rPr>
          <w:color w:val="06357A" w:themeColor="text2"/>
        </w:rPr>
        <w:t xml:space="preserve"> </w:t>
      </w:r>
      <w:r w:rsidRPr="0078056B">
        <w:t xml:space="preserve">in Solihull and </w:t>
      </w:r>
      <w:r w:rsidRPr="0078056B">
        <w:rPr>
          <w:b/>
          <w:bCs/>
          <w:color w:val="06357A" w:themeColor="text2"/>
        </w:rPr>
        <w:t>£5 million</w:t>
      </w:r>
      <w:r w:rsidRPr="0078056B">
        <w:rPr>
          <w:color w:val="06357A" w:themeColor="text2"/>
        </w:rPr>
        <w:t xml:space="preserve"> </w:t>
      </w:r>
      <w:r w:rsidRPr="0078056B">
        <w:t>in North Warwickshire. The University also spent significant amounts on goods and services from suppliers in other regions, such as the South East (</w:t>
      </w:r>
      <w:r w:rsidRPr="0078056B">
        <w:rPr>
          <w:b/>
          <w:bCs/>
          <w:color w:val="06357A" w:themeColor="text2"/>
        </w:rPr>
        <w:t>15%</w:t>
      </w:r>
      <w:r w:rsidRPr="0078056B">
        <w:t xml:space="preserve"> of UK procurement expenditure), London (</w:t>
      </w:r>
      <w:r w:rsidRPr="0078056B">
        <w:rPr>
          <w:b/>
          <w:bCs/>
          <w:color w:val="06357A" w:themeColor="text2"/>
        </w:rPr>
        <w:t>13%</w:t>
      </w:r>
      <w:r w:rsidRPr="0078056B">
        <w:t>)</w:t>
      </w:r>
      <w:r w:rsidRPr="0078056B">
        <w:rPr>
          <w:rStyle w:val="FootnoteReference"/>
        </w:rPr>
        <w:footnoteReference w:id="77"/>
      </w:r>
      <w:r w:rsidRPr="0078056B">
        <w:t>, the North West (</w:t>
      </w:r>
      <w:r w:rsidRPr="0078056B">
        <w:rPr>
          <w:b/>
          <w:bCs/>
          <w:color w:val="06357A" w:themeColor="text2"/>
        </w:rPr>
        <w:t>8%</w:t>
      </w:r>
      <w:r w:rsidRPr="0078056B">
        <w:t>), the East Midlands (</w:t>
      </w:r>
      <w:r w:rsidRPr="0078056B">
        <w:rPr>
          <w:b/>
          <w:bCs/>
          <w:color w:val="06357A" w:themeColor="text2"/>
        </w:rPr>
        <w:t>5%</w:t>
      </w:r>
      <w:r w:rsidRPr="0078056B">
        <w:t>), and Yorkshire and the Humber (</w:t>
      </w:r>
      <w:r w:rsidRPr="0078056B">
        <w:rPr>
          <w:b/>
          <w:bCs/>
          <w:color w:val="06357A" w:themeColor="text2"/>
        </w:rPr>
        <w:t>5%</w:t>
      </w:r>
      <w:r w:rsidRPr="0078056B">
        <w:t>).</w:t>
      </w:r>
    </w:p>
    <w:p w14:paraId="0DFC087B" w14:textId="5171E4AC" w:rsidR="00383BF9" w:rsidRPr="0078056B" w:rsidRDefault="00383BF9" w:rsidP="00383BF9">
      <w:r w:rsidRPr="0078056B">
        <w:t xml:space="preserve">In addition, </w:t>
      </w:r>
      <w:r w:rsidRPr="0078056B">
        <w:fldChar w:fldCharType="begin"/>
      </w:r>
      <w:r w:rsidRPr="0078056B">
        <w:instrText xml:space="preserve"> REF _Ref160791292 \r \h  \* MERGEFORMAT </w:instrText>
      </w:r>
      <w:r w:rsidRPr="0078056B">
        <w:fldChar w:fldCharType="separate"/>
      </w:r>
      <w:r w:rsidR="00E33157">
        <w:t>Figure 28</w:t>
      </w:r>
      <w:r w:rsidRPr="0078056B">
        <w:fldChar w:fldCharType="end"/>
      </w:r>
      <w:r w:rsidRPr="0078056B">
        <w:t xml:space="preserve"> illustrates the distribution of the University’s staff headcount by Local Authority (based on the postcode district of employees’ home addresses). As expected, the maps show a particularly strong concentration of staff and staff expenditure in the area immediately surrounding the University, with approximately </w:t>
      </w:r>
      <w:r w:rsidRPr="0078056B">
        <w:rPr>
          <w:b/>
          <w:bCs/>
          <w:color w:val="06357A" w:themeColor="text2"/>
        </w:rPr>
        <w:t>88</w:t>
      </w:r>
      <w:r w:rsidRPr="0078056B">
        <w:rPr>
          <w:rFonts w:eastAsia="Calibri" w:cs="Times New Roman"/>
          <w:b/>
          <w:color w:val="06357A"/>
        </w:rPr>
        <w:t>%</w:t>
      </w:r>
      <w:r w:rsidRPr="0078056B">
        <w:rPr>
          <w:b/>
          <w:bCs/>
          <w:color w:val="06357A"/>
        </w:rPr>
        <w:t xml:space="preserve"> of UK staff based in the West Midlands</w:t>
      </w:r>
      <w:r w:rsidRPr="0078056B">
        <w:t xml:space="preserve"> and </w:t>
      </w:r>
      <w:r w:rsidRPr="0078056B">
        <w:rPr>
          <w:b/>
          <w:bCs/>
          <w:color w:val="06357A" w:themeColor="text2"/>
        </w:rPr>
        <w:t>nearly half (47%) living in Birmingham</w:t>
      </w:r>
      <w:r w:rsidRPr="0078056B">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383BF9" w:rsidRPr="0078056B" w14:paraId="18ABBEE8" w14:textId="77777777" w:rsidTr="000A186C">
        <w:trPr>
          <w:cantSplit/>
        </w:trPr>
        <w:tc>
          <w:tcPr>
            <w:tcW w:w="0" w:type="auto"/>
          </w:tcPr>
          <w:p w14:paraId="18DE067E" w14:textId="77777777" w:rsidR="00383BF9" w:rsidRPr="0078056B" w:rsidRDefault="00383BF9" w:rsidP="000A186C">
            <w:pPr>
              <w:pStyle w:val="FigureTitle"/>
            </w:pPr>
            <w:bookmarkStart w:id="292" w:name="_Ref160791282"/>
            <w:bookmarkStart w:id="293" w:name="_Toc160794521"/>
            <w:bookmarkStart w:id="294" w:name="_Toc168652208"/>
            <w:r w:rsidRPr="0078056B">
              <w:lastRenderedPageBreak/>
              <w:t>Distribution of the University of Birmingham’s procurement expenditure in the 2021-22 academic year by Local Authority (of invoice address)</w:t>
            </w:r>
            <w:bookmarkEnd w:id="292"/>
            <w:bookmarkEnd w:id="293"/>
            <w:bookmarkEnd w:id="294"/>
          </w:p>
        </w:tc>
      </w:tr>
      <w:tr w:rsidR="00383BF9" w:rsidRPr="0078056B" w14:paraId="74A31C76" w14:textId="77777777" w:rsidTr="000A186C">
        <w:trPr>
          <w:cantSplit/>
        </w:trPr>
        <w:tc>
          <w:tcPr>
            <w:tcW w:w="0" w:type="auto"/>
          </w:tcPr>
          <w:p w14:paraId="0FC7876D" w14:textId="77777777" w:rsidR="00383BF9" w:rsidRPr="0078056B" w:rsidRDefault="00383BF9" w:rsidP="000A186C">
            <w:pPr>
              <w:pStyle w:val="PlaceholderText"/>
              <w:jc w:val="center"/>
            </w:pPr>
            <w:r w:rsidRPr="0078056B">
              <w:rPr>
                <w:noProof/>
              </w:rPr>
              <w:drawing>
                <wp:inline distT="0" distB="0" distL="0" distR="0" wp14:anchorId="3D1BC68A" wp14:editId="2FDCCBCF">
                  <wp:extent cx="5669728" cy="5940000"/>
                  <wp:effectExtent l="0" t="0" r="7620" b="3810"/>
                  <wp:docPr id="1733844560" name="Picture 2" descr="A map of the united kingd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844560" name="Picture 2" descr="A map of the united kingdom&#10;&#10;Description automatically generated"/>
                          <pic:cNvPicPr/>
                        </pic:nvPicPr>
                        <pic:blipFill rotWithShape="1">
                          <a:blip r:embed="rId108" cstate="print">
                            <a:extLst>
                              <a:ext uri="{28A0092B-C50C-407E-A947-70E740481C1C}">
                                <a14:useLocalDpi xmlns:a14="http://schemas.microsoft.com/office/drawing/2010/main"/>
                              </a:ext>
                            </a:extLst>
                          </a:blip>
                          <a:srcRect/>
                          <a:stretch/>
                        </pic:blipFill>
                        <pic:spPr bwMode="auto">
                          <a:xfrm>
                            <a:off x="0" y="0"/>
                            <a:ext cx="5669728" cy="5940000"/>
                          </a:xfrm>
                          <a:prstGeom prst="rect">
                            <a:avLst/>
                          </a:prstGeom>
                          <a:ln>
                            <a:noFill/>
                          </a:ln>
                          <a:extLst>
                            <a:ext uri="{53640926-AAD7-44D8-BBD7-CCE9431645EC}">
                              <a14:shadowObscured xmlns:a14="http://schemas.microsoft.com/office/drawing/2010/main"/>
                            </a:ext>
                          </a:extLst>
                        </pic:spPr>
                      </pic:pic>
                    </a:graphicData>
                  </a:graphic>
                </wp:inline>
              </w:drawing>
            </w:r>
          </w:p>
        </w:tc>
      </w:tr>
      <w:tr w:rsidR="00383BF9" w:rsidRPr="0078056B" w14:paraId="661D4E6C" w14:textId="77777777" w:rsidTr="000A186C">
        <w:trPr>
          <w:cantSplit/>
        </w:trPr>
        <w:tc>
          <w:tcPr>
            <w:tcW w:w="0" w:type="auto"/>
          </w:tcPr>
          <w:p w14:paraId="3087E017" w14:textId="4C161076" w:rsidR="00383BF9" w:rsidRPr="0078056B" w:rsidRDefault="00383BF9" w:rsidP="00F957A8">
            <w:pPr>
              <w:pStyle w:val="TableNote"/>
              <w:jc w:val="both"/>
              <w:rPr>
                <w:bCs/>
              </w:rPr>
            </w:pPr>
            <w:r w:rsidRPr="0078056B">
              <w:t xml:space="preserve">Note: We received data on the invoice postcodes associated with </w:t>
            </w:r>
            <w:r w:rsidRPr="0078056B">
              <w:rPr>
                <w:b/>
                <w:bCs/>
                <w:color w:val="06357A" w:themeColor="text2"/>
              </w:rPr>
              <w:t xml:space="preserve">£361 million </w:t>
            </w:r>
            <w:r w:rsidRPr="0078056B">
              <w:t>of non-staff expenditure by the University of Birmingham. Of this total, we excluded expenditure records with invalid postcodes (</w:t>
            </w:r>
            <w:r w:rsidRPr="0078056B">
              <w:rPr>
                <w:b/>
                <w:bCs/>
                <w:color w:val="06357A" w:themeColor="text2"/>
              </w:rPr>
              <w:t>38</w:t>
            </w:r>
            <w:r w:rsidRPr="0078056B">
              <w:rPr>
                <w:b/>
                <w:bCs/>
              </w:rPr>
              <w:t xml:space="preserve"> </w:t>
            </w:r>
            <w:r w:rsidRPr="0078056B">
              <w:t>records). As a result of these exclusion</w:t>
            </w:r>
            <w:r w:rsidR="00C26610" w:rsidRPr="0078056B">
              <w:t>s</w:t>
            </w:r>
            <w:r w:rsidRPr="0078056B">
              <w:t xml:space="preserve">, this figure is based on a total of </w:t>
            </w:r>
            <w:r w:rsidRPr="0078056B">
              <w:rPr>
                <w:b/>
                <w:bCs/>
                <w:color w:val="06357A" w:themeColor="text2"/>
              </w:rPr>
              <w:t>£355 million</w:t>
            </w:r>
            <w:r w:rsidRPr="0078056B">
              <w:rPr>
                <w:color w:val="06357A" w:themeColor="text2"/>
              </w:rPr>
              <w:t xml:space="preserve"> </w:t>
            </w:r>
            <w:r w:rsidRPr="0078056B">
              <w:t>of non-staff expenditure.</w:t>
            </w:r>
          </w:p>
          <w:p w14:paraId="67ACAAB2" w14:textId="77777777" w:rsidR="00383BF9" w:rsidRPr="0078056B" w:rsidRDefault="00383BF9" w:rsidP="000A186C">
            <w:pPr>
              <w:pStyle w:val="TableSource"/>
            </w:pPr>
            <w:r w:rsidRPr="0078056B">
              <w:t>Source: London Economics’ analysis based on data from the University of Birmingham and the Office for National Statistics. Contains National Statistics, OS, Royal Mail, Gridlink, ONS, NISRA, NRS and Ordnance Survey data © Crown copyright and database right 2024</w:t>
            </w:r>
          </w:p>
        </w:tc>
      </w:tr>
    </w:tbl>
    <w:p w14:paraId="0D566452" w14:textId="77777777" w:rsidR="00383BF9" w:rsidRPr="0078056B" w:rsidRDefault="00383BF9" w:rsidP="00383BF9">
      <w:pPr>
        <w:spacing w:before="0" w:after="200" w:line="276" w:lineRule="auto"/>
        <w:jc w:val="lef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383BF9" w:rsidRPr="0078056B" w14:paraId="08442E24" w14:textId="77777777" w:rsidTr="000A186C">
        <w:trPr>
          <w:cantSplit/>
        </w:trPr>
        <w:tc>
          <w:tcPr>
            <w:tcW w:w="0" w:type="auto"/>
          </w:tcPr>
          <w:p w14:paraId="46536485" w14:textId="77777777" w:rsidR="00383BF9" w:rsidRPr="0078056B" w:rsidRDefault="00383BF9" w:rsidP="000A186C">
            <w:pPr>
              <w:pStyle w:val="FigureTitle"/>
            </w:pPr>
            <w:bookmarkStart w:id="295" w:name="_Ref160791292"/>
            <w:bookmarkStart w:id="296" w:name="_Toc160794522"/>
            <w:bookmarkStart w:id="297" w:name="_Toc168652209"/>
            <w:r w:rsidRPr="0078056B">
              <w:lastRenderedPageBreak/>
              <w:t>Distribution of the University of Birmingham’s staff (in headcount) by Local Authority (of home address) in the 2021-22 academic year</w:t>
            </w:r>
            <w:bookmarkEnd w:id="295"/>
            <w:bookmarkEnd w:id="296"/>
            <w:bookmarkEnd w:id="297"/>
          </w:p>
        </w:tc>
      </w:tr>
      <w:tr w:rsidR="00383BF9" w:rsidRPr="0078056B" w14:paraId="47F3760A" w14:textId="77777777" w:rsidTr="000A186C">
        <w:trPr>
          <w:cantSplit/>
        </w:trPr>
        <w:tc>
          <w:tcPr>
            <w:tcW w:w="0" w:type="auto"/>
          </w:tcPr>
          <w:p w14:paraId="3AAADD2A" w14:textId="77777777" w:rsidR="00383BF9" w:rsidRPr="0078056B" w:rsidRDefault="00383BF9" w:rsidP="000A186C">
            <w:pPr>
              <w:pStyle w:val="PlaceholderText"/>
              <w:jc w:val="center"/>
            </w:pPr>
            <w:r w:rsidRPr="0078056B">
              <w:rPr>
                <w:noProof/>
              </w:rPr>
              <w:drawing>
                <wp:inline distT="0" distB="0" distL="0" distR="0" wp14:anchorId="26528409" wp14:editId="6EA7DA17">
                  <wp:extent cx="5616000" cy="6030495"/>
                  <wp:effectExtent l="0" t="0" r="3810" b="8890"/>
                  <wp:docPr id="602113101" name="Picture 3" descr="A map of united kingdom with blue and whit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13101" name="Picture 3" descr="A map of united kingdom with blue and white colors&#10;&#10;Description automatically generated"/>
                          <pic:cNvPicPr/>
                        </pic:nvPicPr>
                        <pic:blipFill rotWithShape="1">
                          <a:blip r:embed="rId109" cstate="print">
                            <a:extLst>
                              <a:ext uri="{28A0092B-C50C-407E-A947-70E740481C1C}">
                                <a14:useLocalDpi xmlns:a14="http://schemas.microsoft.com/office/drawing/2010/main" val="0"/>
                              </a:ext>
                            </a:extLst>
                          </a:blip>
                          <a:srcRect l="20240" t="10201" r="1629" b="24545"/>
                          <a:stretch/>
                        </pic:blipFill>
                        <pic:spPr bwMode="auto">
                          <a:xfrm>
                            <a:off x="0" y="0"/>
                            <a:ext cx="5616000" cy="6030495"/>
                          </a:xfrm>
                          <a:prstGeom prst="rect">
                            <a:avLst/>
                          </a:prstGeom>
                          <a:ln>
                            <a:noFill/>
                          </a:ln>
                          <a:extLst>
                            <a:ext uri="{53640926-AAD7-44D8-BBD7-CCE9431645EC}">
                              <a14:shadowObscured xmlns:a14="http://schemas.microsoft.com/office/drawing/2010/main"/>
                            </a:ext>
                          </a:extLst>
                        </pic:spPr>
                      </pic:pic>
                    </a:graphicData>
                  </a:graphic>
                </wp:inline>
              </w:drawing>
            </w:r>
          </w:p>
        </w:tc>
      </w:tr>
      <w:tr w:rsidR="00383BF9" w:rsidRPr="0078056B" w14:paraId="34261F95" w14:textId="77777777" w:rsidTr="000A186C">
        <w:trPr>
          <w:cantSplit/>
        </w:trPr>
        <w:tc>
          <w:tcPr>
            <w:tcW w:w="0" w:type="auto"/>
          </w:tcPr>
          <w:p w14:paraId="6204390B" w14:textId="27018155" w:rsidR="00383BF9" w:rsidRPr="0078056B" w:rsidRDefault="00383BF9" w:rsidP="00054718">
            <w:pPr>
              <w:pStyle w:val="TableNote"/>
              <w:jc w:val="both"/>
            </w:pPr>
            <w:r w:rsidRPr="0078056B">
              <w:t xml:space="preserve">Note: We received data on home address postcode district for a total of </w:t>
            </w:r>
            <w:r w:rsidRPr="0078056B">
              <w:rPr>
                <w:b/>
                <w:bCs/>
                <w:color w:val="06357A" w:themeColor="text2"/>
              </w:rPr>
              <w:t xml:space="preserve">9,985 </w:t>
            </w:r>
            <w:r w:rsidRPr="0078056B">
              <w:t>staff (in headcount) from the University of Birmingham. Of this total, we excluded staff records with invalid postcode districts (</w:t>
            </w:r>
            <w:r w:rsidRPr="0078056B">
              <w:rPr>
                <w:b/>
                <w:bCs/>
                <w:color w:val="06357A" w:themeColor="text2"/>
              </w:rPr>
              <w:t>550</w:t>
            </w:r>
            <w:r w:rsidRPr="0078056B">
              <w:rPr>
                <w:b/>
                <w:bCs/>
              </w:rPr>
              <w:t xml:space="preserve"> </w:t>
            </w:r>
            <w:r w:rsidRPr="0078056B">
              <w:t>in total). This figure is therefore based on the home addres</w:t>
            </w:r>
            <w:r w:rsidR="00C26610" w:rsidRPr="0078056B">
              <w:t>se</w:t>
            </w:r>
            <w:r w:rsidRPr="0078056B">
              <w:t xml:space="preserve">s of </w:t>
            </w:r>
            <w:r w:rsidRPr="0078056B">
              <w:rPr>
                <w:b/>
                <w:bCs/>
                <w:color w:val="06357A" w:themeColor="text2"/>
              </w:rPr>
              <w:t xml:space="preserve">9,435 </w:t>
            </w:r>
            <w:r w:rsidRPr="0078056B">
              <w:t>staff. Staff associated with postcode districts that are spread across multiple Local Authorities have been apportioned equally across them.</w:t>
            </w:r>
          </w:p>
          <w:p w14:paraId="570D4BE9" w14:textId="77777777" w:rsidR="00383BF9" w:rsidRPr="0078056B" w:rsidRDefault="00383BF9" w:rsidP="000A186C">
            <w:pPr>
              <w:pStyle w:val="TableSource"/>
            </w:pPr>
            <w:r w:rsidRPr="0078056B">
              <w:t>Source: London Economics’ analysis based on data from the University of Birmingham and the Office for National Statistics. Contains National Statistics, OS, Royal Mail, Gridlink, ONS, NISRA, NRS and Ordnance Survey data © Crown copyright and database right 2024</w:t>
            </w:r>
          </w:p>
        </w:tc>
      </w:tr>
    </w:tbl>
    <w:p w14:paraId="35966D39" w14:textId="47720346" w:rsidR="00383BF9" w:rsidRPr="0078056B" w:rsidRDefault="00383BF9" w:rsidP="00383BF9">
      <w:pPr>
        <w:pStyle w:val="Heading2"/>
      </w:pPr>
      <w:bookmarkStart w:id="298" w:name="_Toc160794511"/>
      <w:bookmarkStart w:id="299" w:name="_Toc168652134"/>
      <w:r w:rsidRPr="0078056B">
        <w:t>Indirect and induced impacts of the University’s expenditures</w:t>
      </w:r>
      <w:bookmarkEnd w:id="298"/>
      <w:bookmarkEnd w:id="299"/>
    </w:p>
    <w:p w14:paraId="66E8F23B" w14:textId="5EF084F9" w:rsidR="00383BF9" w:rsidRPr="0078056B" w:rsidRDefault="00383BF9" w:rsidP="00383BF9">
      <w:r w:rsidRPr="0078056B">
        <w:t xml:space="preserve">As with the economic impact of the University of Birmingham’s </w:t>
      </w:r>
      <w:r w:rsidR="00951772" w:rsidRPr="0078056B">
        <w:t>research</w:t>
      </w:r>
      <w:r w:rsidR="004F17FC" w:rsidRPr="0078056B">
        <w:t xml:space="preserve"> and</w:t>
      </w:r>
      <w:r w:rsidR="00951772" w:rsidRPr="0078056B">
        <w:t xml:space="preserve"> knowledge exchange activities (see Section </w:t>
      </w:r>
      <w:r w:rsidR="00951772" w:rsidRPr="0078056B">
        <w:fldChar w:fldCharType="begin"/>
      </w:r>
      <w:r w:rsidR="00951772" w:rsidRPr="0078056B">
        <w:instrText xml:space="preserve"> REF _Ref162258996 \r \h </w:instrText>
      </w:r>
      <w:r w:rsidR="0078056B">
        <w:instrText xml:space="preserve"> \* MERGEFORMAT </w:instrText>
      </w:r>
      <w:r w:rsidR="00951772" w:rsidRPr="0078056B">
        <w:fldChar w:fldCharType="separate"/>
      </w:r>
      <w:r w:rsidR="00E33157">
        <w:t>2</w:t>
      </w:r>
      <w:r w:rsidR="00951772" w:rsidRPr="0078056B">
        <w:fldChar w:fldCharType="end"/>
      </w:r>
      <w:r w:rsidR="00951772" w:rsidRPr="0078056B">
        <w:t>), educational exports (see Section 4) and tourism</w:t>
      </w:r>
      <w:r w:rsidR="004F17FC" w:rsidRPr="0078056B">
        <w:t xml:space="preserve"> </w:t>
      </w:r>
      <w:r w:rsidR="00951772" w:rsidRPr="0078056B">
        <w:t>(see Section 6)</w:t>
      </w:r>
      <w:r w:rsidRPr="0078056B">
        <w:t>, the assessment of the indirect and induced economic impacts associated with the expenditures of the University is based on economic multipliers derived from the above-discussed multi-regional Input-</w:t>
      </w:r>
      <w:r w:rsidRPr="0078056B">
        <w:lastRenderedPageBreak/>
        <w:t>Output model</w:t>
      </w:r>
      <w:r w:rsidRPr="0078056B">
        <w:rPr>
          <w:rStyle w:val="FootnoteReference"/>
        </w:rPr>
        <w:footnoteReference w:id="78"/>
      </w:r>
      <w:r w:rsidRPr="0078056B">
        <w:t xml:space="preserve">. </w:t>
      </w:r>
      <w:r w:rsidR="00951772" w:rsidRPr="0078056B">
        <w:t>W</w:t>
      </w:r>
      <w:r w:rsidRPr="0078056B">
        <w:t>e applied the estimated average economic multipliers associated with organisations in the West Midlands’s government, health, and education sector</w:t>
      </w:r>
      <w:r w:rsidR="00951772" w:rsidRPr="0078056B">
        <w:t>, which</w:t>
      </w:r>
      <w:r w:rsidRPr="0078056B">
        <w:t xml:space="preserve"> mirrors the approach used to assess the impact of the University’s international tuition fee income and the income derived from its research and wider knowledge exchange activities, since this income was accrued (and subsequently spent) by the University of Birmingham itself. Again, this approach asserts that the spending patterns of the University reflect the average spending patterns across organisations operating in the West Midlands’s government, health, and education sector. These multipliers are applied to the </w:t>
      </w:r>
      <w:r w:rsidRPr="0078056B">
        <w:rPr>
          <w:b/>
          <w:bCs/>
          <w:color w:val="06357A" w:themeColor="text2"/>
        </w:rPr>
        <w:t xml:space="preserve">net direct impact </w:t>
      </w:r>
      <w:r w:rsidRPr="0078056B">
        <w:t xml:space="preserve">of the University of Birmingham’s expenditures of </w:t>
      </w:r>
      <w:r w:rsidRPr="0078056B">
        <w:rPr>
          <w:b/>
          <w:bCs/>
          <w:color w:val="06357A" w:themeColor="text2"/>
        </w:rPr>
        <w:t>£398 million</w:t>
      </w:r>
      <w:r w:rsidRPr="0078056B">
        <w:t>.</w:t>
      </w:r>
      <w:r w:rsidR="00951772" w:rsidRPr="0078056B">
        <w:t xml:space="preserve"> These multipliers (for the impact on the West Midlands and the UK economy as a whole) are the same as those presented in </w:t>
      </w:r>
      <w:r w:rsidR="00951772" w:rsidRPr="0078056B">
        <w:fldChar w:fldCharType="begin"/>
      </w:r>
      <w:r w:rsidR="00951772" w:rsidRPr="0078056B">
        <w:instrText xml:space="preserve"> REF _Ref162252529 \r \h  \* MERGEFORMAT </w:instrText>
      </w:r>
      <w:r w:rsidR="00951772" w:rsidRPr="0078056B">
        <w:fldChar w:fldCharType="separate"/>
      </w:r>
      <w:r w:rsidR="00E33157">
        <w:t>Table 3</w:t>
      </w:r>
      <w:r w:rsidR="00951772" w:rsidRPr="0078056B">
        <w:fldChar w:fldCharType="end"/>
      </w:r>
      <w:r w:rsidR="00951772" w:rsidRPr="0078056B">
        <w:t xml:space="preserve"> in Section </w:t>
      </w:r>
      <w:r w:rsidR="00951772" w:rsidRPr="0078056B">
        <w:fldChar w:fldCharType="begin"/>
      </w:r>
      <w:r w:rsidR="00951772" w:rsidRPr="0078056B">
        <w:instrText xml:space="preserve"> REF _Ref160114268 \r \h  \* MERGEFORMAT </w:instrText>
      </w:r>
      <w:r w:rsidR="00951772" w:rsidRPr="0078056B">
        <w:fldChar w:fldCharType="separate"/>
      </w:r>
      <w:r w:rsidR="00E33157">
        <w:t>2.1.3</w:t>
      </w:r>
      <w:r w:rsidR="00951772" w:rsidRPr="0078056B">
        <w:fldChar w:fldCharType="end"/>
      </w:r>
      <w:r w:rsidR="00951772" w:rsidRPr="0078056B">
        <w:t>.</w:t>
      </w:r>
    </w:p>
    <w:p w14:paraId="03834A6D" w14:textId="77777777" w:rsidR="00383BF9" w:rsidRPr="0078056B" w:rsidRDefault="00383BF9" w:rsidP="00383BF9">
      <w:pPr>
        <w:pStyle w:val="Heading2"/>
      </w:pPr>
      <w:bookmarkStart w:id="300" w:name="_Ref144370187"/>
      <w:bookmarkStart w:id="301" w:name="_Toc160794512"/>
      <w:bookmarkStart w:id="302" w:name="_Toc168652135"/>
      <w:r w:rsidRPr="0078056B">
        <w:t>Aggregate impact of the University of Birmingham’s spending</w:t>
      </w:r>
      <w:bookmarkEnd w:id="300"/>
      <w:bookmarkEnd w:id="301"/>
      <w:bookmarkEnd w:id="302"/>
    </w:p>
    <w:p w14:paraId="5ECAD8B7" w14:textId="201CF802" w:rsidR="00383BF9" w:rsidRPr="0078056B" w:rsidRDefault="00383BF9" w:rsidP="00383BF9">
      <w:r w:rsidRPr="0078056B">
        <w:rPr>
          <w:noProof/>
          <w:lang w:eastAsia="en-GB"/>
        </w:rPr>
        <mc:AlternateContent>
          <mc:Choice Requires="wps">
            <w:drawing>
              <wp:anchor distT="0" distB="0" distL="114300" distR="114300" simplePos="0" relativeHeight="251712512" behindDoc="1" locked="1" layoutInCell="1" allowOverlap="1" wp14:anchorId="078DBFEB" wp14:editId="2E85530C">
                <wp:simplePos x="0" y="0"/>
                <wp:positionH relativeFrom="margin">
                  <wp:posOffset>3444240</wp:posOffset>
                </wp:positionH>
                <wp:positionV relativeFrom="paragraph">
                  <wp:posOffset>46355</wp:posOffset>
                </wp:positionV>
                <wp:extent cx="2133600" cy="1130935"/>
                <wp:effectExtent l="38100" t="38100" r="95250" b="8826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130935"/>
                        </a:xfrm>
                        <a:prstGeom prst="rect">
                          <a:avLst/>
                        </a:prstGeom>
                        <a:solidFill>
                          <a:schemeClr val="tx2"/>
                        </a:solidFill>
                        <a:ln w="9525">
                          <a:noFill/>
                          <a:miter lim="800000"/>
                          <a:headEnd/>
                          <a:tailEnd/>
                        </a:ln>
                        <a:effectLst>
                          <a:outerShdw blurRad="50800" dist="38100" dir="2700000" algn="tl" rotWithShape="0">
                            <a:prstClr val="black">
                              <a:alpha val="40000"/>
                            </a:prstClr>
                          </a:outerShdw>
                        </a:effectLst>
                      </wps:spPr>
                      <wps:txbx>
                        <w:txbxContent>
                          <w:p w14:paraId="0EF16AA5" w14:textId="77777777" w:rsidR="00383BF9" w:rsidRPr="003541E0" w:rsidRDefault="00383BF9" w:rsidP="00383BF9">
                            <w:pPr>
                              <w:spacing w:before="0" w:after="0"/>
                              <w:ind w:left="57" w:right="57"/>
                              <w:jc w:val="center"/>
                              <w:rPr>
                                <w:b/>
                                <w:color w:val="FFFFFF" w:themeColor="background1"/>
                                <w:sz w:val="28"/>
                                <w:szCs w:val="28"/>
                              </w:rPr>
                            </w:pPr>
                            <w:r w:rsidRPr="0078056B">
                              <w:rPr>
                                <w:b/>
                                <w:color w:val="FFFFFF" w:themeColor="background1"/>
                                <w:sz w:val="28"/>
                                <w:szCs w:val="28"/>
                              </w:rPr>
                              <w:t>The impact of the University of Birmingham’s expenditure on the UK economy in 2021-22 stood at £908 million.</w:t>
                            </w:r>
                          </w:p>
                        </w:txbxContent>
                      </wps:txbx>
                      <wps:bodyPr rot="0" vert="horz" wrap="square" lIns="18000" tIns="18000" rIns="18000" bIns="18000" anchor="ctr"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8DBFEB" id="Text Box 7" o:spid="_x0000_s1041" type="#_x0000_t202" style="position:absolute;left:0;text-align:left;margin-left:271.2pt;margin-top:3.65pt;width:168pt;height:89.0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TawIAAMEEAAAOAAAAZHJzL2Uyb0RvYy54bWysVN9v0zAQfkfif7D8TpO0dGzR0ml0DCGN&#10;H2Igni+O01hzfMZ2m2x/PWen7Qq8Ifpg+WL7u7vv+66XV2Ov2U46r9BUvJjlnEkjsFFmU/Hv325f&#10;nXPmA5gGNBpZ8Ufp+dXq5YvLwZZyjh3qRjpGIMaXg614F4Its8yLTvbgZ2ilocMWXQ+BQrfJGgcD&#10;ofc6m+f5WTaga6xDIb2nrzfTIV8l/LaVInxuWy8D0xWn2kJaXVrruGarSyg3DmynxL4M+IcqelCG&#10;kh6hbiAA2zr1F1SvhEOPbZgJ7DNsWyVk6oG6KfI/urnvwMrUC5Hj7ZEm//9gxafdvf3iWBjf4kgC&#10;pia8vUPx4JnBdQdmI6+dw6GT0FDiIlKWDdaX+6eRal/6CFIPH7EhkWEbMAGNresjK9QnI3QS4PFI&#10;uhwDE/RxXiwWZzkdCTorikV+sVimHFAenlvnw3uJPYubijtSNcHD7s6HWA6Uhysxm0etmluldQqi&#10;k+RaO7YD8kAY53vw325pw4aKXyznywRsMD5P3uhVIINq1Vf8PI+/yTKRjXemSVcCKD3tqRBtYlaZ&#10;rEfVpe63BHHfNQOr9dZ9habiy5zAOGtU7GdxXkwB+XL+ZkrCQG9ooILmzGH4oUKXzBDZi5Cx3WNP&#10;tQbxMBGibQdTo68Pte7JoduJKDwUk6KTOpOmUcZJ0DDWI1NUapHUiBrX2DySylRPkpKmnjYduifO&#10;BpqgivufW3CSM/3BRKdEvmjkTgN3GtSnARhBUBUXwXE2BeswDerWOrXpKNfkToPX5K9WJeWf69q7&#10;kuYkdbaf6TiIp3G69fzPs/oFAAD//wMAUEsDBBQABgAIAAAAIQCjMM9P3QAAAAkBAAAPAAAAZHJz&#10;L2Rvd25yZXYueG1sTI/BTsMwEETvSPyDtUjcqENJ2hDiVIDghEBq6aHHbbwkEfE6it02/XuWExxH&#10;8zT7tlxNrldHGkPn2cDtLAFFXHvbcWNg+/l6k4MKEdli75kMnCnAqrq8KLGw/sRrOm5io2SEQ4EG&#10;2hiHQutQt+QwzPxALN2XHx1GiWOj7YgnGXe9nifJQjvsWC60ONBzS/X35uAMhCG888t53C3W94Rv&#10;HxSfkswac301PT6AijTFPxh+9UUdKnHa+wPboHoDWTpPBTWwvAMlfb7MJe8FzLMUdFXq/x9UPwAA&#10;AP//AwBQSwECLQAUAAYACAAAACEAtoM4kv4AAADhAQAAEwAAAAAAAAAAAAAAAAAAAAAAW0NvbnRl&#10;bnRfVHlwZXNdLnhtbFBLAQItABQABgAIAAAAIQA4/SH/1gAAAJQBAAALAAAAAAAAAAAAAAAAAC8B&#10;AABfcmVscy8ucmVsc1BLAQItABQABgAIAAAAIQD/siPTawIAAMEEAAAOAAAAAAAAAAAAAAAAAC4C&#10;AABkcnMvZTJvRG9jLnhtbFBLAQItABQABgAIAAAAIQCjMM9P3QAAAAkBAAAPAAAAAAAAAAAAAAAA&#10;AMUEAABkcnMvZG93bnJldi54bWxQSwUGAAAAAAQABADzAAAAzwUAAAAA&#10;" fillcolor="#06357a [3215]" stroked="f">
                <v:shadow on="t" color="black" opacity="26214f" origin="-.5,-.5" offset=".74836mm,.74836mm"/>
                <v:textbox inset=".5mm,.5mm,.5mm,.5mm">
                  <w:txbxContent>
                    <w:p w14:paraId="0EF16AA5" w14:textId="77777777" w:rsidR="00383BF9" w:rsidRPr="003541E0" w:rsidRDefault="00383BF9" w:rsidP="00383BF9">
                      <w:pPr>
                        <w:spacing w:before="0" w:after="0"/>
                        <w:ind w:left="57" w:right="57"/>
                        <w:jc w:val="center"/>
                        <w:rPr>
                          <w:b/>
                          <w:color w:val="FFFFFF" w:themeColor="background1"/>
                          <w:sz w:val="28"/>
                          <w:szCs w:val="28"/>
                        </w:rPr>
                      </w:pPr>
                      <w:r w:rsidRPr="0078056B">
                        <w:rPr>
                          <w:b/>
                          <w:color w:val="FFFFFF" w:themeColor="background1"/>
                          <w:sz w:val="28"/>
                          <w:szCs w:val="28"/>
                        </w:rPr>
                        <w:t>The impact of the University of Birmingham’s expenditure on the UK economy in 2021-22 stood at £908 million.</w:t>
                      </w:r>
                    </w:p>
                  </w:txbxContent>
                </v:textbox>
                <w10:wrap type="square" anchorx="margin"/>
                <w10:anchorlock/>
              </v:shape>
            </w:pict>
          </mc:Fallback>
        </mc:AlternateContent>
      </w:r>
      <w:r w:rsidRPr="0078056B">
        <w:fldChar w:fldCharType="begin"/>
      </w:r>
      <w:r w:rsidRPr="0078056B">
        <w:instrText xml:space="preserve"> REF _Ref160722935 \r \h </w:instrText>
      </w:r>
      <w:r w:rsidR="0078056B">
        <w:instrText xml:space="preserve"> \* MERGEFORMAT </w:instrText>
      </w:r>
      <w:r w:rsidRPr="0078056B">
        <w:fldChar w:fldCharType="separate"/>
      </w:r>
      <w:r w:rsidR="00E33157">
        <w:t>Figure 29</w:t>
      </w:r>
      <w:r w:rsidRPr="0078056B">
        <w:fldChar w:fldCharType="end"/>
      </w:r>
      <w:r w:rsidRPr="0078056B">
        <w:t xml:space="preserve"> presents the estimated total direct, indirect, and induced impacts associated with the expenditures incurred by the University of Birmingham in the 2021-22 academic year (after the above-described adjustments have been made). The aggregate impact of these expenditures was estimated at approximately </w:t>
      </w:r>
      <w:r w:rsidRPr="0078056B">
        <w:rPr>
          <w:rFonts w:eastAsia="Calibri" w:cs="Times New Roman"/>
          <w:b/>
          <w:color w:val="06357A"/>
        </w:rPr>
        <w:t>£908 million</w:t>
      </w:r>
      <w:r w:rsidRPr="0078056B">
        <w:rPr>
          <w:color w:val="06357A" w:themeColor="accent1"/>
        </w:rPr>
        <w:t xml:space="preserve"> </w:t>
      </w:r>
      <w:r w:rsidRPr="0078056B">
        <w:t xml:space="preserve">in economic output terms (see top panel of </w:t>
      </w:r>
      <w:r w:rsidRPr="0078056B">
        <w:fldChar w:fldCharType="begin"/>
      </w:r>
      <w:r w:rsidRPr="0078056B">
        <w:instrText xml:space="preserve"> REF _Ref160722935 \r \h </w:instrText>
      </w:r>
      <w:r w:rsidR="0078056B">
        <w:instrText xml:space="preserve"> \* MERGEFORMAT </w:instrText>
      </w:r>
      <w:r w:rsidRPr="0078056B">
        <w:fldChar w:fldCharType="separate"/>
      </w:r>
      <w:r w:rsidR="00E33157">
        <w:t>Figure 29</w:t>
      </w:r>
      <w:r w:rsidRPr="0078056B">
        <w:fldChar w:fldCharType="end"/>
      </w:r>
      <w:r w:rsidRPr="0078056B">
        <w:t>):</w:t>
      </w:r>
    </w:p>
    <w:p w14:paraId="26E8C943" w14:textId="77777777" w:rsidR="00383BF9" w:rsidRPr="0078056B" w:rsidRDefault="00383BF9" w:rsidP="00383BF9">
      <w:pPr>
        <w:pStyle w:val="MinorBullet1"/>
        <w:numPr>
          <w:ilvl w:val="0"/>
          <w:numId w:val="21"/>
        </w:numPr>
      </w:pPr>
      <w:r w:rsidRPr="0078056B">
        <w:t>In terms of region, the majority of this impact (</w:t>
      </w:r>
      <w:r w:rsidRPr="0078056B">
        <w:rPr>
          <w:b/>
          <w:bCs/>
          <w:color w:val="06357A" w:themeColor="accent1"/>
        </w:rPr>
        <w:t>£</w:t>
      </w:r>
      <w:r w:rsidRPr="0078056B">
        <w:rPr>
          <w:rFonts w:eastAsia="Calibri" w:cs="Times New Roman"/>
          <w:b/>
          <w:color w:val="06357A"/>
        </w:rPr>
        <w:t>596 million, 66%</w:t>
      </w:r>
      <w:r w:rsidRPr="0078056B">
        <w:t xml:space="preserve">) was generated in the </w:t>
      </w:r>
      <w:r w:rsidRPr="0078056B">
        <w:rPr>
          <w:b/>
          <w:bCs/>
          <w:color w:val="06357A" w:themeColor="accent1"/>
        </w:rPr>
        <w:t>West Midlands</w:t>
      </w:r>
      <w:r w:rsidRPr="0078056B">
        <w:rPr>
          <w:color w:val="000000" w:themeColor="text1"/>
        </w:rPr>
        <w:t xml:space="preserve">, </w:t>
      </w:r>
      <w:r w:rsidRPr="0078056B">
        <w:t xml:space="preserve">with the remaining </w:t>
      </w:r>
      <w:r w:rsidRPr="0078056B">
        <w:rPr>
          <w:b/>
          <w:bCs/>
          <w:color w:val="06357A" w:themeColor="accent1"/>
        </w:rPr>
        <w:t>£</w:t>
      </w:r>
      <w:r w:rsidRPr="0078056B">
        <w:rPr>
          <w:rFonts w:eastAsia="Calibri" w:cs="Times New Roman"/>
          <w:b/>
          <w:color w:val="06357A"/>
        </w:rPr>
        <w:t>312 million</w:t>
      </w:r>
      <w:r w:rsidRPr="0078056B">
        <w:rPr>
          <w:color w:val="06357A" w:themeColor="accent1"/>
        </w:rPr>
        <w:t xml:space="preserve"> </w:t>
      </w:r>
      <w:r w:rsidRPr="0078056B">
        <w:rPr>
          <w:color w:val="000000" w:themeColor="text1"/>
        </w:rPr>
        <w:t>(</w:t>
      </w:r>
      <w:r w:rsidRPr="0078056B">
        <w:rPr>
          <w:rFonts w:eastAsia="Calibri" w:cs="Times New Roman"/>
          <w:b/>
          <w:color w:val="06357A"/>
        </w:rPr>
        <w:t>34%</w:t>
      </w:r>
      <w:r w:rsidRPr="0078056B">
        <w:rPr>
          <w:color w:val="000000" w:themeColor="text1"/>
        </w:rPr>
        <w:t xml:space="preserve">) </w:t>
      </w:r>
      <w:r w:rsidRPr="0078056B">
        <w:t xml:space="preserve">occurring in </w:t>
      </w:r>
      <w:r w:rsidRPr="0078056B">
        <w:rPr>
          <w:b/>
          <w:bCs/>
          <w:color w:val="06357A" w:themeColor="accent1"/>
        </w:rPr>
        <w:t>other regions</w:t>
      </w:r>
      <w:r w:rsidRPr="0078056B">
        <w:rPr>
          <w:color w:val="06357A" w:themeColor="accent1"/>
        </w:rPr>
        <w:t xml:space="preserve"> </w:t>
      </w:r>
      <w:r w:rsidRPr="0078056B">
        <w:t>across the UK.</w:t>
      </w:r>
    </w:p>
    <w:p w14:paraId="4B7DCE94" w14:textId="77777777" w:rsidR="00383BF9" w:rsidRPr="0078056B" w:rsidRDefault="00383BF9" w:rsidP="00383BF9">
      <w:pPr>
        <w:pStyle w:val="MinorBullet1"/>
        <w:numPr>
          <w:ilvl w:val="0"/>
          <w:numId w:val="21"/>
        </w:numPr>
      </w:pPr>
      <w:r w:rsidRPr="0078056B">
        <w:t xml:space="preserve">In terms of sector, in addition to the impacts occurring in the </w:t>
      </w:r>
      <w:r w:rsidRPr="0078056B">
        <w:rPr>
          <w:b/>
          <w:bCs/>
          <w:color w:val="06357A" w:themeColor="accent1"/>
        </w:rPr>
        <w:t>government, health, and education sector</w:t>
      </w:r>
      <w:r w:rsidRPr="0078056B">
        <w:rPr>
          <w:color w:val="06357A" w:themeColor="accent1"/>
        </w:rPr>
        <w:t xml:space="preserve"> </w:t>
      </w:r>
      <w:r w:rsidRPr="0078056B">
        <w:t>itself</w:t>
      </w:r>
      <w:r w:rsidRPr="0078056B">
        <w:rPr>
          <w:color w:val="000000" w:themeColor="text1"/>
        </w:rPr>
        <w:t xml:space="preserve"> </w:t>
      </w:r>
      <w:r w:rsidRPr="0078056B">
        <w:t>(</w:t>
      </w:r>
      <w:r w:rsidRPr="0078056B">
        <w:rPr>
          <w:rFonts w:eastAsia="Calibri" w:cs="Times New Roman"/>
          <w:b/>
          <w:color w:val="06357A"/>
        </w:rPr>
        <w:t>£449 million, 49%</w:t>
      </w:r>
      <w:r w:rsidRPr="0078056B">
        <w:t xml:space="preserve">), there are also large impacts felt within other sectors, including the </w:t>
      </w:r>
      <w:r w:rsidRPr="0078056B">
        <w:rPr>
          <w:b/>
          <w:bCs/>
          <w:color w:val="06357A" w:themeColor="accent1"/>
        </w:rPr>
        <w:t>distribution, transport, hotel, and restaurant sector</w:t>
      </w:r>
      <w:r w:rsidRPr="0078056B">
        <w:t xml:space="preserve"> (</w:t>
      </w:r>
      <w:r w:rsidRPr="0078056B">
        <w:rPr>
          <w:rFonts w:eastAsia="Calibri" w:cs="Times New Roman"/>
          <w:b/>
          <w:color w:val="06357A"/>
        </w:rPr>
        <w:t>£115 million, 13%</w:t>
      </w:r>
      <w:r w:rsidRPr="0078056B">
        <w:t xml:space="preserve">), the </w:t>
      </w:r>
      <w:r w:rsidRPr="0078056B">
        <w:rPr>
          <w:b/>
          <w:bCs/>
          <w:color w:val="06357A" w:themeColor="accent1"/>
        </w:rPr>
        <w:t>production sector</w:t>
      </w:r>
      <w:r w:rsidRPr="0078056B">
        <w:rPr>
          <w:color w:val="06357A" w:themeColor="accent1"/>
        </w:rPr>
        <w:t xml:space="preserve"> </w:t>
      </w:r>
      <w:r w:rsidRPr="0078056B">
        <w:t>(</w:t>
      </w:r>
      <w:r w:rsidRPr="0078056B">
        <w:rPr>
          <w:rFonts w:eastAsia="Calibri" w:cs="Times New Roman"/>
          <w:b/>
          <w:color w:val="06357A"/>
        </w:rPr>
        <w:t>£105 million, 12%</w:t>
      </w:r>
      <w:r w:rsidRPr="0078056B">
        <w:t xml:space="preserve">), and the </w:t>
      </w:r>
      <w:r w:rsidRPr="0078056B">
        <w:rPr>
          <w:b/>
          <w:bCs/>
          <w:color w:val="06357A" w:themeColor="accent1"/>
        </w:rPr>
        <w:t>real estate sector</w:t>
      </w:r>
      <w:r w:rsidRPr="0078056B">
        <w:t xml:space="preserve"> (</w:t>
      </w:r>
      <w:r w:rsidRPr="0078056B">
        <w:rPr>
          <w:rFonts w:eastAsia="Calibri" w:cs="Times New Roman"/>
          <w:b/>
          <w:color w:val="06357A"/>
        </w:rPr>
        <w:t>£73 million, 8%</w:t>
      </w:r>
      <w:r w:rsidRPr="0078056B">
        <w:t>)</w:t>
      </w:r>
      <w:r w:rsidRPr="0078056B">
        <w:rPr>
          <w:vertAlign w:val="superscript"/>
        </w:rPr>
        <w:footnoteReference w:id="79"/>
      </w:r>
      <w:r w:rsidRPr="0078056B">
        <w:t>.</w:t>
      </w:r>
    </w:p>
    <w:p w14:paraId="346AE94B" w14:textId="10AF9DBB" w:rsidR="00383BF9" w:rsidRPr="0078056B" w:rsidRDefault="00383BF9" w:rsidP="00383BF9">
      <w:pPr>
        <w:sectPr w:rsidR="00383BF9" w:rsidRPr="0078056B" w:rsidSect="00383BF9">
          <w:headerReference w:type="even" r:id="rId110"/>
          <w:headerReference w:type="default" r:id="rId111"/>
          <w:footerReference w:type="even" r:id="rId112"/>
          <w:pgSz w:w="11906" w:h="16838"/>
          <w:pgMar w:top="1418" w:right="1531" w:bottom="1418" w:left="1531" w:header="709" w:footer="850" w:gutter="0"/>
          <w:cols w:space="708"/>
          <w:docGrid w:linePitch="360"/>
        </w:sectPr>
      </w:pPr>
      <w:r w:rsidRPr="0078056B">
        <w:t xml:space="preserve">In terms of the number of jobs supported (in FTE), the results indicate that the University of Birmingham’s spending supported a total of </w:t>
      </w:r>
      <w:r w:rsidRPr="0078056B">
        <w:rPr>
          <w:rFonts w:eastAsia="Calibri" w:cs="Times New Roman"/>
          <w:b/>
          <w:color w:val="06357A"/>
        </w:rPr>
        <w:t>6,200</w:t>
      </w:r>
      <w:r w:rsidRPr="0078056B">
        <w:rPr>
          <w:color w:val="000000" w:themeColor="text1"/>
        </w:rPr>
        <w:t xml:space="preserve"> </w:t>
      </w:r>
      <w:r w:rsidRPr="0078056B">
        <w:t xml:space="preserve">FTE jobs across the UK economy in the 2021-22 academic year (of which </w:t>
      </w:r>
      <w:r w:rsidRPr="0078056B">
        <w:rPr>
          <w:rFonts w:eastAsia="Calibri" w:cs="Times New Roman"/>
          <w:b/>
          <w:color w:val="06357A"/>
        </w:rPr>
        <w:t>4,620</w:t>
      </w:r>
      <w:r w:rsidRPr="0078056B">
        <w:rPr>
          <w:color w:val="06357A" w:themeColor="accent1"/>
        </w:rPr>
        <w:t xml:space="preserve"> </w:t>
      </w:r>
      <w:r w:rsidRPr="0078056B">
        <w:t xml:space="preserve">were located in the West Midlands). In addition, the impact in terms of gross value added was estimated at </w:t>
      </w:r>
      <w:r w:rsidRPr="0078056B">
        <w:rPr>
          <w:rFonts w:eastAsia="Calibri" w:cs="Times New Roman"/>
          <w:b/>
          <w:color w:val="06357A"/>
        </w:rPr>
        <w:t xml:space="preserve">£531 million </w:t>
      </w:r>
      <w:r w:rsidRPr="0078056B">
        <w:t xml:space="preserve">across the UK economy as a whole (with </w:t>
      </w:r>
      <w:r w:rsidRPr="0078056B">
        <w:rPr>
          <w:rFonts w:eastAsia="Calibri" w:cs="Times New Roman"/>
          <w:b/>
          <w:color w:val="06357A"/>
        </w:rPr>
        <w:t>£367 million</w:t>
      </w:r>
      <w:r w:rsidRPr="0078056B">
        <w:rPr>
          <w:color w:val="06357A" w:themeColor="accent1"/>
        </w:rPr>
        <w:t xml:space="preserve"> </w:t>
      </w:r>
      <w:r w:rsidR="00973DB6" w:rsidRPr="0078056B">
        <w:t xml:space="preserve">accrued </w:t>
      </w:r>
      <w:r w:rsidRPr="0078056B">
        <w:t>within the West Midlands).</w:t>
      </w:r>
    </w:p>
    <w:tbl>
      <w:tblPr>
        <w:tblStyle w:val="TableGrid"/>
        <w:tblW w:w="501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17"/>
        <w:gridCol w:w="7018"/>
      </w:tblGrid>
      <w:tr w:rsidR="00383BF9" w:rsidRPr="0078056B" w14:paraId="73E58183" w14:textId="77777777" w:rsidTr="000A186C">
        <w:trPr>
          <w:cantSplit/>
        </w:trPr>
        <w:tc>
          <w:tcPr>
            <w:tcW w:w="5000" w:type="pct"/>
            <w:gridSpan w:val="2"/>
          </w:tcPr>
          <w:p w14:paraId="0484C0CF" w14:textId="50CCDFA2" w:rsidR="00383BF9" w:rsidRPr="0078056B" w:rsidRDefault="00383BF9" w:rsidP="000A186C">
            <w:pPr>
              <w:pStyle w:val="FigureTitle"/>
            </w:pPr>
            <w:bookmarkStart w:id="303" w:name="_Ref160722935"/>
            <w:bookmarkStart w:id="304" w:name="_Toc168652210"/>
            <w:r w:rsidRPr="0078056B">
              <w:lastRenderedPageBreak/>
              <w:t>Total economic impact associated with the University of Birmingham’s expenditure</w:t>
            </w:r>
            <w:r w:rsidR="003365A6" w:rsidRPr="0078056B">
              <w:t>s</w:t>
            </w:r>
            <w:r w:rsidRPr="0078056B">
              <w:t xml:space="preserve"> in the 2021-22 academic year, by region and sector</w:t>
            </w:r>
            <w:bookmarkEnd w:id="303"/>
            <w:bookmarkEnd w:id="304"/>
          </w:p>
        </w:tc>
      </w:tr>
      <w:tr w:rsidR="00383BF9" w:rsidRPr="0078056B" w14:paraId="77B3B6E7" w14:textId="77777777" w:rsidTr="000A186C">
        <w:trPr>
          <w:cantSplit/>
        </w:trPr>
        <w:tc>
          <w:tcPr>
            <w:tcW w:w="2500" w:type="pct"/>
          </w:tcPr>
          <w:p w14:paraId="46A68742" w14:textId="77777777" w:rsidR="00383BF9" w:rsidRPr="0078056B" w:rsidRDefault="00383BF9" w:rsidP="000A186C">
            <w:pPr>
              <w:pStyle w:val="PlaceholderText"/>
              <w:jc w:val="left"/>
            </w:pPr>
            <w:r w:rsidRPr="0078056B">
              <w:rPr>
                <w:noProof/>
              </w:rPr>
              <w:drawing>
                <wp:inline distT="0" distB="0" distL="0" distR="0" wp14:anchorId="2E968462" wp14:editId="5F6173D9">
                  <wp:extent cx="3816518" cy="1763395"/>
                  <wp:effectExtent l="0" t="0" r="0" b="0"/>
                  <wp:docPr id="2091365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5731"/>
                          <a:stretch/>
                        </pic:blipFill>
                        <pic:spPr bwMode="auto">
                          <a:xfrm>
                            <a:off x="0" y="0"/>
                            <a:ext cx="3817827" cy="176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7D9FD4CD" w14:textId="77777777" w:rsidR="00383BF9" w:rsidRPr="0078056B" w:rsidRDefault="00383BF9" w:rsidP="000A186C">
            <w:pPr>
              <w:pStyle w:val="PlaceholderText"/>
              <w:jc w:val="left"/>
            </w:pPr>
            <w:r w:rsidRPr="0078056B">
              <w:rPr>
                <w:noProof/>
              </w:rPr>
              <w:drawing>
                <wp:inline distT="0" distB="0" distL="0" distR="0" wp14:anchorId="38A63A47" wp14:editId="5C168597">
                  <wp:extent cx="4049919" cy="1764000"/>
                  <wp:effectExtent l="0" t="0" r="8255" b="8255"/>
                  <wp:docPr id="6907590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049919" cy="1764000"/>
                          </a:xfrm>
                          <a:prstGeom prst="rect">
                            <a:avLst/>
                          </a:prstGeom>
                          <a:noFill/>
                          <a:ln>
                            <a:noFill/>
                          </a:ln>
                        </pic:spPr>
                      </pic:pic>
                    </a:graphicData>
                  </a:graphic>
                </wp:inline>
              </w:drawing>
            </w:r>
          </w:p>
        </w:tc>
      </w:tr>
      <w:tr w:rsidR="00383BF9" w:rsidRPr="0078056B" w14:paraId="1549A705" w14:textId="77777777" w:rsidTr="000A186C">
        <w:trPr>
          <w:cantSplit/>
        </w:trPr>
        <w:tc>
          <w:tcPr>
            <w:tcW w:w="2500" w:type="pct"/>
          </w:tcPr>
          <w:p w14:paraId="447CB4A1" w14:textId="77777777" w:rsidR="00383BF9" w:rsidRPr="0078056B" w:rsidRDefault="00383BF9" w:rsidP="000A186C">
            <w:pPr>
              <w:pStyle w:val="PlaceholderText"/>
              <w:jc w:val="left"/>
            </w:pPr>
            <w:r w:rsidRPr="0078056B">
              <w:rPr>
                <w:noProof/>
              </w:rPr>
              <w:drawing>
                <wp:inline distT="0" distB="0" distL="0" distR="0" wp14:anchorId="670FDCDA" wp14:editId="66987FB8">
                  <wp:extent cx="3850637" cy="1763395"/>
                  <wp:effectExtent l="0" t="0" r="0" b="8255"/>
                  <wp:docPr id="9279023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4888"/>
                          <a:stretch/>
                        </pic:blipFill>
                        <pic:spPr bwMode="auto">
                          <a:xfrm>
                            <a:off x="0" y="0"/>
                            <a:ext cx="3851958" cy="176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7F2A4FF0" w14:textId="77777777" w:rsidR="00383BF9" w:rsidRPr="0078056B" w:rsidRDefault="00383BF9" w:rsidP="000A186C">
            <w:pPr>
              <w:pStyle w:val="PlaceholderText"/>
            </w:pPr>
            <w:r w:rsidRPr="0078056B">
              <w:rPr>
                <w:noProof/>
              </w:rPr>
              <w:drawing>
                <wp:inline distT="0" distB="0" distL="0" distR="0" wp14:anchorId="03689E99" wp14:editId="5F990482">
                  <wp:extent cx="3966643" cy="1763395"/>
                  <wp:effectExtent l="0" t="0" r="0" b="8255"/>
                  <wp:docPr id="4617019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l="2022"/>
                          <a:stretch/>
                        </pic:blipFill>
                        <pic:spPr bwMode="auto">
                          <a:xfrm>
                            <a:off x="0" y="0"/>
                            <a:ext cx="3968004" cy="176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3BF9" w:rsidRPr="0078056B" w14:paraId="364A6A36" w14:textId="77777777" w:rsidTr="000A186C">
        <w:trPr>
          <w:cantSplit/>
        </w:trPr>
        <w:tc>
          <w:tcPr>
            <w:tcW w:w="2500" w:type="pct"/>
          </w:tcPr>
          <w:p w14:paraId="459935F8" w14:textId="77777777" w:rsidR="00383BF9" w:rsidRPr="0078056B" w:rsidRDefault="00383BF9" w:rsidP="000A186C">
            <w:pPr>
              <w:pStyle w:val="PlaceholderText"/>
            </w:pPr>
            <w:r w:rsidRPr="0078056B">
              <w:rPr>
                <w:noProof/>
              </w:rPr>
              <w:drawing>
                <wp:inline distT="0" distB="0" distL="0" distR="0" wp14:anchorId="0C4EE086" wp14:editId="49081A5E">
                  <wp:extent cx="4007586" cy="1763395"/>
                  <wp:effectExtent l="0" t="0" r="0" b="8255"/>
                  <wp:docPr id="6285221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1012"/>
                          <a:stretch/>
                        </pic:blipFill>
                        <pic:spPr bwMode="auto">
                          <a:xfrm>
                            <a:off x="0" y="0"/>
                            <a:ext cx="4008961" cy="176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21B84C0E" w14:textId="77777777" w:rsidR="00383BF9" w:rsidRPr="0078056B" w:rsidRDefault="00383BF9" w:rsidP="000A186C">
            <w:pPr>
              <w:pStyle w:val="PlaceholderText"/>
              <w:jc w:val="left"/>
            </w:pPr>
            <w:r w:rsidRPr="0078056B">
              <w:rPr>
                <w:noProof/>
              </w:rPr>
              <w:drawing>
                <wp:inline distT="0" distB="0" distL="0" distR="0" wp14:anchorId="56E86FFF" wp14:editId="2E1D8066">
                  <wp:extent cx="3966643" cy="1763395"/>
                  <wp:effectExtent l="0" t="0" r="0" b="8255"/>
                  <wp:docPr id="3348296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2022"/>
                          <a:stretch/>
                        </pic:blipFill>
                        <pic:spPr bwMode="auto">
                          <a:xfrm>
                            <a:off x="0" y="0"/>
                            <a:ext cx="3968004" cy="176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3BF9" w:rsidRPr="0078056B" w14:paraId="32F00F88" w14:textId="77777777" w:rsidTr="000A186C">
        <w:trPr>
          <w:cantSplit/>
        </w:trPr>
        <w:tc>
          <w:tcPr>
            <w:tcW w:w="5000" w:type="pct"/>
            <w:gridSpan w:val="2"/>
          </w:tcPr>
          <w:p w14:paraId="5FD96B23" w14:textId="77777777" w:rsidR="00383BF9" w:rsidRPr="0078056B" w:rsidRDefault="00383BF9" w:rsidP="000A186C">
            <w:pPr>
              <w:pStyle w:val="TableSource"/>
            </w:pPr>
            <w:r w:rsidRPr="0078056B">
              <w:rPr>
                <w:b w:val="0"/>
                <w:bCs/>
                <w:i w:val="0"/>
                <w:iCs/>
              </w:rPr>
              <w:t xml:space="preserve">Note: Monetary estimates are presented in 2021-22 prices, rounded to the nearest £1 million, and may not add up precisely to the totals indicated. Employment estimates are rounded to the nearest 5, and again may not add up precisely to the totals indicated. </w:t>
            </w:r>
            <w:r w:rsidRPr="0078056B">
              <w:rPr>
                <w:bCs/>
                <w:iCs/>
              </w:rPr>
              <w:t>Source: London Economics’ analysis</w:t>
            </w:r>
          </w:p>
        </w:tc>
      </w:tr>
    </w:tbl>
    <w:p w14:paraId="3E90AAE0" w14:textId="77777777" w:rsidR="00383BF9" w:rsidRPr="0078056B" w:rsidRDefault="00383BF9" w:rsidP="00383BF9">
      <w:pPr>
        <w:sectPr w:rsidR="00383BF9" w:rsidRPr="0078056B" w:rsidSect="00383BF9">
          <w:headerReference w:type="even" r:id="rId119"/>
          <w:headerReference w:type="default" r:id="rId120"/>
          <w:footerReference w:type="even" r:id="rId121"/>
          <w:footerReference w:type="default" r:id="rId122"/>
          <w:headerReference w:type="first" r:id="rId123"/>
          <w:footerReference w:type="first" r:id="rId124"/>
          <w:pgSz w:w="16838" w:h="11906" w:orient="landscape"/>
          <w:pgMar w:top="964" w:right="1417" w:bottom="1417" w:left="1417" w:header="567" w:footer="340" w:gutter="0"/>
          <w:cols w:space="708"/>
          <w:docGrid w:linePitch="360"/>
        </w:sectPr>
      </w:pPr>
    </w:p>
    <w:p w14:paraId="1F3B9586" w14:textId="3FBD7D15" w:rsidR="00AF18BB" w:rsidRPr="0078056B" w:rsidRDefault="00AF18BB" w:rsidP="00AF18BB">
      <w:pPr>
        <w:pStyle w:val="Heading1"/>
      </w:pPr>
      <w:bookmarkStart w:id="305" w:name="_Ref162268826"/>
      <w:bookmarkStart w:id="306" w:name="_Ref162535018"/>
      <w:bookmarkStart w:id="307" w:name="_Ref162535019"/>
      <w:bookmarkStart w:id="308" w:name="_Toc168652136"/>
      <w:r w:rsidRPr="0078056B">
        <w:rPr>
          <w:rStyle w:val="HeaderRepeat"/>
        </w:rPr>
        <w:lastRenderedPageBreak/>
        <w:t>The University of Birmingham’s contribution to tourism</w:t>
      </w:r>
      <w:bookmarkEnd w:id="305"/>
      <w:bookmarkEnd w:id="306"/>
      <w:bookmarkEnd w:id="307"/>
      <w:bookmarkEnd w:id="308"/>
    </w:p>
    <w:p w14:paraId="4D25AA6C" w14:textId="77777777" w:rsidR="00E13125" w:rsidRPr="0078056B" w:rsidRDefault="00E13125" w:rsidP="00E13125">
      <w:pPr>
        <w:spacing w:before="0"/>
      </w:pPr>
      <w:r w:rsidRPr="0078056B">
        <w:t>As a final strand of economic contribution, this chapter outlines the analysis of the University’s role in attracting a range of visitors to Birmingham, including business visitors, friends and family visiting the University’s staff and students, and visitors participating in study trips to the University.</w:t>
      </w:r>
    </w:p>
    <w:p w14:paraId="3907C3CE" w14:textId="028407F3" w:rsidR="00E13125" w:rsidRPr="0078056B" w:rsidRDefault="00E13125" w:rsidP="00E13125">
      <w:pPr>
        <w:spacing w:before="0"/>
        <w:rPr>
          <w:rFonts w:asciiTheme="minorHAnsi" w:hAnsiTheme="minorHAnsi" w:cstheme="minorHAnsi"/>
        </w:rPr>
      </w:pPr>
      <w:r w:rsidRPr="0078056B">
        <w:t xml:space="preserve">To understand the economic impact of tourism associated with the University, we combine information on the number of visits to Birmingham associated with the University with information on the average expenditure per visitor. As with the University’s research and knowledge exchange activities (see Section </w:t>
      </w:r>
      <w:r w:rsidR="005642BE" w:rsidRPr="0078056B">
        <w:fldChar w:fldCharType="begin"/>
      </w:r>
      <w:r w:rsidR="005642BE" w:rsidRPr="0078056B">
        <w:instrText xml:space="preserve"> REF _Ref162258996 \r \h </w:instrText>
      </w:r>
      <w:r w:rsidR="0078056B">
        <w:instrText xml:space="preserve"> \* MERGEFORMAT </w:instrText>
      </w:r>
      <w:r w:rsidR="005642BE" w:rsidRPr="0078056B">
        <w:fldChar w:fldCharType="separate"/>
      </w:r>
      <w:r w:rsidR="00E33157">
        <w:t>2</w:t>
      </w:r>
      <w:r w:rsidR="005642BE" w:rsidRPr="0078056B">
        <w:fldChar w:fldCharType="end"/>
      </w:r>
      <w:r w:rsidRPr="0078056B">
        <w:t xml:space="preserve">), </w:t>
      </w:r>
      <w:r w:rsidR="005642BE" w:rsidRPr="0078056B">
        <w:t>educational</w:t>
      </w:r>
      <w:r w:rsidRPr="0078056B">
        <w:t xml:space="preserve"> </w:t>
      </w:r>
      <w:r w:rsidR="005642BE" w:rsidRPr="0078056B">
        <w:t xml:space="preserve">exports </w:t>
      </w:r>
      <w:r w:rsidRPr="0078056B">
        <w:t>(see Section 4), and operational and capital expenditures (see Section 5)</w:t>
      </w:r>
      <w:r w:rsidRPr="0078056B">
        <w:rPr>
          <w:rFonts w:asciiTheme="minorHAnsi" w:hAnsiTheme="minorHAnsi" w:cstheme="minorHAnsi"/>
        </w:rPr>
        <w:t xml:space="preserve">, these visitors’ expenditures result in subsequent rounds of spending and economic activity within the local economy, captured by the </w:t>
      </w:r>
      <w:r w:rsidRPr="0078056B">
        <w:t xml:space="preserve">direct, indirect, and induced impacts associated with these expenditures. Again, these impacts are estimated using economic multipliers, and are measured in terms of the contribution to </w:t>
      </w:r>
      <w:r w:rsidRPr="0078056B">
        <w:rPr>
          <w:b/>
          <w:color w:val="06357A" w:themeColor="accent1"/>
        </w:rPr>
        <w:t>economic output</w:t>
      </w:r>
      <w:r w:rsidRPr="0078056B">
        <w:rPr>
          <w:color w:val="06357A" w:themeColor="accent1"/>
        </w:rPr>
        <w:t xml:space="preserve">, </w:t>
      </w:r>
      <w:r w:rsidRPr="0078056B">
        <w:rPr>
          <w:b/>
          <w:bCs/>
          <w:color w:val="06357A" w:themeColor="accent1"/>
        </w:rPr>
        <w:t>gross value added</w:t>
      </w:r>
      <w:r w:rsidRPr="0078056B">
        <w:t xml:space="preserve">, and (full-time equivalent) </w:t>
      </w:r>
      <w:r w:rsidRPr="0078056B">
        <w:rPr>
          <w:b/>
          <w:color w:val="06357A" w:themeColor="accent1"/>
        </w:rPr>
        <w:t>employment</w:t>
      </w:r>
      <w:r w:rsidRPr="0078056B">
        <w:t xml:space="preserve"> in 2021-22.</w:t>
      </w:r>
    </w:p>
    <w:p w14:paraId="79EF961E" w14:textId="77777777" w:rsidR="00E13125" w:rsidRPr="0078056B" w:rsidRDefault="00E13125" w:rsidP="00E13125">
      <w:pPr>
        <w:pStyle w:val="Heading2"/>
      </w:pPr>
      <w:bookmarkStart w:id="309" w:name="_Toc112934675"/>
      <w:bookmarkStart w:id="310" w:name="_Toc138171549"/>
      <w:bookmarkStart w:id="311" w:name="_Toc161676188"/>
      <w:bookmarkStart w:id="312" w:name="_Toc168652137"/>
      <w:r w:rsidRPr="0078056B">
        <w:t>Estimating the number of visitors associated with the University’s activities</w:t>
      </w:r>
      <w:bookmarkEnd w:id="309"/>
      <w:bookmarkEnd w:id="310"/>
      <w:bookmarkEnd w:id="311"/>
      <w:bookmarkEnd w:id="312"/>
    </w:p>
    <w:p w14:paraId="775EE665" w14:textId="2E57EF02" w:rsidR="00E13125" w:rsidRPr="0078056B" w:rsidRDefault="00E13125" w:rsidP="00E13125">
      <w:r w:rsidRPr="0078056B">
        <w:t>Data from the International Passenger Survey (IPS) by the Office for National Statistics</w:t>
      </w:r>
      <w:r w:rsidRPr="0078056B">
        <w:rPr>
          <w:rStyle w:val="FootnoteReference"/>
        </w:rPr>
        <w:footnoteReference w:id="80"/>
      </w:r>
      <w:r w:rsidRPr="0078056B">
        <w:t xml:space="preserve"> estimated that, in 2022, there were a total of approximately </w:t>
      </w:r>
      <w:r w:rsidRPr="0078056B">
        <w:rPr>
          <w:b/>
          <w:bCs/>
          <w:color w:val="06357A"/>
        </w:rPr>
        <w:t xml:space="preserve">803,000 </w:t>
      </w:r>
      <w:r w:rsidRPr="0078056B">
        <w:t xml:space="preserve">overseas </w:t>
      </w:r>
      <w:r w:rsidR="00744214" w:rsidRPr="0078056B">
        <w:t xml:space="preserve">overnight </w:t>
      </w:r>
      <w:r w:rsidRPr="0078056B">
        <w:t>visits to Birmingham.</w:t>
      </w:r>
      <w:r w:rsidR="008059A4" w:rsidRPr="0078056B">
        <w:rPr>
          <w:rStyle w:val="FootnoteReference"/>
        </w:rPr>
        <w:footnoteReference w:id="81"/>
      </w:r>
      <w:r w:rsidRPr="0078056B">
        <w:t xml:space="preserve"> Domestic visits are not considered in the analysis as they do not contribute additionally to the UK economy.</w:t>
      </w:r>
      <w:r w:rsidRPr="0078056B">
        <w:rPr>
          <w:rStyle w:val="FootnoteReference"/>
        </w:rPr>
        <w:footnoteReference w:id="82"/>
      </w:r>
      <w:r w:rsidRPr="0078056B">
        <w:t xml:space="preserve"> As a result, the remainder of this analysis focuses only on the </w:t>
      </w:r>
      <w:r w:rsidRPr="0078056B">
        <w:rPr>
          <w:b/>
          <w:bCs/>
          <w:color w:val="06357A"/>
        </w:rPr>
        <w:t>803,000</w:t>
      </w:r>
      <w:r w:rsidRPr="0078056B">
        <w:t xml:space="preserve"> trips to Birmingham involving overnight stays by visitors from overseas.</w:t>
      </w:r>
    </w:p>
    <w:p w14:paraId="0EB9A74E" w14:textId="4AE6BAB3" w:rsidR="00E13125" w:rsidRPr="0078056B" w:rsidRDefault="00E13125" w:rsidP="00E13125">
      <w:r w:rsidRPr="0078056B">
        <w:t xml:space="preserve">In addition to the total number of these overseas overnight visits, a key element of the analysis involves understanding the specific reason for these visits. Using information from the IPS (VisitBritain, 2023b), of the total of </w:t>
      </w:r>
      <w:r w:rsidRPr="0078056B">
        <w:rPr>
          <w:b/>
          <w:bCs/>
          <w:color w:val="06357A"/>
        </w:rPr>
        <w:t>803,000</w:t>
      </w:r>
      <w:r w:rsidRPr="0078056B">
        <w:t xml:space="preserve"> overnight trips to Birmingham by overseas visitors, approximately </w:t>
      </w:r>
      <w:r w:rsidRPr="0078056B">
        <w:rPr>
          <w:b/>
          <w:bCs/>
          <w:color w:val="06357A"/>
        </w:rPr>
        <w:t>47%</w:t>
      </w:r>
      <w:r w:rsidRPr="0078056B">
        <w:t xml:space="preserve"> (</w:t>
      </w:r>
      <w:r w:rsidRPr="0078056B">
        <w:rPr>
          <w:b/>
          <w:bCs/>
          <w:color w:val="06357A"/>
        </w:rPr>
        <w:t>374,000</w:t>
      </w:r>
      <w:r w:rsidRPr="0078056B">
        <w:t xml:space="preserve">) were for business trips, </w:t>
      </w:r>
      <w:r w:rsidRPr="0078056B">
        <w:rPr>
          <w:b/>
          <w:bCs/>
          <w:color w:val="06357A"/>
        </w:rPr>
        <w:t>36%</w:t>
      </w:r>
      <w:r w:rsidRPr="0078056B">
        <w:t xml:space="preserve"> (</w:t>
      </w:r>
      <w:r w:rsidRPr="0078056B">
        <w:rPr>
          <w:b/>
          <w:bCs/>
          <w:color w:val="06357A"/>
        </w:rPr>
        <w:t>286,000</w:t>
      </w:r>
      <w:r w:rsidRPr="0078056B">
        <w:t xml:space="preserve">) were for the purposes of visiting friends and family, </w:t>
      </w:r>
      <w:r w:rsidRPr="0078056B">
        <w:rPr>
          <w:b/>
          <w:bCs/>
          <w:color w:val="06357A"/>
        </w:rPr>
        <w:t>14%</w:t>
      </w:r>
      <w:r w:rsidRPr="0078056B">
        <w:rPr>
          <w:color w:val="06357A"/>
        </w:rPr>
        <w:t xml:space="preserve"> </w:t>
      </w:r>
      <w:r w:rsidRPr="0078056B">
        <w:t>(</w:t>
      </w:r>
      <w:r w:rsidRPr="0078056B">
        <w:rPr>
          <w:b/>
          <w:bCs/>
          <w:color w:val="06357A"/>
        </w:rPr>
        <w:t>110,000</w:t>
      </w:r>
      <w:r w:rsidRPr="0078056B">
        <w:t xml:space="preserve">) were holiday visits, </w:t>
      </w:r>
      <w:r w:rsidRPr="0078056B">
        <w:rPr>
          <w:b/>
          <w:bCs/>
          <w:color w:val="06357A"/>
        </w:rPr>
        <w:t>1%</w:t>
      </w:r>
      <w:r w:rsidRPr="0078056B">
        <w:t xml:space="preserve"> (</w:t>
      </w:r>
      <w:r w:rsidRPr="0078056B">
        <w:rPr>
          <w:b/>
          <w:bCs/>
          <w:color w:val="06357A"/>
        </w:rPr>
        <w:t>8,000</w:t>
      </w:r>
      <w:r w:rsidRPr="0078056B">
        <w:t xml:space="preserve">) were study trips to Birmingham, and the remaining </w:t>
      </w:r>
      <w:r w:rsidRPr="0078056B">
        <w:rPr>
          <w:b/>
          <w:bCs/>
          <w:color w:val="06357A"/>
        </w:rPr>
        <w:t>3%</w:t>
      </w:r>
      <w:r w:rsidRPr="0078056B">
        <w:t xml:space="preserve"> (</w:t>
      </w:r>
      <w:r w:rsidRPr="0078056B">
        <w:rPr>
          <w:b/>
          <w:bCs/>
          <w:color w:val="06357A"/>
        </w:rPr>
        <w:t>26,000</w:t>
      </w:r>
      <w:r w:rsidRPr="0078056B">
        <w:t xml:space="preserve">) were trips for other purposes. Using this breakdown by purpose of visit to estimate the impact of the University of Birmingham’s contribution to tourism in a typical academic year, we made the following assumptions in relation to the </w:t>
      </w:r>
      <w:r w:rsidRPr="0078056B">
        <w:rPr>
          <w:b/>
          <w:bCs/>
          <w:color w:val="06357A" w:themeColor="accent1"/>
        </w:rPr>
        <w:t>number of overseas overnight visits to Birmingham that resulted from the University’s presence</w:t>
      </w:r>
      <w:r w:rsidRPr="0078056B">
        <w:t>:</w:t>
      </w:r>
    </w:p>
    <w:p w14:paraId="0354237F" w14:textId="77777777" w:rsidR="00E13125" w:rsidRPr="0078056B" w:rsidRDefault="00E13125" w:rsidP="003A6119">
      <w:pPr>
        <w:pStyle w:val="MinorBullet1"/>
        <w:numPr>
          <w:ilvl w:val="0"/>
          <w:numId w:val="21"/>
        </w:numPr>
      </w:pPr>
      <w:r w:rsidRPr="0078056B">
        <w:t xml:space="preserve">With respect to </w:t>
      </w:r>
      <w:r w:rsidRPr="0078056B">
        <w:rPr>
          <w:b/>
          <w:bCs/>
          <w:color w:val="06357A" w:themeColor="accent1"/>
        </w:rPr>
        <w:t>trips to visit family and friends</w:t>
      </w:r>
      <w:r w:rsidRPr="0078056B">
        <w:t xml:space="preserve">, data from the University of Birmingham indicates that there were approximately </w:t>
      </w:r>
      <w:r w:rsidRPr="0078056B">
        <w:rPr>
          <w:b/>
          <w:bCs/>
          <w:color w:val="06357A"/>
        </w:rPr>
        <w:t>2,420</w:t>
      </w:r>
      <w:r w:rsidRPr="0078056B">
        <w:t xml:space="preserve"> non-UK nationals employed by the University</w:t>
      </w:r>
      <w:r w:rsidRPr="0078056B">
        <w:rPr>
          <w:rStyle w:val="FootnoteReference"/>
        </w:rPr>
        <w:footnoteReference w:id="83"/>
      </w:r>
      <w:r w:rsidRPr="0078056B">
        <w:t xml:space="preserve"> (representing </w:t>
      </w:r>
      <w:r w:rsidRPr="0078056B">
        <w:rPr>
          <w:b/>
          <w:bCs/>
          <w:color w:val="06357A"/>
        </w:rPr>
        <w:t>0.2%</w:t>
      </w:r>
      <w:r w:rsidRPr="0078056B">
        <w:t xml:space="preserve"> of the resident population of Birmingham), as well as </w:t>
      </w:r>
      <w:r w:rsidRPr="0078056B">
        <w:rPr>
          <w:b/>
          <w:bCs/>
          <w:color w:val="06357A"/>
        </w:rPr>
        <w:t xml:space="preserve">9,560 </w:t>
      </w:r>
      <w:r w:rsidRPr="0078056B">
        <w:t>non-UK domiciled</w:t>
      </w:r>
      <w:r w:rsidRPr="0078056B">
        <w:rPr>
          <w:b/>
          <w:bCs/>
        </w:rPr>
        <w:t xml:space="preserve"> </w:t>
      </w:r>
      <w:r w:rsidRPr="0078056B">
        <w:t>students attending the University</w:t>
      </w:r>
      <w:r w:rsidRPr="0078056B">
        <w:rPr>
          <w:rStyle w:val="FootnoteReference"/>
        </w:rPr>
        <w:footnoteReference w:id="84"/>
      </w:r>
      <w:r w:rsidRPr="0078056B">
        <w:t xml:space="preserve"> (representing around </w:t>
      </w:r>
      <w:r w:rsidRPr="0078056B">
        <w:rPr>
          <w:b/>
          <w:bCs/>
          <w:color w:val="06357A"/>
        </w:rPr>
        <w:t>0.8%</w:t>
      </w:r>
      <w:r w:rsidRPr="0078056B">
        <w:t xml:space="preserve"> of the resident population). Based on London Economics’ previous analysis assessing the </w:t>
      </w:r>
      <w:r w:rsidRPr="0078056B">
        <w:lastRenderedPageBreak/>
        <w:t>economic impact of international students on the UK economy</w:t>
      </w:r>
      <w:r w:rsidRPr="0078056B">
        <w:rPr>
          <w:rStyle w:val="FootnoteReference"/>
        </w:rPr>
        <w:footnoteReference w:id="85"/>
      </w:r>
      <w:r w:rsidRPr="0078056B">
        <w:t xml:space="preserve">, it is assumed that, on average, there were </w:t>
      </w:r>
      <w:r w:rsidRPr="0078056B">
        <w:rPr>
          <w:b/>
          <w:bCs/>
          <w:color w:val="06357A"/>
        </w:rPr>
        <w:t>0.8</w:t>
      </w:r>
      <w:r w:rsidRPr="0078056B">
        <w:rPr>
          <w:color w:val="06357A"/>
        </w:rPr>
        <w:t xml:space="preserve"> </w:t>
      </w:r>
      <w:r w:rsidRPr="0078056B">
        <w:t xml:space="preserve">visits from overseas per non-EU domiciled student or non-EU member of staff and </w:t>
      </w:r>
      <w:r w:rsidRPr="0078056B">
        <w:rPr>
          <w:b/>
          <w:bCs/>
          <w:color w:val="06357A"/>
        </w:rPr>
        <w:t>3.1</w:t>
      </w:r>
      <w:r w:rsidRPr="0078056B">
        <w:rPr>
          <w:color w:val="06357A"/>
        </w:rPr>
        <w:t xml:space="preserve"> </w:t>
      </w:r>
      <w:r w:rsidRPr="0078056B">
        <w:t xml:space="preserve">visits from overseas per EU domiciled student or EU member of staff in 2021-22, which represents a weighted average of </w:t>
      </w:r>
      <w:r w:rsidRPr="0078056B">
        <w:rPr>
          <w:b/>
          <w:bCs/>
          <w:color w:val="06357A"/>
        </w:rPr>
        <w:t>1.1</w:t>
      </w:r>
      <w:r w:rsidRPr="0078056B">
        <w:rPr>
          <w:color w:val="06357A"/>
        </w:rPr>
        <w:t xml:space="preserve"> </w:t>
      </w:r>
      <w:r w:rsidRPr="0078056B">
        <w:t xml:space="preserve">visits per non-UK student and </w:t>
      </w:r>
      <w:r w:rsidRPr="0078056B">
        <w:rPr>
          <w:b/>
          <w:bCs/>
          <w:color w:val="06357A"/>
        </w:rPr>
        <w:t>1.9</w:t>
      </w:r>
      <w:r w:rsidRPr="0078056B">
        <w:rPr>
          <w:color w:val="06357A"/>
        </w:rPr>
        <w:t xml:space="preserve"> </w:t>
      </w:r>
      <w:r w:rsidRPr="0078056B">
        <w:t>visits per non-UK staff.</w:t>
      </w:r>
      <w:r w:rsidRPr="0078056B">
        <w:rPr>
          <w:rStyle w:val="FootnoteReference"/>
        </w:rPr>
        <w:footnoteReference w:id="86"/>
      </w:r>
      <w:r w:rsidRPr="0078056B">
        <w:t xml:space="preserve"> Based on a 2022 population estimate for the city of Birmingham of </w:t>
      </w:r>
      <w:r w:rsidRPr="0078056B">
        <w:rPr>
          <w:b/>
          <w:bCs/>
          <w:color w:val="06357A"/>
        </w:rPr>
        <w:t>1,157,600</w:t>
      </w:r>
      <w:r w:rsidRPr="0078056B">
        <w:rPr>
          <w:rStyle w:val="FootnoteReference"/>
        </w:rPr>
        <w:footnoteReference w:id="87"/>
      </w:r>
      <w:r w:rsidRPr="0078056B">
        <w:t xml:space="preserve">, it is therefore assumed that approximately </w:t>
      </w:r>
      <w:r w:rsidRPr="0078056B">
        <w:rPr>
          <w:b/>
          <w:bCs/>
          <w:color w:val="06357A"/>
        </w:rPr>
        <w:t>5%</w:t>
      </w:r>
      <w:r w:rsidRPr="0078056B">
        <w:t xml:space="preserve"> of all overseas visits to Birmingham to visit family or friends were visits to the University’s students and staff (equivalent to approximately </w:t>
      </w:r>
      <w:r w:rsidRPr="0078056B">
        <w:rPr>
          <w:b/>
          <w:bCs/>
          <w:color w:val="06357A"/>
        </w:rPr>
        <w:t>15,000</w:t>
      </w:r>
      <w:r w:rsidRPr="0078056B">
        <w:rPr>
          <w:color w:val="06357A"/>
        </w:rPr>
        <w:t xml:space="preserve"> </w:t>
      </w:r>
      <w:r w:rsidRPr="0078056B">
        <w:t>trips in 2021-22).</w:t>
      </w:r>
    </w:p>
    <w:p w14:paraId="4DE26F8A" w14:textId="77777777" w:rsidR="00E13125" w:rsidRPr="0078056B" w:rsidRDefault="00E13125" w:rsidP="003A6119">
      <w:pPr>
        <w:pStyle w:val="MinorBullet1"/>
        <w:numPr>
          <w:ilvl w:val="0"/>
          <w:numId w:val="21"/>
        </w:numPr>
      </w:pPr>
      <w:r w:rsidRPr="0078056B">
        <w:t xml:space="preserve">A similar approach was adopted in relation to </w:t>
      </w:r>
      <w:r w:rsidRPr="0078056B">
        <w:rPr>
          <w:b/>
          <w:bCs/>
          <w:color w:val="06357A" w:themeColor="accent1"/>
        </w:rPr>
        <w:t>business trips</w:t>
      </w:r>
      <w:r w:rsidRPr="0078056B">
        <w:t xml:space="preserve">. The University employed approximately </w:t>
      </w:r>
      <w:r w:rsidRPr="0078056B">
        <w:rPr>
          <w:b/>
          <w:bCs/>
          <w:color w:val="06357A"/>
        </w:rPr>
        <w:t xml:space="preserve">9,955 </w:t>
      </w:r>
      <w:r w:rsidRPr="0078056B">
        <w:t>staff in 2021-22,</w:t>
      </w:r>
      <w:r w:rsidRPr="0078056B">
        <w:rPr>
          <w:vertAlign w:val="superscript"/>
        </w:rPr>
        <w:t xml:space="preserve"> </w:t>
      </w:r>
      <w:r w:rsidRPr="0078056B">
        <w:t xml:space="preserve">accounting for around </w:t>
      </w:r>
      <w:r w:rsidRPr="0078056B">
        <w:rPr>
          <w:b/>
          <w:bCs/>
          <w:color w:val="06357A"/>
        </w:rPr>
        <w:t>2%</w:t>
      </w:r>
      <w:r w:rsidRPr="0078056B">
        <w:t xml:space="preserve"> of the total employed population of Birmingham in 2021-22</w:t>
      </w:r>
      <w:r w:rsidRPr="0078056B">
        <w:rPr>
          <w:rStyle w:val="FootnoteReference"/>
        </w:rPr>
        <w:footnoteReference w:id="88"/>
      </w:r>
      <w:r w:rsidRPr="0078056B">
        <w:t xml:space="preserve">. Based on this, it is assumed that </w:t>
      </w:r>
      <w:r w:rsidRPr="0078056B">
        <w:rPr>
          <w:b/>
          <w:bCs/>
          <w:color w:val="06357A"/>
        </w:rPr>
        <w:t>2%</w:t>
      </w:r>
      <w:r w:rsidRPr="0078056B">
        <w:t xml:space="preserve"> of business trips to Birmingham in 2021-22 were related to the University (corresponding to approximately </w:t>
      </w:r>
      <w:r w:rsidRPr="0078056B">
        <w:rPr>
          <w:b/>
          <w:bCs/>
          <w:color w:val="06357A"/>
        </w:rPr>
        <w:t>7,000</w:t>
      </w:r>
      <w:r w:rsidRPr="0078056B">
        <w:rPr>
          <w:color w:val="06357A"/>
        </w:rPr>
        <w:t xml:space="preserve"> </w:t>
      </w:r>
      <w:r w:rsidRPr="0078056B">
        <w:t xml:space="preserve">visits/trips). </w:t>
      </w:r>
    </w:p>
    <w:p w14:paraId="02DDE804" w14:textId="1A37BA09" w:rsidR="00E13125" w:rsidRPr="0078056B" w:rsidRDefault="00E13125" w:rsidP="003A6119">
      <w:pPr>
        <w:pStyle w:val="MinorBullet1"/>
        <w:numPr>
          <w:ilvl w:val="0"/>
          <w:numId w:val="21"/>
        </w:numPr>
      </w:pPr>
      <w:r w:rsidRPr="0078056B">
        <w:t xml:space="preserve">In terms of the </w:t>
      </w:r>
      <w:r w:rsidRPr="0078056B">
        <w:rPr>
          <w:b/>
          <w:bCs/>
          <w:color w:val="06357A"/>
        </w:rPr>
        <w:t>study</w:t>
      </w:r>
      <w:r w:rsidRPr="0078056B">
        <w:t xml:space="preserve"> </w:t>
      </w:r>
      <w:r w:rsidRPr="0078056B">
        <w:rPr>
          <w:b/>
          <w:bCs/>
          <w:color w:val="06357A"/>
        </w:rPr>
        <w:t>trips</w:t>
      </w:r>
      <w:r w:rsidRPr="0078056B">
        <w:t xml:space="preserve"> to Birmingham, it is assumed that all trips were a result of either the University of Birmingham, Aston University, Birmingham City University, Newman University or University College Birmingham. Non-UK domiciled students enrolled at the University of Birmingham accounted for </w:t>
      </w:r>
      <w:r w:rsidR="001726AB" w:rsidRPr="0078056B">
        <w:rPr>
          <w:b/>
          <w:bCs/>
          <w:color w:val="06357A"/>
        </w:rPr>
        <w:t>5</w:t>
      </w:r>
      <w:r w:rsidRPr="0078056B">
        <w:rPr>
          <w:b/>
          <w:bCs/>
          <w:color w:val="06357A"/>
        </w:rPr>
        <w:t>1%</w:t>
      </w:r>
      <w:r w:rsidRPr="0078056B">
        <w:t xml:space="preserve"> of the total non-UK domiciled student population of these institutions. It is assumed that study trips by international students are made in proportion to the number of international students at each institution and therefore that </w:t>
      </w:r>
      <w:r w:rsidR="001726AB" w:rsidRPr="0078056B">
        <w:rPr>
          <w:b/>
          <w:bCs/>
          <w:color w:val="06357A"/>
        </w:rPr>
        <w:t>51</w:t>
      </w:r>
      <w:r w:rsidRPr="0078056B">
        <w:rPr>
          <w:b/>
          <w:bCs/>
          <w:color w:val="06357A"/>
        </w:rPr>
        <w:t>%</w:t>
      </w:r>
      <w:r w:rsidRPr="0078056B">
        <w:t xml:space="preserve"> of study trips to Birmingham in 2021-22 are related to the University of Birmingham. This corresponds to approximately </w:t>
      </w:r>
      <w:r w:rsidRPr="0078056B">
        <w:rPr>
          <w:b/>
          <w:bCs/>
          <w:color w:val="06357A"/>
        </w:rPr>
        <w:t>4,000</w:t>
      </w:r>
      <w:r w:rsidRPr="0078056B">
        <w:t xml:space="preserve"> visits/trips.</w:t>
      </w:r>
    </w:p>
    <w:p w14:paraId="161A94A2" w14:textId="77777777" w:rsidR="00E13125" w:rsidRPr="0078056B" w:rsidRDefault="00E13125" w:rsidP="003A6119">
      <w:pPr>
        <w:pStyle w:val="MinorBullet1"/>
        <w:numPr>
          <w:ilvl w:val="0"/>
          <w:numId w:val="21"/>
        </w:numPr>
      </w:pPr>
      <w:r w:rsidRPr="0078056B">
        <w:t xml:space="preserve">Finally, it is assumed that none of the remaining trips to Birmingham for </w:t>
      </w:r>
      <w:r w:rsidRPr="0078056B">
        <w:rPr>
          <w:b/>
          <w:bCs/>
          <w:color w:val="06357A"/>
        </w:rPr>
        <w:t>holiday visits</w:t>
      </w:r>
      <w:r w:rsidRPr="0078056B">
        <w:rPr>
          <w:color w:val="06357A"/>
        </w:rPr>
        <w:t xml:space="preserve"> </w:t>
      </w:r>
      <w:r w:rsidRPr="0078056B">
        <w:t>or</w:t>
      </w:r>
      <w:r w:rsidRPr="0078056B">
        <w:rPr>
          <w:b/>
          <w:bCs/>
          <w:color w:val="06357A" w:themeColor="accent1"/>
        </w:rPr>
        <w:t xml:space="preserve"> other purposes </w:t>
      </w:r>
      <w:r w:rsidRPr="0078056B">
        <w:t>were as a result of the University.</w:t>
      </w:r>
    </w:p>
    <w:p w14:paraId="43A65340" w14:textId="71B96A92" w:rsidR="001726AB" w:rsidRPr="0078056B" w:rsidRDefault="001726AB" w:rsidP="00E13125">
      <w:r w:rsidRPr="0078056B">
        <w:t xml:space="preserve">This methodology is likely to </w:t>
      </w:r>
      <w:r w:rsidRPr="0078056B">
        <w:rPr>
          <w:i/>
          <w:iCs/>
        </w:rPr>
        <w:t>underestimate</w:t>
      </w:r>
      <w:r w:rsidRPr="0078056B">
        <w:t xml:space="preserve"> the tourism impact of the University. Firstly, it does not account for the impact the University’s museums and attractions (such as the Barber Institute of Fine Arts, Winterbourne House and Garden, the Lapworth Museum of Geology and the Cadbury Research Library – see Section </w:t>
      </w:r>
      <w:r w:rsidR="00B7023C" w:rsidRPr="0078056B">
        <w:fldChar w:fldCharType="begin"/>
      </w:r>
      <w:r w:rsidR="00B7023C" w:rsidRPr="0078056B">
        <w:instrText xml:space="preserve"> REF _Ref162534863 \r \h </w:instrText>
      </w:r>
      <w:r w:rsidR="0078056B">
        <w:instrText xml:space="preserve"> \* MERGEFORMAT </w:instrText>
      </w:r>
      <w:r w:rsidR="00B7023C" w:rsidRPr="0078056B">
        <w:fldChar w:fldCharType="separate"/>
      </w:r>
      <w:r w:rsidR="00E33157">
        <w:t>7</w:t>
      </w:r>
      <w:r w:rsidR="00B7023C" w:rsidRPr="0078056B">
        <w:fldChar w:fldCharType="end"/>
      </w:r>
      <w:r w:rsidRPr="0078056B">
        <w:t>) on overseas overnight visits to Birmingham. Secondly, it only considers the University's tourism impact within Birmingham, whereas the University may generate overseas visitors outside of Birmingham, such as through the Shakespeare Institute in Stratford-upon-Avon. Thirdly, it does not directly account for the University’s role in facilitating the 2022 Commonwealth Games, beyond the overall increase in tourism numbers in Birmingham in 2022. Finally, we only estimate the impact of overseas tourism, given that we focus on the impact of the University on the UK economy. However, the University is likely to bring significant additional impact to the West Midlands economy through domestic tourism, which is not accounted for here.</w:t>
      </w:r>
    </w:p>
    <w:p w14:paraId="14C4C0A8" w14:textId="657A303D" w:rsidR="00E13125" w:rsidRPr="0078056B" w:rsidRDefault="00E13125" w:rsidP="00E13125">
      <w:r w:rsidRPr="0078056B">
        <w:fldChar w:fldCharType="begin"/>
      </w:r>
      <w:r w:rsidRPr="0078056B">
        <w:instrText xml:space="preserve"> REF _Ref116316222 \r \h  \* MERGEFORMAT </w:instrText>
      </w:r>
      <w:r w:rsidRPr="0078056B">
        <w:fldChar w:fldCharType="separate"/>
      </w:r>
      <w:r w:rsidR="00E33157">
        <w:t>Table 11</w:t>
      </w:r>
      <w:r w:rsidRPr="0078056B">
        <w:fldChar w:fldCharType="end"/>
      </w:r>
      <w:r w:rsidRPr="0078056B">
        <w:t xml:space="preserve"> presents the resulting number of trips to Birmingham by overseas visitors in 2021-22 that were due to the University of Birmingham’s activities, </w:t>
      </w:r>
      <w:r w:rsidR="00CC3B40" w:rsidRPr="0078056B">
        <w:t xml:space="preserve">which was </w:t>
      </w:r>
      <w:r w:rsidRPr="0078056B">
        <w:t xml:space="preserve">estimated </w:t>
      </w:r>
      <w:r w:rsidR="00CC3B40" w:rsidRPr="0078056B">
        <w:t xml:space="preserve">to </w:t>
      </w:r>
      <w:r w:rsidRPr="0078056B">
        <w:t xml:space="preserve">total </w:t>
      </w:r>
      <w:r w:rsidRPr="0078056B">
        <w:rPr>
          <w:b/>
          <w:bCs/>
          <w:color w:val="06357A" w:themeColor="accent1"/>
        </w:rPr>
        <w:t>26,000</w:t>
      </w:r>
      <w:r w:rsidRPr="0078056B">
        <w:rPr>
          <w:color w:val="06357A" w:themeColor="accent1"/>
        </w:rPr>
        <w:t xml:space="preserve"> </w:t>
      </w:r>
      <w:r w:rsidR="00996E9E" w:rsidRPr="0078056B">
        <w:rPr>
          <w:color w:val="06357A" w:themeColor="accent1"/>
        </w:rPr>
        <w:t xml:space="preserve">in 2021-22 </w:t>
      </w:r>
      <w:r w:rsidRPr="0078056B">
        <w:t xml:space="preserve">(or </w:t>
      </w:r>
      <w:r w:rsidRPr="0078056B">
        <w:rPr>
          <w:b/>
          <w:bCs/>
          <w:color w:val="06357A" w:themeColor="accent1"/>
        </w:rPr>
        <w:t>3%</w:t>
      </w:r>
      <w:r w:rsidRPr="0078056B">
        <w:t xml:space="preserve"> of total overseas trips to Birmingham). </w:t>
      </w:r>
    </w:p>
    <w:p w14:paraId="5B1FA12E" w14:textId="77777777" w:rsidR="00E13125" w:rsidRPr="0078056B" w:rsidRDefault="00E13125" w:rsidP="00CF1749">
      <w:pPr>
        <w:pStyle w:val="TableTitle"/>
      </w:pPr>
      <w:bookmarkStart w:id="314" w:name="_Toc112934703"/>
      <w:bookmarkStart w:id="315" w:name="_Ref116316222"/>
      <w:bookmarkStart w:id="316" w:name="_Toc138171580"/>
      <w:bookmarkStart w:id="317" w:name="_Toc161676199"/>
      <w:bookmarkStart w:id="318" w:name="_Toc168652166"/>
      <w:r w:rsidRPr="0078056B">
        <w:lastRenderedPageBreak/>
        <w:t>Total number of visits to Birmingham and University-related visits by overseas overnight visitors in 2021-22</w:t>
      </w:r>
      <w:bookmarkEnd w:id="314"/>
      <w:bookmarkEnd w:id="315"/>
      <w:bookmarkEnd w:id="316"/>
      <w:bookmarkEnd w:id="317"/>
      <w:bookmarkEnd w:id="318"/>
    </w:p>
    <w:tbl>
      <w:tblPr>
        <w:tblW w:w="8844" w:type="dxa"/>
        <w:tblBorders>
          <w:top w:val="single" w:sz="4" w:space="0" w:color="BFBFBF"/>
          <w:bottom w:val="single" w:sz="4" w:space="0" w:color="BFBFBF"/>
          <w:insideH w:val="single" w:sz="4" w:space="0" w:color="BFBFBF"/>
          <w:insideV w:val="single" w:sz="4" w:space="0" w:color="BFBFBF"/>
        </w:tblBorders>
        <w:tblLayout w:type="fixed"/>
        <w:tblCellMar>
          <w:left w:w="0" w:type="dxa"/>
          <w:right w:w="0" w:type="dxa"/>
        </w:tblCellMar>
        <w:tblLook w:val="0620" w:firstRow="1" w:lastRow="0" w:firstColumn="0" w:lastColumn="0" w:noHBand="1" w:noVBand="1"/>
      </w:tblPr>
      <w:tblGrid>
        <w:gridCol w:w="2796"/>
        <w:gridCol w:w="2016"/>
        <w:gridCol w:w="2016"/>
        <w:gridCol w:w="2016"/>
      </w:tblGrid>
      <w:tr w:rsidR="00E13125" w:rsidRPr="0078056B" w14:paraId="19775F84" w14:textId="77777777" w:rsidTr="00CF1749">
        <w:trPr>
          <w:tblHeader/>
        </w:trPr>
        <w:tc>
          <w:tcPr>
            <w:tcW w:w="2977" w:type="dxa"/>
            <w:tcBorders>
              <w:top w:val="single" w:sz="4" w:space="0" w:color="06357A"/>
              <w:bottom w:val="single" w:sz="4" w:space="0" w:color="06357A"/>
            </w:tcBorders>
            <w:shd w:val="clear" w:color="auto" w:fill="auto"/>
            <w:vAlign w:val="center"/>
          </w:tcPr>
          <w:p w14:paraId="67774BBB" w14:textId="77777777" w:rsidR="00E13125" w:rsidRPr="0078056B" w:rsidRDefault="00E13125" w:rsidP="00CF1749">
            <w:pPr>
              <w:pStyle w:val="TableHeading"/>
              <w:keepNext/>
              <w:keepLines/>
              <w:rPr>
                <w:szCs w:val="20"/>
              </w:rPr>
            </w:pPr>
            <w:r w:rsidRPr="0078056B">
              <w:rPr>
                <w:szCs w:val="20"/>
              </w:rPr>
              <w:t>Type of trip</w:t>
            </w:r>
          </w:p>
        </w:tc>
        <w:tc>
          <w:tcPr>
            <w:tcW w:w="2145" w:type="dxa"/>
            <w:tcBorders>
              <w:top w:val="single" w:sz="4" w:space="0" w:color="06357A"/>
              <w:bottom w:val="single" w:sz="4" w:space="0" w:color="06357A"/>
            </w:tcBorders>
            <w:shd w:val="clear" w:color="auto" w:fill="auto"/>
            <w:vAlign w:val="center"/>
          </w:tcPr>
          <w:p w14:paraId="66A145F5" w14:textId="77777777" w:rsidR="00E13125" w:rsidRPr="0078056B" w:rsidRDefault="00E13125" w:rsidP="00CF1749">
            <w:pPr>
              <w:pStyle w:val="TableHeading"/>
              <w:keepNext/>
              <w:keepLines/>
              <w:ind w:left="57" w:right="57"/>
              <w:jc w:val="center"/>
              <w:rPr>
                <w:szCs w:val="20"/>
              </w:rPr>
            </w:pPr>
            <w:r w:rsidRPr="0078056B">
              <w:rPr>
                <w:szCs w:val="20"/>
              </w:rPr>
              <w:t>Total visits</w:t>
            </w:r>
          </w:p>
        </w:tc>
        <w:tc>
          <w:tcPr>
            <w:tcW w:w="2145" w:type="dxa"/>
            <w:tcBorders>
              <w:top w:val="single" w:sz="4" w:space="0" w:color="06357A"/>
              <w:bottom w:val="single" w:sz="4" w:space="0" w:color="06357A"/>
            </w:tcBorders>
            <w:shd w:val="clear" w:color="auto" w:fill="auto"/>
            <w:vAlign w:val="center"/>
          </w:tcPr>
          <w:p w14:paraId="5405BFF7" w14:textId="77777777" w:rsidR="00E13125" w:rsidRPr="0078056B" w:rsidRDefault="00E13125" w:rsidP="00CF1749">
            <w:pPr>
              <w:pStyle w:val="TableHeading"/>
              <w:keepNext/>
              <w:keepLines/>
              <w:ind w:left="57" w:right="57"/>
              <w:jc w:val="center"/>
              <w:rPr>
                <w:szCs w:val="20"/>
              </w:rPr>
            </w:pPr>
            <w:r w:rsidRPr="0078056B">
              <w:rPr>
                <w:szCs w:val="20"/>
              </w:rPr>
              <w:t>Visits associated with the University</w:t>
            </w:r>
          </w:p>
        </w:tc>
        <w:tc>
          <w:tcPr>
            <w:tcW w:w="2145" w:type="dxa"/>
            <w:tcBorders>
              <w:top w:val="single" w:sz="4" w:space="0" w:color="06357A"/>
              <w:bottom w:val="single" w:sz="4" w:space="0" w:color="06357A"/>
            </w:tcBorders>
            <w:shd w:val="clear" w:color="auto" w:fill="auto"/>
            <w:vAlign w:val="center"/>
          </w:tcPr>
          <w:p w14:paraId="7BA23926" w14:textId="77777777" w:rsidR="00E13125" w:rsidRPr="0078056B" w:rsidRDefault="00E13125" w:rsidP="00CF1749">
            <w:pPr>
              <w:pStyle w:val="TableHeading"/>
              <w:keepNext/>
              <w:keepLines/>
              <w:ind w:left="57" w:right="57"/>
              <w:jc w:val="center"/>
              <w:rPr>
                <w:szCs w:val="20"/>
              </w:rPr>
            </w:pPr>
            <w:r w:rsidRPr="0078056B">
              <w:rPr>
                <w:szCs w:val="20"/>
              </w:rPr>
              <w:t>% associated with the University</w:t>
            </w:r>
          </w:p>
        </w:tc>
      </w:tr>
      <w:tr w:rsidR="00E13125" w:rsidRPr="0078056B" w14:paraId="64967E94" w14:textId="77777777" w:rsidTr="00CF1749">
        <w:tc>
          <w:tcPr>
            <w:tcW w:w="2977" w:type="dxa"/>
            <w:tcBorders>
              <w:top w:val="single" w:sz="4" w:space="0" w:color="06357A"/>
            </w:tcBorders>
            <w:shd w:val="clear" w:color="auto" w:fill="auto"/>
            <w:vAlign w:val="center"/>
          </w:tcPr>
          <w:p w14:paraId="13981669" w14:textId="77777777" w:rsidR="00E13125" w:rsidRPr="0078056B" w:rsidRDefault="00E13125" w:rsidP="00CF1749">
            <w:pPr>
              <w:pStyle w:val="TableText"/>
              <w:keepNext/>
              <w:keepLines/>
              <w:rPr>
                <w:szCs w:val="20"/>
              </w:rPr>
            </w:pPr>
            <w:r w:rsidRPr="0078056B">
              <w:rPr>
                <w:color w:val="000000"/>
                <w:szCs w:val="20"/>
              </w:rPr>
              <w:t>Holidays</w:t>
            </w:r>
          </w:p>
        </w:tc>
        <w:tc>
          <w:tcPr>
            <w:tcW w:w="2145" w:type="dxa"/>
            <w:tcBorders>
              <w:top w:val="single" w:sz="4" w:space="0" w:color="06357A"/>
            </w:tcBorders>
            <w:shd w:val="clear" w:color="auto" w:fill="auto"/>
            <w:vAlign w:val="center"/>
          </w:tcPr>
          <w:p w14:paraId="4CA06A40" w14:textId="77777777" w:rsidR="00E13125" w:rsidRPr="0078056B" w:rsidRDefault="00E13125" w:rsidP="00CF1749">
            <w:pPr>
              <w:pStyle w:val="TableText"/>
              <w:keepNext/>
              <w:keepLines/>
              <w:ind w:left="57" w:right="57"/>
              <w:jc w:val="center"/>
              <w:rPr>
                <w:color w:val="000000"/>
                <w:szCs w:val="20"/>
              </w:rPr>
            </w:pPr>
            <w:r w:rsidRPr="0078056B">
              <w:rPr>
                <w:color w:val="000000"/>
                <w:szCs w:val="20"/>
              </w:rPr>
              <w:t>110,000</w:t>
            </w:r>
          </w:p>
        </w:tc>
        <w:tc>
          <w:tcPr>
            <w:tcW w:w="2145" w:type="dxa"/>
            <w:tcBorders>
              <w:top w:val="single" w:sz="4" w:space="0" w:color="06357A"/>
            </w:tcBorders>
            <w:shd w:val="clear" w:color="auto" w:fill="auto"/>
            <w:vAlign w:val="center"/>
          </w:tcPr>
          <w:p w14:paraId="4118E441" w14:textId="77777777" w:rsidR="00E13125" w:rsidRPr="0078056B" w:rsidRDefault="00E13125" w:rsidP="00CF1749">
            <w:pPr>
              <w:pStyle w:val="TableText"/>
              <w:keepNext/>
              <w:keepLines/>
              <w:ind w:left="57" w:right="57"/>
              <w:jc w:val="center"/>
              <w:rPr>
                <w:color w:val="000000"/>
                <w:szCs w:val="20"/>
              </w:rPr>
            </w:pPr>
            <w:r w:rsidRPr="0078056B">
              <w:rPr>
                <w:color w:val="000000"/>
                <w:szCs w:val="20"/>
              </w:rPr>
              <w:t>-</w:t>
            </w:r>
          </w:p>
        </w:tc>
        <w:tc>
          <w:tcPr>
            <w:tcW w:w="2145" w:type="dxa"/>
            <w:tcBorders>
              <w:top w:val="single" w:sz="4" w:space="0" w:color="06357A"/>
            </w:tcBorders>
            <w:shd w:val="clear" w:color="auto" w:fill="auto"/>
            <w:vAlign w:val="center"/>
          </w:tcPr>
          <w:p w14:paraId="72F964A2" w14:textId="77777777" w:rsidR="00E13125" w:rsidRPr="0078056B" w:rsidRDefault="00E13125" w:rsidP="00CF1749">
            <w:pPr>
              <w:pStyle w:val="TableText"/>
              <w:keepNext/>
              <w:keepLines/>
              <w:ind w:left="57" w:right="57"/>
              <w:jc w:val="center"/>
              <w:rPr>
                <w:szCs w:val="20"/>
              </w:rPr>
            </w:pPr>
            <w:r w:rsidRPr="0078056B">
              <w:rPr>
                <w:color w:val="000000"/>
                <w:szCs w:val="20"/>
              </w:rPr>
              <w:t>0%</w:t>
            </w:r>
          </w:p>
        </w:tc>
      </w:tr>
      <w:tr w:rsidR="00E13125" w:rsidRPr="0078056B" w14:paraId="738E23D1" w14:textId="77777777" w:rsidTr="00CF1749">
        <w:tc>
          <w:tcPr>
            <w:tcW w:w="2977" w:type="dxa"/>
            <w:shd w:val="clear" w:color="auto" w:fill="auto"/>
            <w:vAlign w:val="center"/>
          </w:tcPr>
          <w:p w14:paraId="7C82EAF9" w14:textId="77777777" w:rsidR="00E13125" w:rsidRPr="0078056B" w:rsidRDefault="00E13125" w:rsidP="00CF1749">
            <w:pPr>
              <w:pStyle w:val="TableText"/>
              <w:keepNext/>
              <w:keepLines/>
              <w:rPr>
                <w:szCs w:val="20"/>
              </w:rPr>
            </w:pPr>
            <w:r w:rsidRPr="0078056B">
              <w:rPr>
                <w:color w:val="000000"/>
                <w:szCs w:val="20"/>
              </w:rPr>
              <w:t>Study trips</w:t>
            </w:r>
          </w:p>
        </w:tc>
        <w:tc>
          <w:tcPr>
            <w:tcW w:w="2145" w:type="dxa"/>
            <w:shd w:val="clear" w:color="auto" w:fill="auto"/>
            <w:vAlign w:val="center"/>
          </w:tcPr>
          <w:p w14:paraId="457D5249" w14:textId="77777777" w:rsidR="00E13125" w:rsidRPr="0078056B" w:rsidRDefault="00E13125" w:rsidP="00CF1749">
            <w:pPr>
              <w:pStyle w:val="TableText"/>
              <w:keepNext/>
              <w:keepLines/>
              <w:ind w:left="57" w:right="57"/>
              <w:jc w:val="center"/>
              <w:rPr>
                <w:color w:val="000000"/>
                <w:szCs w:val="20"/>
              </w:rPr>
            </w:pPr>
            <w:r w:rsidRPr="0078056B">
              <w:rPr>
                <w:color w:val="000000"/>
                <w:szCs w:val="20"/>
              </w:rPr>
              <w:t>8,000</w:t>
            </w:r>
          </w:p>
        </w:tc>
        <w:tc>
          <w:tcPr>
            <w:tcW w:w="2145" w:type="dxa"/>
            <w:shd w:val="clear" w:color="auto" w:fill="auto"/>
            <w:vAlign w:val="center"/>
          </w:tcPr>
          <w:p w14:paraId="73CA8FDC" w14:textId="77777777" w:rsidR="00E13125" w:rsidRPr="0078056B" w:rsidRDefault="00E13125" w:rsidP="00CF1749">
            <w:pPr>
              <w:pStyle w:val="TableText"/>
              <w:keepNext/>
              <w:keepLines/>
              <w:ind w:left="57" w:right="57"/>
              <w:jc w:val="center"/>
              <w:rPr>
                <w:color w:val="000000"/>
                <w:szCs w:val="20"/>
              </w:rPr>
            </w:pPr>
            <w:r w:rsidRPr="0078056B">
              <w:rPr>
                <w:color w:val="000000"/>
                <w:szCs w:val="20"/>
              </w:rPr>
              <w:t>4,000</w:t>
            </w:r>
          </w:p>
        </w:tc>
        <w:tc>
          <w:tcPr>
            <w:tcW w:w="2145" w:type="dxa"/>
            <w:shd w:val="clear" w:color="auto" w:fill="auto"/>
            <w:vAlign w:val="center"/>
          </w:tcPr>
          <w:p w14:paraId="3CFDE6DB" w14:textId="77777777" w:rsidR="00E13125" w:rsidRPr="0078056B" w:rsidRDefault="00E13125" w:rsidP="00CF1749">
            <w:pPr>
              <w:pStyle w:val="TableText"/>
              <w:keepNext/>
              <w:keepLines/>
              <w:ind w:left="57" w:right="57"/>
              <w:jc w:val="center"/>
              <w:rPr>
                <w:szCs w:val="20"/>
              </w:rPr>
            </w:pPr>
            <w:r w:rsidRPr="0078056B">
              <w:rPr>
                <w:color w:val="000000"/>
                <w:szCs w:val="20"/>
              </w:rPr>
              <w:t>51%</w:t>
            </w:r>
          </w:p>
        </w:tc>
      </w:tr>
      <w:tr w:rsidR="00E13125" w:rsidRPr="0078056B" w14:paraId="470F5BC9" w14:textId="77777777" w:rsidTr="00CF1749">
        <w:tc>
          <w:tcPr>
            <w:tcW w:w="2977" w:type="dxa"/>
            <w:shd w:val="clear" w:color="auto" w:fill="auto"/>
            <w:vAlign w:val="center"/>
          </w:tcPr>
          <w:p w14:paraId="2F00F4F9" w14:textId="77777777" w:rsidR="00E13125" w:rsidRPr="0078056B" w:rsidRDefault="00E13125" w:rsidP="00CF1749">
            <w:pPr>
              <w:pStyle w:val="TableText"/>
              <w:keepNext/>
              <w:keepLines/>
              <w:rPr>
                <w:szCs w:val="20"/>
              </w:rPr>
            </w:pPr>
            <w:r w:rsidRPr="0078056B">
              <w:rPr>
                <w:color w:val="000000"/>
                <w:szCs w:val="20"/>
              </w:rPr>
              <w:t>Business trips</w:t>
            </w:r>
          </w:p>
        </w:tc>
        <w:tc>
          <w:tcPr>
            <w:tcW w:w="2145" w:type="dxa"/>
            <w:shd w:val="clear" w:color="auto" w:fill="auto"/>
            <w:vAlign w:val="center"/>
          </w:tcPr>
          <w:p w14:paraId="52C2CB99" w14:textId="77777777" w:rsidR="00E13125" w:rsidRPr="0078056B" w:rsidRDefault="00E13125" w:rsidP="00CF1749">
            <w:pPr>
              <w:pStyle w:val="TableText"/>
              <w:keepNext/>
              <w:keepLines/>
              <w:ind w:left="57" w:right="57"/>
              <w:jc w:val="center"/>
              <w:rPr>
                <w:color w:val="000000"/>
                <w:szCs w:val="20"/>
              </w:rPr>
            </w:pPr>
            <w:r w:rsidRPr="0078056B">
              <w:rPr>
                <w:color w:val="000000"/>
                <w:szCs w:val="20"/>
              </w:rPr>
              <w:t>374,000</w:t>
            </w:r>
          </w:p>
        </w:tc>
        <w:tc>
          <w:tcPr>
            <w:tcW w:w="2145" w:type="dxa"/>
            <w:shd w:val="clear" w:color="auto" w:fill="auto"/>
            <w:vAlign w:val="center"/>
          </w:tcPr>
          <w:p w14:paraId="16098FF1" w14:textId="77777777" w:rsidR="00E13125" w:rsidRPr="0078056B" w:rsidRDefault="00E13125" w:rsidP="00CF1749">
            <w:pPr>
              <w:pStyle w:val="TableText"/>
              <w:keepNext/>
              <w:keepLines/>
              <w:ind w:left="57" w:right="57"/>
              <w:jc w:val="center"/>
              <w:rPr>
                <w:color w:val="000000"/>
                <w:szCs w:val="20"/>
              </w:rPr>
            </w:pPr>
            <w:r w:rsidRPr="0078056B">
              <w:rPr>
                <w:color w:val="000000"/>
                <w:szCs w:val="20"/>
              </w:rPr>
              <w:t>7,000</w:t>
            </w:r>
          </w:p>
        </w:tc>
        <w:tc>
          <w:tcPr>
            <w:tcW w:w="2145" w:type="dxa"/>
            <w:shd w:val="clear" w:color="auto" w:fill="auto"/>
            <w:vAlign w:val="center"/>
          </w:tcPr>
          <w:p w14:paraId="07E3BE7C" w14:textId="77777777" w:rsidR="00E13125" w:rsidRPr="0078056B" w:rsidRDefault="00E13125" w:rsidP="00CF1749">
            <w:pPr>
              <w:pStyle w:val="TableText"/>
              <w:keepNext/>
              <w:keepLines/>
              <w:ind w:left="57" w:right="57"/>
              <w:jc w:val="center"/>
              <w:rPr>
                <w:szCs w:val="20"/>
              </w:rPr>
            </w:pPr>
            <w:r w:rsidRPr="0078056B">
              <w:rPr>
                <w:color w:val="000000"/>
                <w:szCs w:val="20"/>
              </w:rPr>
              <w:t>2%</w:t>
            </w:r>
          </w:p>
        </w:tc>
      </w:tr>
      <w:tr w:rsidR="00E13125" w:rsidRPr="0078056B" w14:paraId="57FA5180" w14:textId="77777777" w:rsidTr="00CF1749">
        <w:tc>
          <w:tcPr>
            <w:tcW w:w="2977" w:type="dxa"/>
            <w:shd w:val="clear" w:color="auto" w:fill="auto"/>
            <w:vAlign w:val="center"/>
          </w:tcPr>
          <w:p w14:paraId="33410576" w14:textId="77777777" w:rsidR="00E13125" w:rsidRPr="0078056B" w:rsidRDefault="00E13125" w:rsidP="00CF1749">
            <w:pPr>
              <w:pStyle w:val="TableText"/>
              <w:keepNext/>
              <w:keepLines/>
              <w:rPr>
                <w:szCs w:val="20"/>
              </w:rPr>
            </w:pPr>
            <w:r w:rsidRPr="0078056B">
              <w:rPr>
                <w:color w:val="000000"/>
                <w:szCs w:val="20"/>
              </w:rPr>
              <w:t>Trips to visit friends and family</w:t>
            </w:r>
          </w:p>
        </w:tc>
        <w:tc>
          <w:tcPr>
            <w:tcW w:w="2145" w:type="dxa"/>
            <w:shd w:val="clear" w:color="auto" w:fill="auto"/>
            <w:vAlign w:val="center"/>
          </w:tcPr>
          <w:p w14:paraId="607B58BB" w14:textId="77777777" w:rsidR="00E13125" w:rsidRPr="0078056B" w:rsidRDefault="00E13125" w:rsidP="00CF1749">
            <w:pPr>
              <w:pStyle w:val="TableText"/>
              <w:keepNext/>
              <w:keepLines/>
              <w:ind w:left="57" w:right="57"/>
              <w:jc w:val="center"/>
              <w:rPr>
                <w:color w:val="000000"/>
                <w:szCs w:val="20"/>
              </w:rPr>
            </w:pPr>
            <w:r w:rsidRPr="0078056B">
              <w:rPr>
                <w:color w:val="000000"/>
                <w:szCs w:val="20"/>
              </w:rPr>
              <w:t>286,000</w:t>
            </w:r>
          </w:p>
        </w:tc>
        <w:tc>
          <w:tcPr>
            <w:tcW w:w="2145" w:type="dxa"/>
            <w:shd w:val="clear" w:color="auto" w:fill="auto"/>
            <w:vAlign w:val="center"/>
          </w:tcPr>
          <w:p w14:paraId="7707E81B" w14:textId="77777777" w:rsidR="00E13125" w:rsidRPr="0078056B" w:rsidRDefault="00E13125" w:rsidP="00CF1749">
            <w:pPr>
              <w:pStyle w:val="TableText"/>
              <w:keepNext/>
              <w:keepLines/>
              <w:ind w:left="57" w:right="57"/>
              <w:jc w:val="center"/>
              <w:rPr>
                <w:color w:val="000000"/>
                <w:szCs w:val="20"/>
              </w:rPr>
            </w:pPr>
            <w:r w:rsidRPr="0078056B">
              <w:rPr>
                <w:color w:val="000000"/>
                <w:szCs w:val="20"/>
              </w:rPr>
              <w:t>15,000</w:t>
            </w:r>
          </w:p>
        </w:tc>
        <w:tc>
          <w:tcPr>
            <w:tcW w:w="2145" w:type="dxa"/>
            <w:shd w:val="clear" w:color="auto" w:fill="auto"/>
            <w:vAlign w:val="center"/>
          </w:tcPr>
          <w:p w14:paraId="05603C6A" w14:textId="77777777" w:rsidR="00E13125" w:rsidRPr="0078056B" w:rsidRDefault="00E13125" w:rsidP="00CF1749">
            <w:pPr>
              <w:pStyle w:val="TableText"/>
              <w:keepNext/>
              <w:keepLines/>
              <w:ind w:left="57" w:right="57"/>
              <w:jc w:val="center"/>
              <w:rPr>
                <w:szCs w:val="20"/>
              </w:rPr>
            </w:pPr>
            <w:r w:rsidRPr="0078056B">
              <w:rPr>
                <w:color w:val="000000"/>
                <w:szCs w:val="20"/>
              </w:rPr>
              <w:t>5%</w:t>
            </w:r>
          </w:p>
        </w:tc>
      </w:tr>
      <w:tr w:rsidR="00E13125" w:rsidRPr="0078056B" w14:paraId="0D843BE3" w14:textId="77777777" w:rsidTr="00CF1749">
        <w:tc>
          <w:tcPr>
            <w:tcW w:w="2977" w:type="dxa"/>
            <w:shd w:val="clear" w:color="auto" w:fill="auto"/>
            <w:vAlign w:val="center"/>
          </w:tcPr>
          <w:p w14:paraId="39156EAC" w14:textId="77777777" w:rsidR="00E13125" w:rsidRPr="0078056B" w:rsidRDefault="00E13125" w:rsidP="00CF1749">
            <w:pPr>
              <w:pStyle w:val="TableText"/>
              <w:keepNext/>
              <w:keepLines/>
              <w:rPr>
                <w:szCs w:val="20"/>
              </w:rPr>
            </w:pPr>
            <w:r w:rsidRPr="0078056B">
              <w:rPr>
                <w:color w:val="000000"/>
                <w:szCs w:val="20"/>
              </w:rPr>
              <w:t>Other trips</w:t>
            </w:r>
          </w:p>
        </w:tc>
        <w:tc>
          <w:tcPr>
            <w:tcW w:w="2145" w:type="dxa"/>
            <w:shd w:val="clear" w:color="auto" w:fill="auto"/>
            <w:vAlign w:val="center"/>
          </w:tcPr>
          <w:p w14:paraId="064387CB" w14:textId="77777777" w:rsidR="00E13125" w:rsidRPr="0078056B" w:rsidRDefault="00E13125" w:rsidP="00CF1749">
            <w:pPr>
              <w:pStyle w:val="TableText"/>
              <w:keepNext/>
              <w:keepLines/>
              <w:ind w:left="57" w:right="57"/>
              <w:jc w:val="center"/>
              <w:rPr>
                <w:color w:val="000000"/>
                <w:szCs w:val="20"/>
              </w:rPr>
            </w:pPr>
            <w:r w:rsidRPr="0078056B">
              <w:rPr>
                <w:color w:val="000000"/>
                <w:szCs w:val="20"/>
              </w:rPr>
              <w:t>26,000</w:t>
            </w:r>
          </w:p>
        </w:tc>
        <w:tc>
          <w:tcPr>
            <w:tcW w:w="2145" w:type="dxa"/>
            <w:shd w:val="clear" w:color="auto" w:fill="auto"/>
            <w:vAlign w:val="center"/>
          </w:tcPr>
          <w:p w14:paraId="67BD18E9" w14:textId="77777777" w:rsidR="00E13125" w:rsidRPr="0078056B" w:rsidRDefault="00E13125" w:rsidP="00CF1749">
            <w:pPr>
              <w:pStyle w:val="TableText"/>
              <w:keepNext/>
              <w:keepLines/>
              <w:ind w:left="57" w:right="57"/>
              <w:jc w:val="center"/>
              <w:rPr>
                <w:color w:val="000000"/>
                <w:szCs w:val="20"/>
              </w:rPr>
            </w:pPr>
            <w:r w:rsidRPr="0078056B">
              <w:rPr>
                <w:color w:val="000000"/>
                <w:szCs w:val="20"/>
              </w:rPr>
              <w:t>-</w:t>
            </w:r>
          </w:p>
        </w:tc>
        <w:tc>
          <w:tcPr>
            <w:tcW w:w="2145" w:type="dxa"/>
            <w:shd w:val="clear" w:color="auto" w:fill="auto"/>
            <w:vAlign w:val="center"/>
          </w:tcPr>
          <w:p w14:paraId="5C719C40" w14:textId="77777777" w:rsidR="00E13125" w:rsidRPr="0078056B" w:rsidRDefault="00E13125" w:rsidP="00CF1749">
            <w:pPr>
              <w:pStyle w:val="TableText"/>
              <w:keepNext/>
              <w:keepLines/>
              <w:ind w:left="57" w:right="57"/>
              <w:jc w:val="center"/>
              <w:rPr>
                <w:szCs w:val="20"/>
              </w:rPr>
            </w:pPr>
            <w:r w:rsidRPr="0078056B">
              <w:rPr>
                <w:color w:val="000000"/>
                <w:szCs w:val="20"/>
              </w:rPr>
              <w:t>0%</w:t>
            </w:r>
          </w:p>
        </w:tc>
      </w:tr>
      <w:tr w:rsidR="00E13125" w:rsidRPr="0078056B" w14:paraId="3ED731D8" w14:textId="77777777" w:rsidTr="00CF1749">
        <w:tc>
          <w:tcPr>
            <w:tcW w:w="2977" w:type="dxa"/>
            <w:tcBorders>
              <w:bottom w:val="single" w:sz="4" w:space="0" w:color="06357A"/>
            </w:tcBorders>
            <w:shd w:val="clear" w:color="auto" w:fill="auto"/>
            <w:vAlign w:val="center"/>
          </w:tcPr>
          <w:p w14:paraId="24FA37E0" w14:textId="77777777" w:rsidR="00E13125" w:rsidRPr="0078056B" w:rsidRDefault="00E13125" w:rsidP="00CF1749">
            <w:pPr>
              <w:pStyle w:val="TableText"/>
              <w:keepNext/>
              <w:keepLines/>
              <w:rPr>
                <w:szCs w:val="20"/>
              </w:rPr>
            </w:pPr>
            <w:r w:rsidRPr="0078056B">
              <w:rPr>
                <w:b/>
                <w:bCs/>
                <w:color w:val="06357A"/>
                <w:szCs w:val="20"/>
              </w:rPr>
              <w:t>Total visits</w:t>
            </w:r>
          </w:p>
        </w:tc>
        <w:tc>
          <w:tcPr>
            <w:tcW w:w="2145" w:type="dxa"/>
            <w:tcBorders>
              <w:bottom w:val="single" w:sz="4" w:space="0" w:color="06357A"/>
            </w:tcBorders>
            <w:shd w:val="clear" w:color="auto" w:fill="auto"/>
            <w:vAlign w:val="center"/>
          </w:tcPr>
          <w:p w14:paraId="2E3E5FFF" w14:textId="77777777" w:rsidR="00E13125" w:rsidRPr="0078056B" w:rsidRDefault="00E13125" w:rsidP="00CF1749">
            <w:pPr>
              <w:pStyle w:val="TableText"/>
              <w:keepNext/>
              <w:keepLines/>
              <w:ind w:left="57" w:right="57"/>
              <w:jc w:val="center"/>
              <w:rPr>
                <w:b/>
                <w:bCs/>
                <w:color w:val="06357A"/>
                <w:szCs w:val="20"/>
              </w:rPr>
            </w:pPr>
            <w:r w:rsidRPr="0078056B">
              <w:rPr>
                <w:b/>
                <w:bCs/>
                <w:color w:val="06357A"/>
                <w:szCs w:val="20"/>
              </w:rPr>
              <w:t>803,000</w:t>
            </w:r>
          </w:p>
        </w:tc>
        <w:tc>
          <w:tcPr>
            <w:tcW w:w="2145" w:type="dxa"/>
            <w:tcBorders>
              <w:bottom w:val="single" w:sz="4" w:space="0" w:color="06357A"/>
            </w:tcBorders>
            <w:shd w:val="clear" w:color="auto" w:fill="auto"/>
            <w:vAlign w:val="center"/>
          </w:tcPr>
          <w:p w14:paraId="29F58863" w14:textId="77777777" w:rsidR="00E13125" w:rsidRPr="0078056B" w:rsidRDefault="00E13125" w:rsidP="00CF1749">
            <w:pPr>
              <w:pStyle w:val="TableText"/>
              <w:keepNext/>
              <w:keepLines/>
              <w:ind w:left="57" w:right="57"/>
              <w:jc w:val="center"/>
              <w:rPr>
                <w:b/>
                <w:bCs/>
                <w:color w:val="06357A"/>
                <w:szCs w:val="20"/>
              </w:rPr>
            </w:pPr>
            <w:r w:rsidRPr="0078056B">
              <w:rPr>
                <w:b/>
                <w:bCs/>
                <w:color w:val="06357A"/>
                <w:szCs w:val="20"/>
              </w:rPr>
              <w:t>26,000</w:t>
            </w:r>
          </w:p>
        </w:tc>
        <w:tc>
          <w:tcPr>
            <w:tcW w:w="2145" w:type="dxa"/>
            <w:tcBorders>
              <w:bottom w:val="single" w:sz="4" w:space="0" w:color="06357A"/>
            </w:tcBorders>
            <w:shd w:val="clear" w:color="auto" w:fill="auto"/>
            <w:vAlign w:val="center"/>
          </w:tcPr>
          <w:p w14:paraId="4B7E1422" w14:textId="77777777" w:rsidR="00E13125" w:rsidRPr="0078056B" w:rsidRDefault="00E13125" w:rsidP="00CF1749">
            <w:pPr>
              <w:pStyle w:val="TableText"/>
              <w:keepNext/>
              <w:keepLines/>
              <w:ind w:left="57" w:right="57"/>
              <w:jc w:val="center"/>
              <w:rPr>
                <w:b/>
                <w:bCs/>
                <w:color w:val="06357A"/>
                <w:szCs w:val="20"/>
              </w:rPr>
            </w:pPr>
            <w:r w:rsidRPr="0078056B">
              <w:rPr>
                <w:b/>
                <w:bCs/>
                <w:color w:val="06357A"/>
                <w:szCs w:val="20"/>
              </w:rPr>
              <w:t>3%</w:t>
            </w:r>
          </w:p>
        </w:tc>
      </w:tr>
    </w:tbl>
    <w:p w14:paraId="60A00EF9" w14:textId="77777777" w:rsidR="00E13125" w:rsidRPr="0078056B" w:rsidRDefault="00E13125" w:rsidP="00CF1749">
      <w:pPr>
        <w:pStyle w:val="TableNote"/>
        <w:keepNext/>
        <w:keepLines/>
      </w:pPr>
      <w:r w:rsidRPr="0078056B">
        <w:t xml:space="preserve">Note: All numbers are rounded to the nearest 1,000, and the total values may not add up due to this rounding. </w:t>
      </w:r>
    </w:p>
    <w:p w14:paraId="776B48AF" w14:textId="77777777" w:rsidR="00E13125" w:rsidRPr="0078056B" w:rsidRDefault="00E13125" w:rsidP="00CF1749">
      <w:pPr>
        <w:pStyle w:val="TableNote"/>
        <w:keepNext/>
        <w:keepLines/>
        <w:rPr>
          <w:b/>
          <w:bCs/>
          <w:i/>
          <w:iCs/>
          <w:szCs w:val="16"/>
        </w:rPr>
      </w:pPr>
      <w:r w:rsidRPr="0078056B">
        <w:rPr>
          <w:b/>
          <w:bCs/>
          <w:i/>
          <w:iCs/>
          <w:szCs w:val="16"/>
        </w:rPr>
        <w:t>Source: London Economics’ analysis</w:t>
      </w:r>
    </w:p>
    <w:p w14:paraId="69D066CB" w14:textId="77777777" w:rsidR="00E13125" w:rsidRPr="0078056B" w:rsidRDefault="00E13125" w:rsidP="00E13125">
      <w:pPr>
        <w:pStyle w:val="Heading2"/>
      </w:pPr>
      <w:bookmarkStart w:id="319" w:name="_Toc138171550"/>
      <w:bookmarkStart w:id="320" w:name="_Toc161676189"/>
      <w:bookmarkStart w:id="321" w:name="_Toc168652138"/>
      <w:r w:rsidRPr="0078056B">
        <w:t>Direct impact associated with visitor expenditure</w:t>
      </w:r>
      <w:bookmarkEnd w:id="319"/>
      <w:bookmarkEnd w:id="320"/>
      <w:bookmarkEnd w:id="321"/>
      <w:r w:rsidRPr="0078056B">
        <w:t xml:space="preserve"> </w:t>
      </w:r>
    </w:p>
    <w:p w14:paraId="7B047872" w14:textId="77777777" w:rsidR="00E13125" w:rsidRPr="0078056B" w:rsidRDefault="00E13125" w:rsidP="00E13125">
      <w:r w:rsidRPr="0078056B">
        <w:t xml:space="preserve">The </w:t>
      </w:r>
      <w:r w:rsidRPr="0078056B">
        <w:rPr>
          <w:b/>
          <w:bCs/>
          <w:color w:val="06357A"/>
        </w:rPr>
        <w:t>spend</w:t>
      </w:r>
      <w:r w:rsidRPr="0078056B">
        <w:rPr>
          <w:color w:val="06357A"/>
        </w:rPr>
        <w:t xml:space="preserve"> </w:t>
      </w:r>
      <w:r w:rsidRPr="0078056B">
        <w:rPr>
          <w:b/>
          <w:bCs/>
          <w:color w:val="06357A"/>
        </w:rPr>
        <w:t>per</w:t>
      </w:r>
      <w:r w:rsidRPr="0078056B">
        <w:rPr>
          <w:color w:val="06357A"/>
        </w:rPr>
        <w:t xml:space="preserve"> </w:t>
      </w:r>
      <w:r w:rsidRPr="0078056B">
        <w:rPr>
          <w:b/>
          <w:bCs/>
          <w:color w:val="06357A"/>
        </w:rPr>
        <w:t>trip</w:t>
      </w:r>
      <w:r w:rsidRPr="0078056B">
        <w:rPr>
          <w:color w:val="06357A"/>
        </w:rPr>
        <w:t xml:space="preserve"> </w:t>
      </w:r>
      <w:r w:rsidRPr="0078056B">
        <w:t xml:space="preserve">by purpose is calculated using information on the total spend by purpose and the number of visits by purpose to the West Midlands region from VisitBritain (2023a). Using the figures for spend per trip, the </w:t>
      </w:r>
      <w:r w:rsidRPr="0078056B">
        <w:rPr>
          <w:rFonts w:eastAsia="Calibri" w:cs="Times New Roman"/>
          <w:b/>
          <w:bCs/>
          <w:color w:val="06357A"/>
        </w:rPr>
        <w:t>direct impact</w:t>
      </w:r>
      <w:r w:rsidRPr="0078056B">
        <w:rPr>
          <w:color w:val="06357A"/>
        </w:rPr>
        <w:t xml:space="preserve"> </w:t>
      </w:r>
      <w:r w:rsidRPr="0078056B">
        <w:t xml:space="preserve">associated with the University’s contribution to tourism in 2021-22 stood at approximately </w:t>
      </w:r>
      <w:r w:rsidRPr="0078056B">
        <w:rPr>
          <w:rFonts w:eastAsia="Calibri" w:cs="Times New Roman"/>
          <w:b/>
          <w:bCs/>
          <w:color w:val="06357A"/>
        </w:rPr>
        <w:t>£19 million</w:t>
      </w:r>
      <w:r w:rsidRPr="0078056B">
        <w:t>.</w:t>
      </w:r>
    </w:p>
    <w:p w14:paraId="758DB388" w14:textId="77777777" w:rsidR="00E13125" w:rsidRPr="0078056B" w:rsidRDefault="00E13125" w:rsidP="00E13125">
      <w:r w:rsidRPr="0078056B">
        <w:t xml:space="preserve">In terms of the breakdown by purpose of trip, the analysis suggests that approximately </w:t>
      </w:r>
      <w:r w:rsidRPr="0078056B">
        <w:rPr>
          <w:b/>
          <w:bCs/>
          <w:color w:val="06357A"/>
        </w:rPr>
        <w:t xml:space="preserve">£9 million </w:t>
      </w:r>
      <w:r w:rsidRPr="0078056B">
        <w:t>(</w:t>
      </w:r>
      <w:r w:rsidRPr="0078056B">
        <w:rPr>
          <w:b/>
          <w:bCs/>
          <w:color w:val="06357A"/>
        </w:rPr>
        <w:t>48%</w:t>
      </w:r>
      <w:r w:rsidRPr="0078056B">
        <w:t xml:space="preserve">) of this total came from study trips; </w:t>
      </w:r>
      <w:r w:rsidRPr="0078056B">
        <w:rPr>
          <w:b/>
          <w:bCs/>
          <w:color w:val="06357A"/>
        </w:rPr>
        <w:t>£7 million</w:t>
      </w:r>
      <w:r w:rsidRPr="0078056B">
        <w:t xml:space="preserve"> (</w:t>
      </w:r>
      <w:r w:rsidRPr="0078056B">
        <w:rPr>
          <w:b/>
          <w:bCs/>
          <w:color w:val="06357A"/>
        </w:rPr>
        <w:t>38%</w:t>
      </w:r>
      <w:r w:rsidRPr="0078056B">
        <w:t xml:space="preserve">) was spent during visits to see friends and family associated with the University; and an estimated </w:t>
      </w:r>
      <w:r w:rsidRPr="0078056B">
        <w:rPr>
          <w:b/>
          <w:bCs/>
          <w:color w:val="06357A"/>
        </w:rPr>
        <w:t>£3 million</w:t>
      </w:r>
      <w:r w:rsidRPr="0078056B">
        <w:t xml:space="preserve"> (</w:t>
      </w:r>
      <w:r w:rsidRPr="0078056B">
        <w:rPr>
          <w:b/>
          <w:bCs/>
          <w:color w:val="06357A"/>
        </w:rPr>
        <w:t>14%</w:t>
      </w:r>
      <w:r w:rsidRPr="0078056B">
        <w:rPr>
          <w:color w:val="06357A"/>
        </w:rPr>
        <w:t>)</w:t>
      </w:r>
      <w:r w:rsidRPr="0078056B">
        <w:t xml:space="preserve"> was associated with business trips.</w:t>
      </w:r>
    </w:p>
    <w:p w14:paraId="582D6E01" w14:textId="77777777" w:rsidR="00E13125" w:rsidRPr="0078056B" w:rsidRDefault="00E13125" w:rsidP="00E13125">
      <w:pPr>
        <w:pStyle w:val="Heading2"/>
      </w:pPr>
      <w:bookmarkStart w:id="322" w:name="_Toc78355865"/>
      <w:bookmarkStart w:id="323" w:name="_Toc112934677"/>
      <w:bookmarkStart w:id="324" w:name="_Toc138171551"/>
      <w:bookmarkStart w:id="325" w:name="_Toc161676190"/>
      <w:bookmarkStart w:id="326" w:name="_Toc168652139"/>
      <w:r w:rsidRPr="0078056B">
        <w:t>Indirect and induced impacts associated with visitor expenditure</w:t>
      </w:r>
      <w:bookmarkEnd w:id="322"/>
      <w:bookmarkEnd w:id="323"/>
      <w:bookmarkEnd w:id="324"/>
      <w:bookmarkEnd w:id="325"/>
      <w:bookmarkEnd w:id="326"/>
      <w:r w:rsidRPr="0078056B">
        <w:t xml:space="preserve"> </w:t>
      </w:r>
    </w:p>
    <w:p w14:paraId="61E1F11B" w14:textId="6976B827" w:rsidR="00E13125" w:rsidRPr="0078056B" w:rsidRDefault="00E13125" w:rsidP="00E13125">
      <w:r w:rsidRPr="0078056B">
        <w:t xml:space="preserve">As with </w:t>
      </w:r>
      <w:r w:rsidR="00D7680A" w:rsidRPr="0078056B">
        <w:t xml:space="preserve">the University’s research and knowledge exchange activities (see Section </w:t>
      </w:r>
      <w:r w:rsidR="00D7680A" w:rsidRPr="0078056B">
        <w:fldChar w:fldCharType="begin"/>
      </w:r>
      <w:r w:rsidR="00D7680A" w:rsidRPr="0078056B">
        <w:instrText xml:space="preserve"> REF _Ref162258996 \r \h </w:instrText>
      </w:r>
      <w:r w:rsidR="0078056B">
        <w:instrText xml:space="preserve"> \* MERGEFORMAT </w:instrText>
      </w:r>
      <w:r w:rsidR="00D7680A" w:rsidRPr="0078056B">
        <w:fldChar w:fldCharType="separate"/>
      </w:r>
      <w:r w:rsidR="00E33157">
        <w:t>2</w:t>
      </w:r>
      <w:r w:rsidR="00D7680A" w:rsidRPr="0078056B">
        <w:fldChar w:fldCharType="end"/>
      </w:r>
      <w:r w:rsidR="00D7680A" w:rsidRPr="0078056B">
        <w:t xml:space="preserve">), educational exports (see Section 4), and operational and capital expenditures (see Section 5), </w:t>
      </w:r>
      <w:r w:rsidRPr="0078056B">
        <w:t>the assessment of the indirect and induced economic impacts associated with visitor expenditure is again based on economic multipliers derived from the above-described multi-regional Input-Output model.</w:t>
      </w:r>
      <w:r w:rsidRPr="0078056B">
        <w:rPr>
          <w:rStyle w:val="FootnoteReference"/>
        </w:rPr>
        <w:footnoteReference w:id="89"/>
      </w:r>
      <w:r w:rsidRPr="0078056B">
        <w:t xml:space="preserve"> Reflecting the distribution of visitor expenditure in the distribution, transport, hotels, and restaurants sector and the ‘other’ services sector</w:t>
      </w:r>
      <w:r w:rsidRPr="0078056B">
        <w:rPr>
          <w:rStyle w:val="FootnoteReference"/>
        </w:rPr>
        <w:footnoteReference w:id="90"/>
      </w:r>
      <w:r w:rsidRPr="0078056B">
        <w:t>, we applied the estimated average economic multipliers associated with organisations in those sectors located in the West Midlands.</w:t>
      </w:r>
    </w:p>
    <w:p w14:paraId="33EB835C" w14:textId="73E1F9EE" w:rsidR="00E13125" w:rsidRPr="0078056B" w:rsidRDefault="00E13125" w:rsidP="00E13125">
      <w:r w:rsidRPr="0078056B">
        <w:t xml:space="preserve">These multipliers (for the West Midlands and the UK as a whole; presented in </w:t>
      </w:r>
      <w:r w:rsidRPr="0078056B">
        <w:fldChar w:fldCharType="begin"/>
      </w:r>
      <w:r w:rsidRPr="0078056B">
        <w:instrText xml:space="preserve"> REF _Ref71200506 \r \h  \* MERGEFORMAT </w:instrText>
      </w:r>
      <w:r w:rsidRPr="0078056B">
        <w:fldChar w:fldCharType="separate"/>
      </w:r>
      <w:r w:rsidR="00E33157">
        <w:t>Table 12</w:t>
      </w:r>
      <w:r w:rsidRPr="0078056B">
        <w:fldChar w:fldCharType="end"/>
      </w:r>
      <w:r w:rsidRPr="0078056B">
        <w:t xml:space="preserve">) indicate that every £1 million of (overseas overnight) visitor expenditure associated with the University of Birmingham generates an </w:t>
      </w:r>
      <w:r w:rsidRPr="0078056B">
        <w:rPr>
          <w:i/>
          <w:iCs/>
        </w:rPr>
        <w:t>additional</w:t>
      </w:r>
      <w:r w:rsidRPr="0078056B">
        <w:t xml:space="preserve"> </w:t>
      </w:r>
      <w:r w:rsidRPr="0078056B">
        <w:rPr>
          <w:rFonts w:eastAsia="Calibri" w:cs="Times New Roman"/>
          <w:b/>
          <w:color w:val="06357A" w:themeColor="accent1"/>
        </w:rPr>
        <w:t>£1.36 million</w:t>
      </w:r>
      <w:r w:rsidRPr="0078056B">
        <w:rPr>
          <w:color w:val="0B5ED7" w:themeColor="accent2"/>
        </w:rPr>
        <w:t xml:space="preserve"> </w:t>
      </w:r>
      <w:r w:rsidRPr="0078056B">
        <w:t xml:space="preserve">of impact throughout the UK economy, of which </w:t>
      </w:r>
      <w:r w:rsidRPr="0078056B">
        <w:rPr>
          <w:b/>
          <w:bCs/>
          <w:color w:val="06357A" w:themeColor="accent1"/>
        </w:rPr>
        <w:t>£0.53 million</w:t>
      </w:r>
      <w:r w:rsidRPr="0078056B">
        <w:t xml:space="preserve"> is generated in the West Midlands. In terms of employment, for every 1,000 (FTE) staff directly supported by this visitor expenditure, an </w:t>
      </w:r>
      <w:r w:rsidRPr="0078056B">
        <w:rPr>
          <w:i/>
        </w:rPr>
        <w:t xml:space="preserve">additional </w:t>
      </w:r>
      <w:r w:rsidRPr="0078056B">
        <w:rPr>
          <w:rFonts w:eastAsia="Calibri" w:cs="Times New Roman"/>
          <w:b/>
          <w:color w:val="06357A" w:themeColor="accent1"/>
        </w:rPr>
        <w:t>850</w:t>
      </w:r>
      <w:r w:rsidRPr="0078056B">
        <w:rPr>
          <w:color w:val="0B5ED7" w:themeColor="accent2"/>
        </w:rPr>
        <w:t xml:space="preserve"> </w:t>
      </w:r>
      <w:r w:rsidRPr="0078056B">
        <w:t xml:space="preserve">staff are supported throughout the United Kingdom, of which </w:t>
      </w:r>
      <w:r w:rsidRPr="0078056B">
        <w:rPr>
          <w:rFonts w:eastAsia="Calibri" w:cs="Times New Roman"/>
          <w:b/>
          <w:color w:val="06357A" w:themeColor="accent1"/>
        </w:rPr>
        <w:t>360</w:t>
      </w:r>
      <w:r w:rsidRPr="0078056B">
        <w:rPr>
          <w:color w:val="06357A" w:themeColor="accent1"/>
        </w:rPr>
        <w:t xml:space="preserve"> </w:t>
      </w:r>
      <w:r w:rsidRPr="0078056B">
        <w:t xml:space="preserve">are located in the West Midlands. </w:t>
      </w:r>
    </w:p>
    <w:p w14:paraId="6D1B1F22" w14:textId="77777777" w:rsidR="00E13125" w:rsidRPr="0078056B" w:rsidRDefault="00E13125" w:rsidP="00E13125">
      <w:pPr>
        <w:pStyle w:val="TableTitle"/>
      </w:pPr>
      <w:bookmarkStart w:id="327" w:name="_Ref71200506"/>
      <w:bookmarkStart w:id="328" w:name="_Ref71205033"/>
      <w:bookmarkStart w:id="329" w:name="_Toc71205269"/>
      <w:bookmarkStart w:id="330" w:name="_Toc78355893"/>
      <w:bookmarkStart w:id="331" w:name="_Toc112934705"/>
      <w:bookmarkStart w:id="332" w:name="_Toc138171582"/>
      <w:bookmarkStart w:id="333" w:name="_Toc161676200"/>
      <w:bookmarkStart w:id="334" w:name="_Toc168652167"/>
      <w:r w:rsidRPr="0078056B">
        <w:t>Economic multipliers associated with tourism expenditures related to the University</w:t>
      </w:r>
      <w:bookmarkEnd w:id="327"/>
      <w:bookmarkEnd w:id="328"/>
      <w:bookmarkEnd w:id="329"/>
      <w:bookmarkEnd w:id="330"/>
      <w:bookmarkEnd w:id="331"/>
      <w:r w:rsidRPr="0078056B">
        <w:t xml:space="preserve"> of </w:t>
      </w:r>
      <w:bookmarkEnd w:id="332"/>
      <w:r w:rsidRPr="0078056B">
        <w:t>Birmingham</w:t>
      </w:r>
      <w:bookmarkEnd w:id="333"/>
      <w:bookmarkEnd w:id="334"/>
    </w:p>
    <w:tbl>
      <w:tblPr>
        <w:tblW w:w="8844" w:type="dxa"/>
        <w:tblBorders>
          <w:top w:val="single" w:sz="4" w:space="0" w:color="BFBFBF"/>
          <w:bottom w:val="single" w:sz="4" w:space="0" w:color="BFBFBF"/>
          <w:insideH w:val="single" w:sz="4" w:space="0" w:color="BFBFBF"/>
          <w:insideV w:val="single" w:sz="4" w:space="0" w:color="BFBFBF"/>
        </w:tblBorders>
        <w:tblLayout w:type="fixed"/>
        <w:tblCellMar>
          <w:left w:w="0" w:type="dxa"/>
          <w:right w:w="0" w:type="dxa"/>
        </w:tblCellMar>
        <w:tblLook w:val="0620" w:firstRow="1" w:lastRow="0" w:firstColumn="0" w:lastColumn="0" w:noHBand="1" w:noVBand="1"/>
      </w:tblPr>
      <w:tblGrid>
        <w:gridCol w:w="2663"/>
        <w:gridCol w:w="2060"/>
        <w:gridCol w:w="2060"/>
        <w:gridCol w:w="2061"/>
      </w:tblGrid>
      <w:tr w:rsidR="00E13125" w:rsidRPr="0078056B" w14:paraId="1A4F3CA5" w14:textId="77777777" w:rsidTr="00CF1749">
        <w:trPr>
          <w:tblHeader/>
        </w:trPr>
        <w:tc>
          <w:tcPr>
            <w:tcW w:w="2835" w:type="dxa"/>
            <w:tcBorders>
              <w:top w:val="single" w:sz="4" w:space="0" w:color="06357A"/>
              <w:bottom w:val="single" w:sz="4" w:space="0" w:color="06357A"/>
            </w:tcBorders>
            <w:shd w:val="clear" w:color="auto" w:fill="auto"/>
            <w:vAlign w:val="center"/>
          </w:tcPr>
          <w:p w14:paraId="44865CD4" w14:textId="77777777" w:rsidR="00E13125" w:rsidRPr="0078056B" w:rsidRDefault="00E13125" w:rsidP="00CF1749">
            <w:pPr>
              <w:pStyle w:val="TableHeading"/>
            </w:pPr>
            <w:r w:rsidRPr="0078056B">
              <w:t>Location of impact</w:t>
            </w:r>
          </w:p>
        </w:tc>
        <w:tc>
          <w:tcPr>
            <w:tcW w:w="2192" w:type="dxa"/>
            <w:tcBorders>
              <w:top w:val="single" w:sz="4" w:space="0" w:color="06357A"/>
              <w:bottom w:val="single" w:sz="4" w:space="0" w:color="06357A"/>
            </w:tcBorders>
            <w:shd w:val="clear" w:color="auto" w:fill="auto"/>
            <w:vAlign w:val="center"/>
          </w:tcPr>
          <w:p w14:paraId="71A4060E" w14:textId="77777777" w:rsidR="00E13125" w:rsidRPr="0078056B" w:rsidRDefault="00E13125" w:rsidP="00CF1749">
            <w:pPr>
              <w:pStyle w:val="TableHeading"/>
              <w:ind w:left="57" w:right="57"/>
              <w:jc w:val="center"/>
            </w:pPr>
            <w:r w:rsidRPr="0078056B">
              <w:t>Output</w:t>
            </w:r>
          </w:p>
        </w:tc>
        <w:tc>
          <w:tcPr>
            <w:tcW w:w="2192" w:type="dxa"/>
            <w:tcBorders>
              <w:top w:val="single" w:sz="4" w:space="0" w:color="06357A"/>
              <w:bottom w:val="single" w:sz="4" w:space="0" w:color="06357A"/>
            </w:tcBorders>
            <w:shd w:val="clear" w:color="auto" w:fill="auto"/>
            <w:vAlign w:val="center"/>
          </w:tcPr>
          <w:p w14:paraId="3C894D82" w14:textId="77777777" w:rsidR="00E13125" w:rsidRPr="0078056B" w:rsidRDefault="00E13125" w:rsidP="00CF1749">
            <w:pPr>
              <w:pStyle w:val="TableHeading"/>
              <w:ind w:left="57" w:right="57"/>
              <w:jc w:val="center"/>
            </w:pPr>
            <w:r w:rsidRPr="0078056B">
              <w:t>GVA</w:t>
            </w:r>
          </w:p>
        </w:tc>
        <w:tc>
          <w:tcPr>
            <w:tcW w:w="2193" w:type="dxa"/>
            <w:tcBorders>
              <w:top w:val="single" w:sz="4" w:space="0" w:color="06357A"/>
              <w:bottom w:val="single" w:sz="4" w:space="0" w:color="06357A"/>
            </w:tcBorders>
            <w:shd w:val="clear" w:color="auto" w:fill="auto"/>
            <w:vAlign w:val="center"/>
          </w:tcPr>
          <w:p w14:paraId="7A6F48F8" w14:textId="77777777" w:rsidR="00E13125" w:rsidRPr="0078056B" w:rsidRDefault="00E13125" w:rsidP="00CF1749">
            <w:pPr>
              <w:pStyle w:val="TableHeading"/>
              <w:ind w:left="57" w:right="57"/>
              <w:jc w:val="center"/>
            </w:pPr>
            <w:r w:rsidRPr="0078056B">
              <w:t>FTE employment</w:t>
            </w:r>
          </w:p>
        </w:tc>
      </w:tr>
      <w:tr w:rsidR="00E13125" w:rsidRPr="0078056B" w14:paraId="6342CFCA" w14:textId="77777777" w:rsidTr="00CF1749">
        <w:tc>
          <w:tcPr>
            <w:tcW w:w="2835" w:type="dxa"/>
            <w:tcBorders>
              <w:top w:val="single" w:sz="4" w:space="0" w:color="06357A"/>
            </w:tcBorders>
            <w:shd w:val="clear" w:color="auto" w:fill="auto"/>
            <w:vAlign w:val="center"/>
          </w:tcPr>
          <w:p w14:paraId="6CD644CE" w14:textId="77777777" w:rsidR="00E13125" w:rsidRPr="0078056B" w:rsidRDefault="00E13125" w:rsidP="00CF1749">
            <w:pPr>
              <w:pStyle w:val="TableText"/>
            </w:pPr>
            <w:r w:rsidRPr="0078056B">
              <w:t>West Midlands</w:t>
            </w:r>
          </w:p>
        </w:tc>
        <w:tc>
          <w:tcPr>
            <w:tcW w:w="2192" w:type="dxa"/>
            <w:tcBorders>
              <w:top w:val="single" w:sz="4" w:space="0" w:color="06357A"/>
            </w:tcBorders>
            <w:shd w:val="clear" w:color="auto" w:fill="auto"/>
            <w:vAlign w:val="center"/>
          </w:tcPr>
          <w:p w14:paraId="731A7BE2" w14:textId="77777777" w:rsidR="00E13125" w:rsidRPr="0078056B" w:rsidRDefault="00E13125" w:rsidP="00CF1749">
            <w:pPr>
              <w:pStyle w:val="TableText"/>
              <w:ind w:left="57" w:right="57"/>
              <w:jc w:val="center"/>
              <w:rPr>
                <w:color w:val="000000" w:themeColor="text1"/>
                <w:szCs w:val="20"/>
              </w:rPr>
            </w:pPr>
            <w:r w:rsidRPr="0078056B">
              <w:t>1.53</w:t>
            </w:r>
          </w:p>
        </w:tc>
        <w:tc>
          <w:tcPr>
            <w:tcW w:w="2192" w:type="dxa"/>
            <w:tcBorders>
              <w:top w:val="single" w:sz="4" w:space="0" w:color="06357A"/>
            </w:tcBorders>
            <w:shd w:val="clear" w:color="auto" w:fill="auto"/>
            <w:vAlign w:val="center"/>
          </w:tcPr>
          <w:p w14:paraId="5A0F806A" w14:textId="77777777" w:rsidR="00E13125" w:rsidRPr="0078056B" w:rsidRDefault="00E13125" w:rsidP="00CF1749">
            <w:pPr>
              <w:pStyle w:val="TableText"/>
              <w:ind w:left="57" w:right="57"/>
              <w:jc w:val="center"/>
              <w:rPr>
                <w:color w:val="000000" w:themeColor="text1"/>
                <w:szCs w:val="20"/>
              </w:rPr>
            </w:pPr>
            <w:r w:rsidRPr="0078056B">
              <w:t>1.53</w:t>
            </w:r>
          </w:p>
        </w:tc>
        <w:tc>
          <w:tcPr>
            <w:tcW w:w="2193" w:type="dxa"/>
            <w:tcBorders>
              <w:top w:val="single" w:sz="4" w:space="0" w:color="06357A"/>
            </w:tcBorders>
            <w:shd w:val="clear" w:color="auto" w:fill="auto"/>
            <w:vAlign w:val="center"/>
          </w:tcPr>
          <w:p w14:paraId="1FBE5154" w14:textId="77777777" w:rsidR="00E13125" w:rsidRPr="0078056B" w:rsidRDefault="00E13125" w:rsidP="00CF1749">
            <w:pPr>
              <w:pStyle w:val="TableText"/>
              <w:ind w:left="57" w:right="57"/>
              <w:jc w:val="center"/>
              <w:rPr>
                <w:szCs w:val="20"/>
              </w:rPr>
            </w:pPr>
            <w:r w:rsidRPr="0078056B">
              <w:t>1.36</w:t>
            </w:r>
          </w:p>
        </w:tc>
      </w:tr>
      <w:tr w:rsidR="00E13125" w:rsidRPr="0078056B" w14:paraId="3B5E6830" w14:textId="77777777" w:rsidTr="00CF1749">
        <w:tc>
          <w:tcPr>
            <w:tcW w:w="2835" w:type="dxa"/>
            <w:tcBorders>
              <w:bottom w:val="single" w:sz="4" w:space="0" w:color="06357A"/>
            </w:tcBorders>
            <w:shd w:val="clear" w:color="auto" w:fill="auto"/>
            <w:vAlign w:val="center"/>
          </w:tcPr>
          <w:p w14:paraId="152A7524" w14:textId="77777777" w:rsidR="00E13125" w:rsidRPr="0078056B" w:rsidRDefault="00E13125" w:rsidP="00CF1749">
            <w:pPr>
              <w:pStyle w:val="TableText"/>
            </w:pPr>
            <w:r w:rsidRPr="0078056B">
              <w:lastRenderedPageBreak/>
              <w:t>Total UK</w:t>
            </w:r>
          </w:p>
        </w:tc>
        <w:tc>
          <w:tcPr>
            <w:tcW w:w="2192" w:type="dxa"/>
            <w:tcBorders>
              <w:bottom w:val="single" w:sz="4" w:space="0" w:color="06357A"/>
            </w:tcBorders>
            <w:shd w:val="clear" w:color="auto" w:fill="auto"/>
            <w:vAlign w:val="center"/>
          </w:tcPr>
          <w:p w14:paraId="18DCAA1E" w14:textId="77777777" w:rsidR="00E13125" w:rsidRPr="0078056B" w:rsidRDefault="00E13125" w:rsidP="00CF1749">
            <w:pPr>
              <w:pStyle w:val="TableText"/>
              <w:ind w:left="57" w:right="57"/>
              <w:jc w:val="center"/>
              <w:rPr>
                <w:color w:val="000000" w:themeColor="text1"/>
                <w:szCs w:val="20"/>
              </w:rPr>
            </w:pPr>
            <w:r w:rsidRPr="0078056B">
              <w:t>2.36</w:t>
            </w:r>
          </w:p>
        </w:tc>
        <w:tc>
          <w:tcPr>
            <w:tcW w:w="2192" w:type="dxa"/>
            <w:tcBorders>
              <w:bottom w:val="single" w:sz="4" w:space="0" w:color="06357A"/>
            </w:tcBorders>
            <w:shd w:val="clear" w:color="auto" w:fill="auto"/>
            <w:vAlign w:val="center"/>
          </w:tcPr>
          <w:p w14:paraId="6476F1AD" w14:textId="77777777" w:rsidR="00E13125" w:rsidRPr="0078056B" w:rsidRDefault="00E13125" w:rsidP="00CF1749">
            <w:pPr>
              <w:pStyle w:val="TableText"/>
              <w:ind w:left="57" w:right="57"/>
              <w:jc w:val="center"/>
              <w:rPr>
                <w:color w:val="000000" w:themeColor="text1"/>
                <w:szCs w:val="20"/>
              </w:rPr>
            </w:pPr>
            <w:r w:rsidRPr="0078056B">
              <w:t>2.31</w:t>
            </w:r>
          </w:p>
        </w:tc>
        <w:tc>
          <w:tcPr>
            <w:tcW w:w="2193" w:type="dxa"/>
            <w:tcBorders>
              <w:bottom w:val="single" w:sz="4" w:space="0" w:color="06357A"/>
            </w:tcBorders>
            <w:shd w:val="clear" w:color="auto" w:fill="auto"/>
            <w:vAlign w:val="center"/>
          </w:tcPr>
          <w:p w14:paraId="42225D34" w14:textId="77777777" w:rsidR="00E13125" w:rsidRPr="0078056B" w:rsidRDefault="00E13125" w:rsidP="00CF1749">
            <w:pPr>
              <w:pStyle w:val="TableText"/>
              <w:ind w:left="57" w:right="57"/>
              <w:jc w:val="center"/>
              <w:rPr>
                <w:szCs w:val="20"/>
              </w:rPr>
            </w:pPr>
            <w:r w:rsidRPr="0078056B">
              <w:t>1.85</w:t>
            </w:r>
          </w:p>
        </w:tc>
      </w:tr>
    </w:tbl>
    <w:p w14:paraId="2FCFBA2D" w14:textId="77777777" w:rsidR="00E13125" w:rsidRPr="0078056B" w:rsidRDefault="00E13125" w:rsidP="0020494F">
      <w:pPr>
        <w:pStyle w:val="TableNote"/>
      </w:pPr>
      <w:r w:rsidRPr="0078056B">
        <w:t>Note: All multipliers constitute Type II multipliers, defined as [Direct + indirect + induced impact]/[Direct impact]. The multipliers shown are weighted averages across the assumed spend in the distribution, transport, hotels, and restaurants sector and the ‘other’ services sector.</w:t>
      </w:r>
    </w:p>
    <w:p w14:paraId="4F2627CA" w14:textId="77777777" w:rsidR="00E13125" w:rsidRPr="0078056B" w:rsidRDefault="00E13125" w:rsidP="00E13125">
      <w:pPr>
        <w:pStyle w:val="TableSource"/>
      </w:pPr>
      <w:r w:rsidRPr="0078056B">
        <w:t>Source: London Economics’ analysis</w:t>
      </w:r>
    </w:p>
    <w:p w14:paraId="05D14940" w14:textId="77777777" w:rsidR="00E13125" w:rsidRPr="0078056B" w:rsidRDefault="00E13125" w:rsidP="00E13125">
      <w:pPr>
        <w:pStyle w:val="Heading2"/>
      </w:pPr>
      <w:bookmarkStart w:id="335" w:name="_Toc78355866"/>
      <w:bookmarkStart w:id="336" w:name="_Toc112934678"/>
      <w:bookmarkStart w:id="337" w:name="_Toc138171552"/>
      <w:bookmarkStart w:id="338" w:name="_Toc161676191"/>
      <w:bookmarkStart w:id="339" w:name="_Toc168652140"/>
      <w:r w:rsidRPr="0078056B">
        <w:t>Total impact associated with visitor expenditure</w:t>
      </w:r>
      <w:bookmarkEnd w:id="335"/>
      <w:bookmarkEnd w:id="336"/>
      <w:bookmarkEnd w:id="337"/>
      <w:bookmarkEnd w:id="338"/>
      <w:bookmarkEnd w:id="339"/>
      <w:r w:rsidRPr="0078056B">
        <w:t xml:space="preserve"> </w:t>
      </w:r>
    </w:p>
    <w:p w14:paraId="48F3E00F" w14:textId="1417AC12" w:rsidR="00E13125" w:rsidRPr="0078056B" w:rsidRDefault="00E9507C" w:rsidP="00E13125">
      <w:r w:rsidRPr="0078056B">
        <w:fldChar w:fldCharType="begin"/>
      </w:r>
      <w:r w:rsidRPr="0078056B">
        <w:instrText xml:space="preserve"> REF _Ref162268479 \r \h  \* MERGEFORMAT </w:instrText>
      </w:r>
      <w:r w:rsidRPr="0078056B">
        <w:fldChar w:fldCharType="separate"/>
      </w:r>
      <w:r w:rsidR="00E33157">
        <w:t>Figure 30</w:t>
      </w:r>
      <w:r w:rsidRPr="0078056B">
        <w:fldChar w:fldCharType="end"/>
      </w:r>
      <w:r w:rsidR="00E13125" w:rsidRPr="0078056B">
        <w:rPr>
          <w:noProof/>
        </w:rPr>
        <mc:AlternateContent>
          <mc:Choice Requires="wps">
            <w:drawing>
              <wp:anchor distT="0" distB="0" distL="114300" distR="114300" simplePos="0" relativeHeight="251686912" behindDoc="0" locked="0" layoutInCell="1" allowOverlap="1" wp14:anchorId="70E9F4BD" wp14:editId="4A040BB7">
                <wp:simplePos x="0" y="0"/>
                <wp:positionH relativeFrom="margin">
                  <wp:posOffset>3806837</wp:posOffset>
                </wp:positionH>
                <wp:positionV relativeFrom="paragraph">
                  <wp:posOffset>35560</wp:posOffset>
                </wp:positionV>
                <wp:extent cx="1828165" cy="1184275"/>
                <wp:effectExtent l="38100" t="38100" r="95885" b="92075"/>
                <wp:wrapSquare wrapText="bothSides"/>
                <wp:docPr id="14882442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184275"/>
                        </a:xfrm>
                        <a:prstGeom prst="rect">
                          <a:avLst/>
                        </a:prstGeom>
                        <a:solidFill>
                          <a:schemeClr val="accent1"/>
                        </a:solidFill>
                        <a:ln w="12700">
                          <a:noFill/>
                          <a:miter lim="800000"/>
                          <a:headEnd/>
                          <a:tailEnd/>
                        </a:ln>
                        <a:effectLst>
                          <a:outerShdw blurRad="50800" dist="38100" dir="2700000" algn="tl" rotWithShape="0">
                            <a:prstClr val="black">
                              <a:alpha val="40000"/>
                            </a:prstClr>
                          </a:outerShdw>
                        </a:effectLst>
                      </wps:spPr>
                      <wps:txbx>
                        <w:txbxContent>
                          <w:p w14:paraId="58C136A4" w14:textId="77777777" w:rsidR="00E13125" w:rsidRPr="0078056B" w:rsidRDefault="00E13125" w:rsidP="00E13125">
                            <w:pPr>
                              <w:spacing w:before="0" w:after="0"/>
                              <w:jc w:val="center"/>
                              <w:rPr>
                                <w:b/>
                                <w:color w:val="FFFFFF" w:themeColor="background1"/>
                                <w:sz w:val="28"/>
                                <w:szCs w:val="28"/>
                              </w:rPr>
                            </w:pPr>
                            <w:r w:rsidRPr="0078056B">
                              <w:rPr>
                                <w:b/>
                                <w:color w:val="FFFFFF" w:themeColor="background1"/>
                                <w:sz w:val="28"/>
                                <w:szCs w:val="28"/>
                              </w:rPr>
                              <w:t xml:space="preserve">The impact of the University’s contribution to tourism in 2021-22 stood at </w:t>
                            </w:r>
                          </w:p>
                          <w:p w14:paraId="075A13F6" w14:textId="77777777" w:rsidR="00E13125" w:rsidRPr="003541E0" w:rsidRDefault="00E13125" w:rsidP="00E13125">
                            <w:pPr>
                              <w:spacing w:before="0" w:after="0"/>
                              <w:jc w:val="center"/>
                              <w:rPr>
                                <w:b/>
                                <w:color w:val="FFFFFF" w:themeColor="background1"/>
                                <w:sz w:val="28"/>
                                <w:szCs w:val="28"/>
                              </w:rPr>
                            </w:pPr>
                            <w:r w:rsidRPr="0078056B">
                              <w:rPr>
                                <w:b/>
                                <w:color w:val="FFFFFF" w:themeColor="background1"/>
                                <w:sz w:val="28"/>
                                <w:szCs w:val="28"/>
                              </w:rPr>
                              <w:t>£46 million.</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0E9F4BD" id="_x0000_s1042" type="#_x0000_t202" style="position:absolute;left:0;text-align:left;margin-left:299.75pt;margin-top:2.8pt;width:143.95pt;height:93.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vYcQIAAMYEAAAOAAAAZHJzL2Uyb0RvYy54bWysVMtu2zAQvBfoPxC8N5KcxDWEyEGaNEWB&#10;9IGmRc8rkrKIUFyWpC2lX98l5ThGeivqg6A16dmZ2VlfXE6DYTvlg0bb8Oqk5ExZgVLbTcN/fL99&#10;s+IsRLASDFrV8EcV+OX69auL0dVqgT0aqTwjEBvq0TW8j9HVRRFErwYIJ+iUpcMO/QCRSr8ppIeR&#10;0AdTLMpyWYzopfMoVAj07c18yNcZv+uUiF+6LqjITMOJW8xPn59tehbrC6g3HlyvxZ4G/AOLAbSl&#10;pgeoG4jAtl7/BTVo4TFgF08EDgV2nRYqayA1VflCzX0PTmUtZE5wB5vC/4MVn3f37qtncXqHEw0w&#10;iwjuDsVDYBave7AbdeU9jr0CSY2rZFkxulDvf5qsDnVIIO34CSUNGbYRM9DU+SG5QjoZodMAHg+m&#10;qykykVquFqtqec6ZoLOqWp0t3p7nHlA//dz5ED8oHFh6abinqWZ42N2FmOhA/XQldQtotLzVxuQi&#10;JUldG892QBkAIZSNs4gXN41lIzFYvC3LjG4xYeSADDpSSo0eGr4q02fOTbLkvZX5SgRt5ndiY2xq&#10;rXL+iGK2YEsQ970cWWu2/hvIhp+XBMaZ1EnU6aqaCwpnopCaMDAb2qpoOPMYf+rY50QkCxNk0nwQ&#10;1hoQD7MrxvUwqz3LMM8O0e3sFj6RydURzzzYNMt5qnFqJ6aJarVMitOgW5SPNGrik+dJq08vPfrf&#10;nI20Rg0Pv7bgFWfmo6W4nC6zkJiLKplHWo5P2uMTsIKgGi6iJ/G5uI7ztm6d15uees0RtXhFIet0&#10;Hv8zr300aVmysv1ip208rvOt57+f9R8AAAD//wMAUEsDBBQABgAIAAAAIQCV/M8Y3wAAAAkBAAAP&#10;AAAAZHJzL2Rvd25yZXYueG1sTI9NT8MwDIbvSPyHyEjcWNqKbW1pOvGtIcSBgjh7jWkrmqRqsq3j&#10;1+Od2M3W++j142I1mV7saPSdswriWQSCbO10ZxsFnx9PVykIH9Bq7J0lBQfysCrPzwrMtdvbd9pV&#10;oRFcYn2OCtoQhlxKX7dk0M/cQJazbzcaDLyOjdQj7rnc9DKJooU02Fm+0OJA9y3VP9XWKGgegsTH&#10;35f4Lv5aV8nzOrzqt0ypy4vp9gZEoCn8w3DUZ3Uo2WnjtlZ70SuYZ9mcUR4WIDhP0+U1iA2DWRKD&#10;LAt5+kH5BwAA//8DAFBLAQItABQABgAIAAAAIQC2gziS/gAAAOEBAAATAAAAAAAAAAAAAAAAAAAA&#10;AABbQ29udGVudF9UeXBlc10ueG1sUEsBAi0AFAAGAAgAAAAhADj9If/WAAAAlAEAAAsAAAAAAAAA&#10;AAAAAAAALwEAAF9yZWxzLy5yZWxzUEsBAi0AFAAGAAgAAAAhAIbKG9hxAgAAxgQAAA4AAAAAAAAA&#10;AAAAAAAALgIAAGRycy9lMm9Eb2MueG1sUEsBAi0AFAAGAAgAAAAhAJX8zxjfAAAACQEAAA8AAAAA&#10;AAAAAAAAAAAAywQAAGRycy9kb3ducmV2LnhtbFBLBQYAAAAABAAEAPMAAADXBQAAAAA=&#10;" fillcolor="#06357a [3204]" stroked="f" strokeweight="1pt">
                <v:shadow on="t" color="black" opacity="26214f" origin="-.5,-.5" offset=".74836mm,.74836mm"/>
                <v:textbox inset="1mm,.5mm,1mm,.5mm">
                  <w:txbxContent>
                    <w:p w14:paraId="58C136A4" w14:textId="77777777" w:rsidR="00E13125" w:rsidRPr="0078056B" w:rsidRDefault="00E13125" w:rsidP="00E13125">
                      <w:pPr>
                        <w:spacing w:before="0" w:after="0"/>
                        <w:jc w:val="center"/>
                        <w:rPr>
                          <w:b/>
                          <w:color w:val="FFFFFF" w:themeColor="background1"/>
                          <w:sz w:val="28"/>
                          <w:szCs w:val="28"/>
                        </w:rPr>
                      </w:pPr>
                      <w:r w:rsidRPr="0078056B">
                        <w:rPr>
                          <w:b/>
                          <w:color w:val="FFFFFF" w:themeColor="background1"/>
                          <w:sz w:val="28"/>
                          <w:szCs w:val="28"/>
                        </w:rPr>
                        <w:t xml:space="preserve">The impact of the University’s contribution to tourism in 2021-22 stood at </w:t>
                      </w:r>
                    </w:p>
                    <w:p w14:paraId="075A13F6" w14:textId="77777777" w:rsidR="00E13125" w:rsidRPr="003541E0" w:rsidRDefault="00E13125" w:rsidP="00E13125">
                      <w:pPr>
                        <w:spacing w:before="0" w:after="0"/>
                        <w:jc w:val="center"/>
                        <w:rPr>
                          <w:b/>
                          <w:color w:val="FFFFFF" w:themeColor="background1"/>
                          <w:sz w:val="28"/>
                          <w:szCs w:val="28"/>
                        </w:rPr>
                      </w:pPr>
                      <w:r w:rsidRPr="0078056B">
                        <w:rPr>
                          <w:b/>
                          <w:color w:val="FFFFFF" w:themeColor="background1"/>
                          <w:sz w:val="28"/>
                          <w:szCs w:val="28"/>
                        </w:rPr>
                        <w:t>£46 million.</w:t>
                      </w:r>
                    </w:p>
                  </w:txbxContent>
                </v:textbox>
                <w10:wrap type="square" anchorx="margin"/>
              </v:shape>
            </w:pict>
          </mc:Fallback>
        </mc:AlternateContent>
      </w:r>
      <w:r w:rsidR="00E13125" w:rsidRPr="0078056B">
        <w:t xml:space="preserve"> presents the estimated total direct, indirect, and induced impacts associated with the above visitor expenditures generated by the University’s activities in 2021-22. The analysis indicates that the aggregate impact of these expenditures stood at approximately </w:t>
      </w:r>
      <w:r w:rsidR="00E13125" w:rsidRPr="0078056B">
        <w:rPr>
          <w:b/>
          <w:bCs/>
          <w:color w:val="06357A" w:themeColor="accent1"/>
        </w:rPr>
        <w:t>£46 million</w:t>
      </w:r>
      <w:r w:rsidR="00E13125" w:rsidRPr="0078056B">
        <w:rPr>
          <w:color w:val="06357A" w:themeColor="accent1"/>
        </w:rPr>
        <w:t xml:space="preserve"> </w:t>
      </w:r>
      <w:r w:rsidR="00E13125" w:rsidRPr="0078056B">
        <w:t xml:space="preserve">in economic output terms (see top panel of </w:t>
      </w:r>
      <w:r w:rsidRPr="0078056B">
        <w:fldChar w:fldCharType="begin"/>
      </w:r>
      <w:r w:rsidRPr="0078056B">
        <w:instrText xml:space="preserve"> REF _Ref162268479 \r \h  \* MERGEFORMAT </w:instrText>
      </w:r>
      <w:r w:rsidRPr="0078056B">
        <w:fldChar w:fldCharType="separate"/>
      </w:r>
      <w:r w:rsidR="00E33157">
        <w:t>Figure 30</w:t>
      </w:r>
      <w:r w:rsidRPr="0078056B">
        <w:fldChar w:fldCharType="end"/>
      </w:r>
      <w:r w:rsidR="00E13125" w:rsidRPr="0078056B">
        <w:t>). In terms of region, the majority of this impact (</w:t>
      </w:r>
      <w:r w:rsidR="00E13125" w:rsidRPr="0078056B">
        <w:rPr>
          <w:b/>
          <w:bCs/>
          <w:color w:val="06357A" w:themeColor="accent1"/>
        </w:rPr>
        <w:t>£30 million</w:t>
      </w:r>
      <w:r w:rsidR="00E13125" w:rsidRPr="0078056B">
        <w:t xml:space="preserve">, </w:t>
      </w:r>
      <w:r w:rsidR="00E13125" w:rsidRPr="0078056B">
        <w:rPr>
          <w:b/>
          <w:bCs/>
          <w:color w:val="06357A" w:themeColor="accent1"/>
        </w:rPr>
        <w:t>65%</w:t>
      </w:r>
      <w:r w:rsidR="00E13125" w:rsidRPr="0078056B">
        <w:t xml:space="preserve">) was generated in </w:t>
      </w:r>
      <w:r w:rsidR="00E13125" w:rsidRPr="0078056B">
        <w:rPr>
          <w:color w:val="000000" w:themeColor="text1"/>
        </w:rPr>
        <w:t>the</w:t>
      </w:r>
      <w:r w:rsidR="00E13125" w:rsidRPr="0078056B">
        <w:rPr>
          <w:b/>
          <w:bCs/>
          <w:color w:val="000000" w:themeColor="text1"/>
        </w:rPr>
        <w:t xml:space="preserve"> </w:t>
      </w:r>
      <w:r w:rsidR="00E13125" w:rsidRPr="0078056B">
        <w:rPr>
          <w:b/>
          <w:bCs/>
          <w:color w:val="06357A"/>
        </w:rPr>
        <w:t>West Midlands</w:t>
      </w:r>
      <w:r w:rsidR="00E13125" w:rsidRPr="0078056B">
        <w:t xml:space="preserve">, with </w:t>
      </w:r>
      <w:r w:rsidR="00E13125" w:rsidRPr="0078056B">
        <w:rPr>
          <w:b/>
          <w:bCs/>
          <w:color w:val="06357A" w:themeColor="accent1"/>
        </w:rPr>
        <w:t>£16 million</w:t>
      </w:r>
      <w:r w:rsidR="00E13125" w:rsidRPr="0078056B">
        <w:rPr>
          <w:color w:val="06357A" w:themeColor="accent1"/>
        </w:rPr>
        <w:t xml:space="preserve"> </w:t>
      </w:r>
      <w:r w:rsidR="00E13125" w:rsidRPr="0078056B">
        <w:t>(</w:t>
      </w:r>
      <w:r w:rsidR="00E13125" w:rsidRPr="0078056B">
        <w:rPr>
          <w:b/>
          <w:bCs/>
          <w:color w:val="06357A" w:themeColor="accent1"/>
        </w:rPr>
        <w:t>35%</w:t>
      </w:r>
      <w:r w:rsidR="00E13125" w:rsidRPr="0078056B">
        <w:t>) occurring in other regions across the UK.</w:t>
      </w:r>
    </w:p>
    <w:p w14:paraId="4EE7880C" w14:textId="77777777" w:rsidR="00E13125" w:rsidRPr="0078056B" w:rsidRDefault="00E13125" w:rsidP="00E13125">
      <w:pPr>
        <w:pStyle w:val="MinorBullet1"/>
        <w:numPr>
          <w:ilvl w:val="0"/>
          <w:numId w:val="0"/>
        </w:numPr>
      </w:pPr>
      <w:r w:rsidRPr="0078056B">
        <w:t xml:space="preserve">In terms of sector of impact, in addition to the impacts occurring in the </w:t>
      </w:r>
      <w:r w:rsidRPr="0078056B">
        <w:rPr>
          <w:b/>
          <w:bCs/>
          <w:color w:val="06357A"/>
        </w:rPr>
        <w:t>distribution, transport, hotels and restaurants</w:t>
      </w:r>
      <w:r w:rsidRPr="0078056B">
        <w:t xml:space="preserve"> </w:t>
      </w:r>
      <w:r w:rsidRPr="0078056B">
        <w:rPr>
          <w:b/>
          <w:bCs/>
          <w:color w:val="06357A" w:themeColor="accent1"/>
        </w:rPr>
        <w:t>sector</w:t>
      </w:r>
      <w:r w:rsidRPr="0078056B">
        <w:rPr>
          <w:color w:val="06357A" w:themeColor="accent1"/>
        </w:rPr>
        <w:t xml:space="preserve"> </w:t>
      </w:r>
      <w:r w:rsidRPr="0078056B">
        <w:t>(</w:t>
      </w:r>
      <w:r w:rsidRPr="0078056B">
        <w:rPr>
          <w:b/>
          <w:bCs/>
          <w:color w:val="06357A" w:themeColor="accent1"/>
        </w:rPr>
        <w:t>£24 million</w:t>
      </w:r>
      <w:r w:rsidRPr="0078056B">
        <w:t xml:space="preserve">, </w:t>
      </w:r>
      <w:r w:rsidRPr="0078056B">
        <w:rPr>
          <w:b/>
          <w:bCs/>
          <w:color w:val="06357A" w:themeColor="accent1"/>
        </w:rPr>
        <w:t>53%</w:t>
      </w:r>
      <w:r w:rsidRPr="0078056B">
        <w:t xml:space="preserve">), there were also impacts within other sectors, such as the </w:t>
      </w:r>
      <w:r w:rsidRPr="0078056B">
        <w:rPr>
          <w:b/>
          <w:bCs/>
          <w:color w:val="06357A"/>
        </w:rPr>
        <w:t>production sector</w:t>
      </w:r>
      <w:r w:rsidRPr="0078056B">
        <w:rPr>
          <w:color w:val="06357A"/>
        </w:rPr>
        <w:t xml:space="preserve"> </w:t>
      </w:r>
      <w:r w:rsidRPr="0078056B">
        <w:t>(</w:t>
      </w:r>
      <w:r w:rsidRPr="0078056B">
        <w:rPr>
          <w:b/>
          <w:bCs/>
          <w:color w:val="06357A" w:themeColor="accent1"/>
        </w:rPr>
        <w:t>£6 million</w:t>
      </w:r>
      <w:r w:rsidRPr="0078056B">
        <w:t xml:space="preserve">, </w:t>
      </w:r>
      <w:r w:rsidRPr="0078056B">
        <w:rPr>
          <w:b/>
          <w:bCs/>
          <w:color w:val="06357A" w:themeColor="accent1"/>
        </w:rPr>
        <w:t>13%</w:t>
      </w:r>
      <w:r w:rsidRPr="0078056B">
        <w:t xml:space="preserve">), the </w:t>
      </w:r>
      <w:r w:rsidRPr="0078056B">
        <w:rPr>
          <w:b/>
          <w:bCs/>
          <w:color w:val="06357A" w:themeColor="accent1"/>
        </w:rPr>
        <w:t>real estate sector</w:t>
      </w:r>
      <w:r w:rsidRPr="0078056B">
        <w:t xml:space="preserve"> (</w:t>
      </w:r>
      <w:r w:rsidRPr="0078056B">
        <w:rPr>
          <w:b/>
          <w:bCs/>
          <w:color w:val="06357A" w:themeColor="accent1"/>
        </w:rPr>
        <w:t>£4 million</w:t>
      </w:r>
      <w:r w:rsidRPr="0078056B">
        <w:t xml:space="preserve">, </w:t>
      </w:r>
      <w:r w:rsidRPr="0078056B">
        <w:rPr>
          <w:b/>
          <w:bCs/>
          <w:color w:val="06357A" w:themeColor="accent1"/>
        </w:rPr>
        <w:t>8%</w:t>
      </w:r>
      <w:r w:rsidRPr="0078056B">
        <w:t xml:space="preserve">), and the </w:t>
      </w:r>
      <w:r w:rsidRPr="0078056B">
        <w:rPr>
          <w:b/>
          <w:bCs/>
          <w:color w:val="06357A" w:themeColor="accent1"/>
        </w:rPr>
        <w:t>‘other services’ sector</w:t>
      </w:r>
      <w:r w:rsidRPr="0078056B">
        <w:t xml:space="preserve"> (</w:t>
      </w:r>
      <w:r w:rsidRPr="0078056B">
        <w:rPr>
          <w:b/>
          <w:bCs/>
          <w:color w:val="06357A" w:themeColor="accent1"/>
        </w:rPr>
        <w:t>£4 million</w:t>
      </w:r>
      <w:r w:rsidRPr="0078056B">
        <w:t xml:space="preserve">, </w:t>
      </w:r>
      <w:r w:rsidRPr="0078056B">
        <w:rPr>
          <w:b/>
          <w:bCs/>
          <w:color w:val="06357A" w:themeColor="accent1"/>
        </w:rPr>
        <w:t>8%</w:t>
      </w:r>
      <w:r w:rsidRPr="0078056B">
        <w:t>).</w:t>
      </w:r>
      <w:r w:rsidRPr="0078056B">
        <w:rPr>
          <w:rStyle w:val="FootnoteReference"/>
        </w:rPr>
        <w:footnoteReference w:id="91"/>
      </w:r>
    </w:p>
    <w:p w14:paraId="235B2414" w14:textId="47E57773" w:rsidR="00E13125" w:rsidRPr="0078056B" w:rsidRDefault="00E13125" w:rsidP="00E13125">
      <w:r w:rsidRPr="0078056B">
        <w:t xml:space="preserve">In terms of the number of FTE jobs supported, the results indicate that the visitor spending generated by the University’s activities supported a total of </w:t>
      </w:r>
      <w:r w:rsidRPr="0078056B">
        <w:rPr>
          <w:b/>
          <w:bCs/>
          <w:color w:val="06357A" w:themeColor="accent1"/>
        </w:rPr>
        <w:t>455</w:t>
      </w:r>
      <w:r w:rsidRPr="0078056B">
        <w:t xml:space="preserve"> FTE jobs across the UK economy in 2021-22, of which </w:t>
      </w:r>
      <w:r w:rsidRPr="0078056B">
        <w:rPr>
          <w:b/>
          <w:bCs/>
          <w:color w:val="06357A" w:themeColor="accent1"/>
        </w:rPr>
        <w:t xml:space="preserve">340 </w:t>
      </w:r>
      <w:r w:rsidRPr="0078056B">
        <w:t xml:space="preserve">were located in the </w:t>
      </w:r>
      <w:r w:rsidRPr="0078056B">
        <w:rPr>
          <w:b/>
          <w:bCs/>
          <w:color w:val="06357A"/>
        </w:rPr>
        <w:t>West Midlands</w:t>
      </w:r>
      <w:r w:rsidRPr="0078056B">
        <w:rPr>
          <w:b/>
          <w:bCs/>
          <w:color w:val="000000" w:themeColor="text1"/>
        </w:rPr>
        <w:t xml:space="preserve"> </w:t>
      </w:r>
      <w:r w:rsidRPr="0078056B">
        <w:t xml:space="preserve">(presented in the bottom panel of </w:t>
      </w:r>
      <w:r w:rsidR="00E9507C" w:rsidRPr="0078056B">
        <w:fldChar w:fldCharType="begin"/>
      </w:r>
      <w:r w:rsidR="00E9507C" w:rsidRPr="0078056B">
        <w:instrText xml:space="preserve"> REF _Ref162268479 \r \h  \* MERGEFORMAT </w:instrText>
      </w:r>
      <w:r w:rsidR="00E9507C" w:rsidRPr="0078056B">
        <w:fldChar w:fldCharType="separate"/>
      </w:r>
      <w:r w:rsidR="00E33157">
        <w:t>Figure 30</w:t>
      </w:r>
      <w:r w:rsidR="00E9507C" w:rsidRPr="0078056B">
        <w:fldChar w:fldCharType="end"/>
      </w:r>
      <w:r w:rsidRPr="0078056B">
        <w:t xml:space="preserve">). In addition, the impact in terms of gross value added was estimated at </w:t>
      </w:r>
      <w:r w:rsidRPr="0078056B">
        <w:rPr>
          <w:b/>
          <w:bCs/>
          <w:color w:val="06357A" w:themeColor="accent1"/>
        </w:rPr>
        <w:t>£26 million</w:t>
      </w:r>
      <w:r w:rsidRPr="0078056B">
        <w:rPr>
          <w:color w:val="06357A" w:themeColor="accent1"/>
        </w:rPr>
        <w:t xml:space="preserve"> </w:t>
      </w:r>
      <w:r w:rsidRPr="0078056B">
        <w:t xml:space="preserve">across the UK economy as a whole, of which </w:t>
      </w:r>
      <w:r w:rsidRPr="0078056B">
        <w:rPr>
          <w:b/>
          <w:bCs/>
          <w:color w:val="06357A" w:themeColor="accent1"/>
        </w:rPr>
        <w:t>£17 million</w:t>
      </w:r>
      <w:r w:rsidRPr="0078056B">
        <w:rPr>
          <w:color w:val="06357A" w:themeColor="accent1"/>
        </w:rPr>
        <w:t xml:space="preserve"> </w:t>
      </w:r>
      <w:r w:rsidRPr="0078056B">
        <w:t xml:space="preserve">was generated within the </w:t>
      </w:r>
      <w:r w:rsidRPr="0078056B">
        <w:rPr>
          <w:b/>
          <w:bCs/>
          <w:color w:val="06357A"/>
        </w:rPr>
        <w:t>West Midlands</w:t>
      </w:r>
      <w:r w:rsidRPr="0078056B">
        <w:rPr>
          <w:b/>
          <w:bCs/>
          <w:color w:val="000000" w:themeColor="text1"/>
        </w:rPr>
        <w:t xml:space="preserve"> </w:t>
      </w:r>
      <w:r w:rsidRPr="0078056B">
        <w:t xml:space="preserve">(see the middle panel of </w:t>
      </w:r>
      <w:r w:rsidR="00E9507C" w:rsidRPr="0078056B">
        <w:fldChar w:fldCharType="begin"/>
      </w:r>
      <w:r w:rsidR="00E9507C" w:rsidRPr="0078056B">
        <w:instrText xml:space="preserve"> REF _Ref162268479 \r \h  \* MERGEFORMAT </w:instrText>
      </w:r>
      <w:r w:rsidR="00E9507C" w:rsidRPr="0078056B">
        <w:fldChar w:fldCharType="separate"/>
      </w:r>
      <w:r w:rsidR="00E33157">
        <w:t>Figure 30</w:t>
      </w:r>
      <w:r w:rsidR="00E9507C" w:rsidRPr="0078056B">
        <w:fldChar w:fldCharType="end"/>
      </w:r>
      <w:r w:rsidRPr="0078056B">
        <w:t>).</w:t>
      </w:r>
    </w:p>
    <w:p w14:paraId="7A83E66F" w14:textId="77777777" w:rsidR="00E13125" w:rsidRPr="0078056B" w:rsidRDefault="00E13125" w:rsidP="00E13125">
      <w:pPr>
        <w:sectPr w:rsidR="00E13125" w:rsidRPr="0078056B" w:rsidSect="00CF1749">
          <w:headerReference w:type="even" r:id="rId125"/>
          <w:headerReference w:type="default" r:id="rId126"/>
          <w:footerReference w:type="even" r:id="rId127"/>
          <w:pgSz w:w="11906" w:h="16838"/>
          <w:pgMar w:top="1418" w:right="1531" w:bottom="1418" w:left="1531" w:header="709" w:footer="851"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67"/>
        <w:gridCol w:w="7137"/>
      </w:tblGrid>
      <w:tr w:rsidR="00E13125" w:rsidRPr="0078056B" w14:paraId="0520D5E2" w14:textId="77777777" w:rsidTr="000A186C">
        <w:trPr>
          <w:cantSplit/>
          <w:trHeight w:val="298"/>
        </w:trPr>
        <w:tc>
          <w:tcPr>
            <w:tcW w:w="5000" w:type="pct"/>
            <w:gridSpan w:val="2"/>
            <w:vAlign w:val="center"/>
          </w:tcPr>
          <w:p w14:paraId="312C21FE" w14:textId="77777777" w:rsidR="00E13125" w:rsidRPr="0078056B" w:rsidRDefault="00E13125" w:rsidP="000A186C">
            <w:pPr>
              <w:pStyle w:val="FigureTitle"/>
            </w:pPr>
            <w:bookmarkStart w:id="340" w:name="_Toc161676203"/>
            <w:bookmarkStart w:id="341" w:name="_Ref162268479"/>
            <w:bookmarkStart w:id="342" w:name="_Toc168652211"/>
            <w:r w:rsidRPr="0078056B">
              <w:lastRenderedPageBreak/>
              <w:t>Total economic impact associated with the University’s contribution to tourism in 2021-22, by region and sector</w:t>
            </w:r>
            <w:bookmarkEnd w:id="340"/>
            <w:bookmarkEnd w:id="341"/>
            <w:bookmarkEnd w:id="342"/>
          </w:p>
        </w:tc>
      </w:tr>
      <w:tr w:rsidR="00E13125" w:rsidRPr="0078056B" w14:paraId="06B75889" w14:textId="77777777" w:rsidTr="000A186C">
        <w:trPr>
          <w:cantSplit/>
          <w:trHeight w:val="272"/>
        </w:trPr>
        <w:tc>
          <w:tcPr>
            <w:tcW w:w="1696" w:type="pct"/>
            <w:vAlign w:val="center"/>
          </w:tcPr>
          <w:p w14:paraId="57B9F2F3" w14:textId="77777777" w:rsidR="00E13125" w:rsidRPr="0078056B" w:rsidRDefault="00E13125" w:rsidP="000A186C">
            <w:pPr>
              <w:pStyle w:val="PlaceholderText"/>
              <w:jc w:val="center"/>
              <w:rPr>
                <w:b/>
                <w:bCs/>
                <w:color w:val="06357A" w:themeColor="accent1"/>
              </w:rPr>
            </w:pPr>
            <w:r w:rsidRPr="0078056B">
              <w:rPr>
                <w:b/>
                <w:bCs/>
                <w:color w:val="06357A" w:themeColor="accent1"/>
              </w:rPr>
              <w:t>By region</w:t>
            </w:r>
          </w:p>
        </w:tc>
        <w:tc>
          <w:tcPr>
            <w:tcW w:w="3304" w:type="pct"/>
            <w:vAlign w:val="center"/>
          </w:tcPr>
          <w:p w14:paraId="13AA48CB" w14:textId="77777777" w:rsidR="00E13125" w:rsidRPr="0078056B" w:rsidRDefault="00E13125" w:rsidP="000A186C">
            <w:pPr>
              <w:pStyle w:val="PlaceholderText"/>
              <w:jc w:val="center"/>
              <w:rPr>
                <w:b/>
                <w:bCs/>
                <w:color w:val="06357A" w:themeColor="accent1"/>
              </w:rPr>
            </w:pPr>
            <w:r w:rsidRPr="0078056B">
              <w:rPr>
                <w:b/>
                <w:bCs/>
                <w:color w:val="06357A" w:themeColor="accent1"/>
              </w:rPr>
              <w:t>By sector</w:t>
            </w:r>
          </w:p>
        </w:tc>
      </w:tr>
      <w:tr w:rsidR="00E13125" w:rsidRPr="0078056B" w14:paraId="013D868E" w14:textId="77777777" w:rsidTr="000A186C">
        <w:tblPrEx>
          <w:tblCellMar>
            <w:left w:w="108" w:type="dxa"/>
            <w:right w:w="108" w:type="dxa"/>
          </w:tblCellMar>
        </w:tblPrEx>
        <w:trPr>
          <w:cantSplit/>
          <w:trHeight w:val="272"/>
        </w:trPr>
        <w:tc>
          <w:tcPr>
            <w:tcW w:w="1696" w:type="pct"/>
            <w:vAlign w:val="center"/>
          </w:tcPr>
          <w:p w14:paraId="42CC2981" w14:textId="77777777" w:rsidR="00E13125" w:rsidRPr="0078056B" w:rsidRDefault="00E13125" w:rsidP="000A186C">
            <w:pPr>
              <w:pStyle w:val="PlaceholderText"/>
              <w:jc w:val="center"/>
            </w:pPr>
            <w:r w:rsidRPr="0078056B">
              <w:rPr>
                <w:noProof/>
                <w:lang w:eastAsia="en-GB"/>
              </w:rPr>
              <w:drawing>
                <wp:inline distT="0" distB="0" distL="0" distR="0" wp14:anchorId="06B2FF50" wp14:editId="1BF945AE">
                  <wp:extent cx="4317312" cy="1540825"/>
                  <wp:effectExtent l="0" t="0" r="7620" b="2540"/>
                  <wp:docPr id="433012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12602" name="Picture 1"/>
                          <pic:cNvPicPr/>
                        </pic:nvPicPr>
                        <pic:blipFill>
                          <a:blip r:embed="rId128">
                            <a:extLst>
                              <a:ext uri="{28A0092B-C50C-407E-A947-70E740481C1C}">
                                <a14:useLocalDpi xmlns:a14="http://schemas.microsoft.com/office/drawing/2010/main" val="0"/>
                              </a:ext>
                              <a:ext uri="{96DAC541-7B7A-43D3-8B79-37D633B846F1}">
                                <asvg:svgBlip xmlns:asvg="http://schemas.microsoft.com/office/drawing/2016/SVG/main" r:embed="rId129"/>
                              </a:ext>
                            </a:extLst>
                          </a:blip>
                          <a:stretch>
                            <a:fillRect/>
                          </a:stretch>
                        </pic:blipFill>
                        <pic:spPr>
                          <a:xfrm>
                            <a:off x="0" y="0"/>
                            <a:ext cx="4317312" cy="1540825"/>
                          </a:xfrm>
                          <a:prstGeom prst="rect">
                            <a:avLst/>
                          </a:prstGeom>
                        </pic:spPr>
                      </pic:pic>
                    </a:graphicData>
                  </a:graphic>
                </wp:inline>
              </w:drawing>
            </w:r>
          </w:p>
        </w:tc>
        <w:tc>
          <w:tcPr>
            <w:tcW w:w="3304" w:type="pct"/>
            <w:vAlign w:val="center"/>
          </w:tcPr>
          <w:p w14:paraId="2D611A5F" w14:textId="77777777" w:rsidR="00E13125" w:rsidRPr="0078056B" w:rsidRDefault="00E13125" w:rsidP="000A186C">
            <w:pPr>
              <w:pStyle w:val="PlaceholderText"/>
              <w:jc w:val="center"/>
            </w:pPr>
            <w:r w:rsidRPr="0078056B">
              <w:rPr>
                <w:noProof/>
                <w:lang w:eastAsia="en-GB"/>
              </w:rPr>
              <w:drawing>
                <wp:inline distT="0" distB="0" distL="0" distR="0" wp14:anchorId="44F2DEBB" wp14:editId="34578074">
                  <wp:extent cx="4387676" cy="1533943"/>
                  <wp:effectExtent l="0" t="0" r="0" b="9525"/>
                  <wp:docPr id="1137822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22362" name="Picture 1"/>
                          <pic:cNvPicPr/>
                        </pic:nvPicPr>
                        <pic:blipFill>
                          <a:blip r:embed="rId130">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a:xfrm>
                            <a:off x="0" y="0"/>
                            <a:ext cx="4387676" cy="1533943"/>
                          </a:xfrm>
                          <a:prstGeom prst="rect">
                            <a:avLst/>
                          </a:prstGeom>
                        </pic:spPr>
                      </pic:pic>
                    </a:graphicData>
                  </a:graphic>
                </wp:inline>
              </w:drawing>
            </w:r>
          </w:p>
        </w:tc>
      </w:tr>
      <w:tr w:rsidR="00E13125" w:rsidRPr="0078056B" w14:paraId="39EDBBFE" w14:textId="77777777" w:rsidTr="000A186C">
        <w:tblPrEx>
          <w:tblCellMar>
            <w:left w:w="108" w:type="dxa"/>
            <w:right w:w="108" w:type="dxa"/>
          </w:tblCellMar>
        </w:tblPrEx>
        <w:trPr>
          <w:cantSplit/>
          <w:trHeight w:val="272"/>
        </w:trPr>
        <w:tc>
          <w:tcPr>
            <w:tcW w:w="1696" w:type="pct"/>
            <w:vAlign w:val="center"/>
          </w:tcPr>
          <w:p w14:paraId="305FB979" w14:textId="77777777" w:rsidR="00E13125" w:rsidRPr="0078056B" w:rsidRDefault="00E13125" w:rsidP="000A186C">
            <w:pPr>
              <w:pStyle w:val="PlaceholderText"/>
              <w:jc w:val="center"/>
            </w:pPr>
            <w:r w:rsidRPr="0078056B">
              <w:rPr>
                <w:noProof/>
                <w:lang w:eastAsia="en-GB"/>
              </w:rPr>
              <w:drawing>
                <wp:inline distT="0" distB="0" distL="0" distR="0" wp14:anchorId="1BE7B7C9" wp14:editId="2382651A">
                  <wp:extent cx="4317312" cy="1540825"/>
                  <wp:effectExtent l="0" t="0" r="7620" b="2540"/>
                  <wp:docPr id="1879704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04669" name="Picture 1"/>
                          <pic:cNvPicPr/>
                        </pic:nvPicPr>
                        <pic:blipFill>
                          <a:blip r:embed="rId132">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4317312" cy="1540825"/>
                          </a:xfrm>
                          <a:prstGeom prst="rect">
                            <a:avLst/>
                          </a:prstGeom>
                        </pic:spPr>
                      </pic:pic>
                    </a:graphicData>
                  </a:graphic>
                </wp:inline>
              </w:drawing>
            </w:r>
          </w:p>
        </w:tc>
        <w:tc>
          <w:tcPr>
            <w:tcW w:w="3304" w:type="pct"/>
            <w:vAlign w:val="center"/>
          </w:tcPr>
          <w:p w14:paraId="635B2029" w14:textId="77777777" w:rsidR="00E13125" w:rsidRPr="0078056B" w:rsidRDefault="00E13125" w:rsidP="000A186C">
            <w:pPr>
              <w:pStyle w:val="PlaceholderText"/>
              <w:jc w:val="center"/>
            </w:pPr>
            <w:r w:rsidRPr="0078056B">
              <w:rPr>
                <w:noProof/>
                <w:lang w:eastAsia="en-GB"/>
              </w:rPr>
              <w:drawing>
                <wp:inline distT="0" distB="0" distL="0" distR="0" wp14:anchorId="5C6D4A12" wp14:editId="67BF7425">
                  <wp:extent cx="4407010" cy="1540702"/>
                  <wp:effectExtent l="0" t="0" r="0" b="2540"/>
                  <wp:docPr id="584215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15661" name="Picture 1"/>
                          <pic:cNvPicPr/>
                        </pic:nvPicPr>
                        <pic:blipFill>
                          <a:blip r:embed="rId134">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4407010" cy="1540702"/>
                          </a:xfrm>
                          <a:prstGeom prst="rect">
                            <a:avLst/>
                          </a:prstGeom>
                        </pic:spPr>
                      </pic:pic>
                    </a:graphicData>
                  </a:graphic>
                </wp:inline>
              </w:drawing>
            </w:r>
          </w:p>
        </w:tc>
      </w:tr>
      <w:tr w:rsidR="00E13125" w:rsidRPr="0078056B" w14:paraId="518D5795" w14:textId="77777777" w:rsidTr="000A186C">
        <w:tblPrEx>
          <w:tblCellMar>
            <w:left w:w="108" w:type="dxa"/>
            <w:right w:w="108" w:type="dxa"/>
          </w:tblCellMar>
        </w:tblPrEx>
        <w:trPr>
          <w:cantSplit/>
          <w:trHeight w:val="272"/>
        </w:trPr>
        <w:tc>
          <w:tcPr>
            <w:tcW w:w="1696" w:type="pct"/>
            <w:vAlign w:val="center"/>
          </w:tcPr>
          <w:p w14:paraId="7051E16D" w14:textId="77777777" w:rsidR="00E13125" w:rsidRPr="0078056B" w:rsidRDefault="00E13125" w:rsidP="000A186C">
            <w:pPr>
              <w:pStyle w:val="PlaceholderText"/>
              <w:jc w:val="center"/>
            </w:pPr>
            <w:r w:rsidRPr="0078056B">
              <w:rPr>
                <w:noProof/>
                <w:lang w:eastAsia="en-GB"/>
              </w:rPr>
              <w:drawing>
                <wp:inline distT="0" distB="0" distL="0" distR="0" wp14:anchorId="36D7A6F4" wp14:editId="489EC16B">
                  <wp:extent cx="4248000" cy="1514333"/>
                  <wp:effectExtent l="0" t="0" r="635" b="0"/>
                  <wp:docPr id="1049576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76872" name="Picture 1"/>
                          <pic:cNvPicPr/>
                        </pic:nvPicPr>
                        <pic:blipFill>
                          <a:blip r:embed="rId136">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4248000" cy="1514333"/>
                          </a:xfrm>
                          <a:prstGeom prst="rect">
                            <a:avLst/>
                          </a:prstGeom>
                        </pic:spPr>
                      </pic:pic>
                    </a:graphicData>
                  </a:graphic>
                </wp:inline>
              </w:drawing>
            </w:r>
          </w:p>
        </w:tc>
        <w:tc>
          <w:tcPr>
            <w:tcW w:w="3304" w:type="pct"/>
            <w:vAlign w:val="center"/>
          </w:tcPr>
          <w:p w14:paraId="104210DB" w14:textId="77777777" w:rsidR="00E13125" w:rsidRPr="0078056B" w:rsidRDefault="00E13125" w:rsidP="000A186C">
            <w:pPr>
              <w:pStyle w:val="PlaceholderText"/>
              <w:jc w:val="center"/>
            </w:pPr>
            <w:r w:rsidRPr="0078056B">
              <w:rPr>
                <w:noProof/>
                <w:lang w:eastAsia="en-GB"/>
              </w:rPr>
              <w:drawing>
                <wp:inline distT="0" distB="0" distL="0" distR="0" wp14:anchorId="6F0D4B1B" wp14:editId="6D0F837B">
                  <wp:extent cx="4500000" cy="1514754"/>
                  <wp:effectExtent l="0" t="0" r="0" b="9525"/>
                  <wp:docPr id="943158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58939" name="Picture 1"/>
                          <pic:cNvPicPr/>
                        </pic:nvPicPr>
                        <pic:blipFill>
                          <a:blip r:embed="rId138">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4500000" cy="1514754"/>
                          </a:xfrm>
                          <a:prstGeom prst="rect">
                            <a:avLst/>
                          </a:prstGeom>
                        </pic:spPr>
                      </pic:pic>
                    </a:graphicData>
                  </a:graphic>
                </wp:inline>
              </w:drawing>
            </w:r>
          </w:p>
        </w:tc>
      </w:tr>
      <w:tr w:rsidR="00E13125" w:rsidRPr="0078056B" w14:paraId="79A50638" w14:textId="77777777" w:rsidTr="000A186C">
        <w:trPr>
          <w:cantSplit/>
          <w:trHeight w:val="595"/>
        </w:trPr>
        <w:tc>
          <w:tcPr>
            <w:tcW w:w="5000" w:type="pct"/>
            <w:gridSpan w:val="2"/>
          </w:tcPr>
          <w:p w14:paraId="3665C78C" w14:textId="77777777" w:rsidR="00E13125" w:rsidRPr="0078056B" w:rsidRDefault="00E13125" w:rsidP="000A186C">
            <w:pPr>
              <w:pStyle w:val="TableNote"/>
            </w:pPr>
            <w:r w:rsidRPr="0078056B">
              <w:t xml:space="preserve">Note: Monetary estimates are presented in 2021-22 prices, rounded to the nearest £1 million, and may not add up precisely to the totals indicated. Employment estimates are rounded to the nearest 5, and again may not add up precisely to the totals indicated. </w:t>
            </w:r>
            <w:r w:rsidRPr="0078056B">
              <w:rPr>
                <w:b/>
                <w:bCs/>
                <w:i/>
                <w:iCs/>
              </w:rPr>
              <w:t>Source: London Economics’ analysis</w:t>
            </w:r>
          </w:p>
        </w:tc>
      </w:tr>
    </w:tbl>
    <w:p w14:paraId="4AEC93AB" w14:textId="77777777" w:rsidR="00E13125" w:rsidRPr="0078056B" w:rsidRDefault="00E13125" w:rsidP="00E13125">
      <w:pPr>
        <w:sectPr w:rsidR="00E13125" w:rsidRPr="0078056B" w:rsidSect="00E13125">
          <w:headerReference w:type="even" r:id="rId140"/>
          <w:headerReference w:type="default" r:id="rId141"/>
          <w:footerReference w:type="even" r:id="rId142"/>
          <w:footerReference w:type="default" r:id="rId143"/>
          <w:headerReference w:type="first" r:id="rId144"/>
          <w:footerReference w:type="first" r:id="rId145"/>
          <w:pgSz w:w="16838" w:h="11906" w:orient="landscape"/>
          <w:pgMar w:top="964" w:right="1417" w:bottom="1417" w:left="1417" w:header="567" w:footer="340" w:gutter="0"/>
          <w:cols w:space="708"/>
          <w:docGrid w:linePitch="360"/>
        </w:sectPr>
      </w:pPr>
    </w:p>
    <w:p w14:paraId="1E17A307" w14:textId="7BD47E41" w:rsidR="00935E7D" w:rsidRPr="0078056B" w:rsidRDefault="00935E7D" w:rsidP="00AF18BB">
      <w:pPr>
        <w:pStyle w:val="Heading1"/>
        <w:rPr>
          <w:rStyle w:val="HeaderRepeat"/>
        </w:rPr>
      </w:pPr>
      <w:bookmarkStart w:id="343" w:name="_Ref162529415"/>
      <w:bookmarkStart w:id="344" w:name="_Ref162534681"/>
      <w:bookmarkStart w:id="345" w:name="_Ref162534863"/>
      <w:bookmarkStart w:id="346" w:name="_Toc168652141"/>
      <w:r w:rsidRPr="0078056B">
        <w:rPr>
          <w:rStyle w:val="HeaderRepeat"/>
        </w:rPr>
        <w:lastRenderedPageBreak/>
        <w:t>The social and cultural impact of the University of Birmingham</w:t>
      </w:r>
      <w:bookmarkEnd w:id="343"/>
      <w:bookmarkEnd w:id="344"/>
      <w:bookmarkEnd w:id="345"/>
      <w:bookmarkEnd w:id="346"/>
    </w:p>
    <w:p w14:paraId="3361050E" w14:textId="1FECC173" w:rsidR="004C3539" w:rsidRPr="0078056B" w:rsidRDefault="008D0AD3" w:rsidP="004C3539">
      <w:r w:rsidRPr="0078056B">
        <w:t xml:space="preserve">In addition to the economic impacts associated with the University, there </w:t>
      </w:r>
      <w:r w:rsidR="00C26610" w:rsidRPr="0078056B">
        <w:t>is</w:t>
      </w:r>
      <w:r w:rsidRPr="0078056B">
        <w:t xml:space="preserve"> a wide range of further social and cultural impacts associated with the University. While equally important</w:t>
      </w:r>
      <w:r w:rsidR="00CD6B67" w:rsidRPr="0078056B">
        <w:t xml:space="preserve"> as those presented previously</w:t>
      </w:r>
      <w:r w:rsidRPr="0078056B">
        <w:t>, these impacts are generally more difficult to monetise, so we have evidenced them through a range of statistics presented within this section</w:t>
      </w:r>
      <w:r w:rsidR="00F036D0">
        <w:t>.</w:t>
      </w:r>
      <w:r w:rsidRPr="0078056B">
        <w:t xml:space="preserve"> </w:t>
      </w:r>
    </w:p>
    <w:p w14:paraId="1A08FC04" w14:textId="67F4AA44" w:rsidR="008D0AD3" w:rsidRPr="0078056B" w:rsidRDefault="008D0AD3" w:rsidP="004C3539">
      <w:r w:rsidRPr="0078056B">
        <w:t xml:space="preserve">Within this section, we present the wider economic and societal benefits of the University of Birmingham for students and graduates (evidenced through </w:t>
      </w:r>
      <w:r w:rsidR="00C26610" w:rsidRPr="0078056B">
        <w:t xml:space="preserve">a </w:t>
      </w:r>
      <w:r w:rsidRPr="0078056B">
        <w:t>survey of the University’s alumni), its cultural impact</w:t>
      </w:r>
      <w:r w:rsidR="0061257A" w:rsidRPr="0078056B">
        <w:t xml:space="preserve"> through hosting public events</w:t>
      </w:r>
      <w:r w:rsidRPr="0078056B">
        <w:t>, the contribution of the University’s staff to the local community through volunteering, and the University’s environmental impact.</w:t>
      </w:r>
    </w:p>
    <w:p w14:paraId="74957DF0" w14:textId="0331A4ED" w:rsidR="001E1567" w:rsidRPr="0078056B" w:rsidRDefault="001E1567" w:rsidP="001E1567">
      <w:pPr>
        <w:pStyle w:val="Heading2"/>
      </w:pPr>
      <w:bookmarkStart w:id="347" w:name="_Ref116318234"/>
      <w:bookmarkStart w:id="348" w:name="_Toc119925192"/>
      <w:bookmarkStart w:id="349" w:name="_Toc168652142"/>
      <w:r w:rsidRPr="0078056B">
        <w:t>Wider economic and societal benefits of the University of Birmingham for students</w:t>
      </w:r>
      <w:bookmarkEnd w:id="347"/>
      <w:bookmarkEnd w:id="348"/>
      <w:r w:rsidRPr="0078056B">
        <w:t xml:space="preserve"> and graduates</w:t>
      </w:r>
      <w:bookmarkEnd w:id="349"/>
    </w:p>
    <w:p w14:paraId="782720D3" w14:textId="1F6B55A1" w:rsidR="001E1567" w:rsidRPr="0078056B" w:rsidRDefault="001E1567" w:rsidP="00B92EC0">
      <w:r w:rsidRPr="0078056B">
        <w:t xml:space="preserve">There are a multitude of economic and societal benefits that students take forward into their lives after university. To assess the wider economic and social impact of the University of Birmingham on its students and society at large, we conducted an </w:t>
      </w:r>
      <w:r w:rsidRPr="0078056B">
        <w:rPr>
          <w:b/>
          <w:bCs/>
          <w:color w:val="06357A"/>
        </w:rPr>
        <w:t xml:space="preserve">online survey among a group of </w:t>
      </w:r>
      <w:r w:rsidR="007F2A6E" w:rsidRPr="0078056B">
        <w:rPr>
          <w:b/>
          <w:bCs/>
          <w:color w:val="06357A"/>
        </w:rPr>
        <w:t xml:space="preserve">the </w:t>
      </w:r>
      <w:r w:rsidRPr="0078056B">
        <w:rPr>
          <w:b/>
          <w:bCs/>
          <w:color w:val="06357A"/>
        </w:rPr>
        <w:t xml:space="preserve">University of Birmingham’s alumni </w:t>
      </w:r>
      <w:r w:rsidRPr="0078056B">
        <w:t>(over four weeks in February and March 2024</w:t>
      </w:r>
      <w:r w:rsidR="00EA767E" w:rsidRPr="0078056B">
        <w:t>)</w:t>
      </w:r>
      <w:r w:rsidR="0044311E" w:rsidRPr="0078056B">
        <w:t>. The associated</w:t>
      </w:r>
      <w:r w:rsidRPr="0078056B">
        <w:t xml:space="preserve"> outcomes have significant societal value, </w:t>
      </w:r>
      <w:r w:rsidR="0044311E" w:rsidRPr="0078056B">
        <w:t xml:space="preserve">but </w:t>
      </w:r>
      <w:r w:rsidRPr="0078056B">
        <w:t>it is almost impossible to assign a monetary value. As such, we do not attempt to monetise these wider impacts, but instead, demonstrate the impact of learning at the University of Birmingham on graduates’ jobs, lives and prospects.</w:t>
      </w:r>
    </w:p>
    <w:p w14:paraId="1023260E" w14:textId="4319231A" w:rsidR="001E1567" w:rsidRPr="0078056B" w:rsidRDefault="001E1567" w:rsidP="00B92EC0">
      <w:r w:rsidRPr="0078056B">
        <w:t xml:space="preserve">The survey achieved a total of </w:t>
      </w:r>
      <w:r w:rsidRPr="0078056B">
        <w:rPr>
          <w:b/>
          <w:bCs/>
          <w:color w:val="06357A"/>
        </w:rPr>
        <w:t>496 valid responses</w:t>
      </w:r>
      <w:r w:rsidRPr="0078056B">
        <w:t xml:space="preserve">, and this section summarises the main survey results in terms </w:t>
      </w:r>
      <w:r w:rsidR="007F2A6E" w:rsidRPr="0078056B">
        <w:t xml:space="preserve">of </w:t>
      </w:r>
      <w:r w:rsidR="00B92EC0" w:rsidRPr="0078056B">
        <w:t xml:space="preserve">the </w:t>
      </w:r>
      <w:r w:rsidRPr="0078056B">
        <w:rPr>
          <w:b/>
          <w:bCs/>
          <w:color w:val="06357A"/>
        </w:rPr>
        <w:t>impacts</w:t>
      </w:r>
      <w:r w:rsidRPr="0078056B">
        <w:rPr>
          <w:color w:val="0B5ED7" w:themeColor="accent2"/>
        </w:rPr>
        <w:t xml:space="preserve"> </w:t>
      </w:r>
      <w:r w:rsidRPr="0078056B">
        <w:t>of</w:t>
      </w:r>
      <w:r w:rsidR="00B92EC0" w:rsidRPr="0078056B">
        <w:t xml:space="preserve"> </w:t>
      </w:r>
      <w:r w:rsidRPr="0078056B">
        <w:t xml:space="preserve">University of Birmingham qualifications on </w:t>
      </w:r>
      <w:r w:rsidR="00B92EC0" w:rsidRPr="0078056B">
        <w:t>graduates’</w:t>
      </w:r>
      <w:r w:rsidRPr="0078056B">
        <w:t xml:space="preserve"> </w:t>
      </w:r>
      <w:r w:rsidRPr="0078056B">
        <w:rPr>
          <w:b/>
          <w:bCs/>
          <w:color w:val="06357A"/>
        </w:rPr>
        <w:t>job-related outcomes, general and job-related skills, personal development, and well-being</w:t>
      </w:r>
      <w:r w:rsidRPr="0078056B">
        <w:t>.</w:t>
      </w:r>
    </w:p>
    <w:p w14:paraId="2F77B40A" w14:textId="77777777" w:rsidR="001E1567" w:rsidRPr="0078056B" w:rsidRDefault="001E1567" w:rsidP="00B92EC0">
      <w:pPr>
        <w:pStyle w:val="Heading3"/>
      </w:pPr>
      <w:bookmarkStart w:id="350" w:name="_Toc36037456"/>
      <w:bookmarkStart w:id="351" w:name="_Toc114819802"/>
      <w:r w:rsidRPr="0078056B">
        <w:t>Job-related outcomes</w:t>
      </w:r>
      <w:bookmarkEnd w:id="350"/>
      <w:bookmarkEnd w:id="351"/>
    </w:p>
    <w:p w14:paraId="1E42AC04" w14:textId="0F6F6382" w:rsidR="001E1567" w:rsidRPr="0078056B" w:rsidRDefault="001E1567" w:rsidP="00B92EC0">
      <w:r w:rsidRPr="0078056B">
        <w:t xml:space="preserve">To assess the impact of University of Birmingham qualifications on graduates’ economic outcomes, the survey asked respondents a number of questions in relation to whether certain aspects of their </w:t>
      </w:r>
      <w:r w:rsidRPr="0078056B">
        <w:rPr>
          <w:b/>
          <w:bCs/>
          <w:color w:val="06357A"/>
        </w:rPr>
        <w:t>career prospects and working lives</w:t>
      </w:r>
      <w:r w:rsidRPr="0078056B">
        <w:rPr>
          <w:color w:val="0B5ED7" w:themeColor="accent2"/>
        </w:rPr>
        <w:t xml:space="preserve"> </w:t>
      </w:r>
      <w:r w:rsidRPr="0078056B">
        <w:t xml:space="preserve">had changed following their learning at the University of Birmingham. As presented in </w:t>
      </w:r>
      <w:r w:rsidRPr="0078056B">
        <w:fldChar w:fldCharType="begin"/>
      </w:r>
      <w:r w:rsidRPr="0078056B">
        <w:instrText xml:space="preserve"> REF _Ref23261085 \r \h  \* MERGEFORMAT </w:instrText>
      </w:r>
      <w:r w:rsidRPr="0078056B">
        <w:fldChar w:fldCharType="separate"/>
      </w:r>
      <w:r w:rsidR="00E33157">
        <w:t>Figure 31</w:t>
      </w:r>
      <w:r w:rsidRPr="0078056B">
        <w:fldChar w:fldCharType="end"/>
      </w:r>
      <w:r w:rsidRPr="0078056B">
        <w:t xml:space="preserve">, approximately </w:t>
      </w:r>
      <w:r w:rsidRPr="0078056B">
        <w:rPr>
          <w:b/>
          <w:bCs/>
          <w:color w:val="06357A"/>
        </w:rPr>
        <w:t>80%</w:t>
      </w:r>
      <w:r w:rsidRPr="0078056B">
        <w:t xml:space="preserve"> of respondents believed that their degree had </w:t>
      </w:r>
      <w:r w:rsidRPr="0078056B">
        <w:rPr>
          <w:b/>
          <w:bCs/>
          <w:color w:val="06357A"/>
        </w:rPr>
        <w:t>helped them get a better job; 77%</w:t>
      </w:r>
      <w:r w:rsidRPr="0078056B">
        <w:t xml:space="preserve"> of respondents believed that their degree had better prepared them for their career; and </w:t>
      </w:r>
      <w:r w:rsidRPr="0078056B">
        <w:rPr>
          <w:b/>
          <w:bCs/>
          <w:color w:val="06357A"/>
        </w:rPr>
        <w:t>76%</w:t>
      </w:r>
      <w:r w:rsidRPr="0078056B">
        <w:t xml:space="preserve"> believed their degree helped them</w:t>
      </w:r>
      <w:r w:rsidRPr="0078056B">
        <w:rPr>
          <w:b/>
          <w:bCs/>
          <w:color w:val="06357A"/>
        </w:rPr>
        <w:t xml:space="preserve"> advance their career</w:t>
      </w:r>
      <w:r w:rsidR="00B92EC0" w:rsidRPr="0078056B">
        <w:t xml:space="preserve">. </w:t>
      </w:r>
      <w:r w:rsidR="00C019B7" w:rsidRPr="0078056B">
        <w:t xml:space="preserve">More than half of respondents </w:t>
      </w:r>
      <w:r w:rsidR="00B92EC0" w:rsidRPr="0078056B">
        <w:t>indicated</w:t>
      </w:r>
      <w:r w:rsidRPr="0078056B">
        <w:t xml:space="preserve"> that </w:t>
      </w:r>
      <w:r w:rsidR="00B92EC0" w:rsidRPr="0078056B">
        <w:t>their University of Birmingham degree helped them to</w:t>
      </w:r>
      <w:r w:rsidRPr="0078056B">
        <w:t xml:space="preserve"> obtain a more interesting job, a better paying job, a more secure job, </w:t>
      </w:r>
      <w:r w:rsidR="00B92EC0" w:rsidRPr="0078056B">
        <w:t xml:space="preserve">or </w:t>
      </w:r>
      <w:r w:rsidR="00937F18" w:rsidRPr="0078056B">
        <w:t xml:space="preserve">allowed them </w:t>
      </w:r>
      <w:r w:rsidR="00B92EC0" w:rsidRPr="0078056B">
        <w:t xml:space="preserve">to </w:t>
      </w:r>
      <w:r w:rsidRPr="0078056B">
        <w:t xml:space="preserve">change </w:t>
      </w:r>
      <w:r w:rsidR="00B92EC0" w:rsidRPr="0078056B">
        <w:t xml:space="preserve">job or </w:t>
      </w:r>
      <w:r w:rsidRPr="0078056B">
        <w:t>employe</w:t>
      </w:r>
      <w:r w:rsidR="00B92EC0" w:rsidRPr="0078056B">
        <w:t>r</w:t>
      </w:r>
      <w:r w:rsidRPr="0078056B">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1E1567" w:rsidRPr="0078056B" w14:paraId="3A4E455B" w14:textId="77777777" w:rsidTr="00385957">
        <w:trPr>
          <w:cantSplit/>
        </w:trPr>
        <w:tc>
          <w:tcPr>
            <w:tcW w:w="0" w:type="auto"/>
          </w:tcPr>
          <w:p w14:paraId="7ECDDAC2" w14:textId="77777777" w:rsidR="001E1567" w:rsidRPr="0078056B" w:rsidRDefault="001E1567" w:rsidP="00385957">
            <w:pPr>
              <w:pStyle w:val="FigureTitle"/>
            </w:pPr>
            <w:bookmarkStart w:id="352" w:name="_Ref23261085"/>
            <w:bookmarkStart w:id="353" w:name="_Toc36037530"/>
            <w:bookmarkStart w:id="354" w:name="_Toc114819878"/>
            <w:bookmarkStart w:id="355" w:name="_Toc119925149"/>
            <w:bookmarkStart w:id="356" w:name="_Toc161413207"/>
            <w:bookmarkStart w:id="357" w:name="_Toc168652212"/>
            <w:r w:rsidRPr="0078056B">
              <w:lastRenderedPageBreak/>
              <w:t>‘Overall, would you say that your degree from the University of Birmingham helped you…?’</w:t>
            </w:r>
            <w:bookmarkEnd w:id="352"/>
            <w:bookmarkEnd w:id="353"/>
            <w:bookmarkEnd w:id="354"/>
            <w:bookmarkEnd w:id="355"/>
            <w:bookmarkEnd w:id="356"/>
            <w:bookmarkEnd w:id="357"/>
          </w:p>
        </w:tc>
      </w:tr>
      <w:tr w:rsidR="001E1567" w:rsidRPr="0078056B" w14:paraId="6A48A881" w14:textId="77777777" w:rsidTr="00385957">
        <w:trPr>
          <w:cantSplit/>
        </w:trPr>
        <w:tc>
          <w:tcPr>
            <w:tcW w:w="0" w:type="auto"/>
          </w:tcPr>
          <w:p w14:paraId="67C777B7" w14:textId="77777777" w:rsidR="001E1567" w:rsidRPr="0078056B" w:rsidRDefault="001E1567" w:rsidP="00385957">
            <w:pPr>
              <w:pStyle w:val="PlaceholderText"/>
            </w:pPr>
            <w:r w:rsidRPr="0078056B">
              <w:rPr>
                <w:noProof/>
              </w:rPr>
              <w:drawing>
                <wp:inline distT="0" distB="0" distL="0" distR="0" wp14:anchorId="179B10B3" wp14:editId="141AF544">
                  <wp:extent cx="5300026" cy="2340000"/>
                  <wp:effectExtent l="0" t="0" r="0" b="3175"/>
                  <wp:docPr id="4752362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36251" name="Picture 4"/>
                          <pic:cNvPicPr>
                            <a:picLocks noChangeAspect="1" noChangeArrowheads="1"/>
                          </pic:cNvPicPr>
                        </pic:nvPicPr>
                        <pic:blipFill rotWithShape="1">
                          <a:blip r:embed="rId146">
                            <a:extLst>
                              <a:ext uri="{28A0092B-C50C-407E-A947-70E740481C1C}">
                                <a14:useLocalDpi xmlns:a14="http://schemas.microsoft.com/office/drawing/2010/main" val="0"/>
                              </a:ext>
                              <a:ext uri="{96DAC541-7B7A-43D3-8B79-37D633B846F1}">
                                <asvg:svgBlip xmlns:asvg="http://schemas.microsoft.com/office/drawing/2016/SVG/main" r:embed="rId147"/>
                              </a:ext>
                            </a:extLst>
                          </a:blip>
                          <a:srcRect t="2933" b="2905"/>
                          <a:stretch/>
                        </pic:blipFill>
                        <pic:spPr bwMode="auto">
                          <a:xfrm>
                            <a:off x="0" y="0"/>
                            <a:ext cx="5300026" cy="2340000"/>
                          </a:xfrm>
                          <a:prstGeom prst="rect">
                            <a:avLst/>
                          </a:prstGeom>
                          <a:ln>
                            <a:noFill/>
                          </a:ln>
                          <a:extLst>
                            <a:ext uri="{53640926-AAD7-44D8-BBD7-CCE9431645EC}">
                              <a14:shadowObscured xmlns:a14="http://schemas.microsoft.com/office/drawing/2010/main"/>
                            </a:ext>
                          </a:extLst>
                        </pic:spPr>
                      </pic:pic>
                    </a:graphicData>
                  </a:graphic>
                </wp:inline>
              </w:drawing>
            </w:r>
          </w:p>
        </w:tc>
      </w:tr>
      <w:tr w:rsidR="001E1567" w:rsidRPr="0078056B" w14:paraId="3A1DAC40" w14:textId="77777777" w:rsidTr="00385957">
        <w:trPr>
          <w:cantSplit/>
        </w:trPr>
        <w:tc>
          <w:tcPr>
            <w:tcW w:w="0" w:type="auto"/>
          </w:tcPr>
          <w:p w14:paraId="007554D4" w14:textId="703152A6" w:rsidR="001E1567" w:rsidRPr="0078056B" w:rsidRDefault="001E1567" w:rsidP="005B202B">
            <w:pPr>
              <w:pStyle w:val="TableNote"/>
            </w:pPr>
            <w:r w:rsidRPr="0078056B">
              <w:t xml:space="preserve">Note: Based on responses from 496 respondents. ‘Don’t know / </w:t>
            </w:r>
            <w:r w:rsidR="005B202B" w:rsidRPr="0078056B">
              <w:t>n</w:t>
            </w:r>
            <w:r w:rsidRPr="0078056B">
              <w:t>ot applicable’ responses have been excluded (</w:t>
            </w:r>
            <w:r w:rsidR="00687EFC" w:rsidRPr="0078056B">
              <w:t>26</w:t>
            </w:r>
            <w:r w:rsidRPr="0078056B">
              <w:t xml:space="preserve"> to </w:t>
            </w:r>
            <w:r w:rsidR="00687EFC" w:rsidRPr="0078056B">
              <w:t>130</w:t>
            </w:r>
            <w:r w:rsidRPr="0078056B">
              <w:t xml:space="preserve"> respondents).</w:t>
            </w:r>
          </w:p>
          <w:p w14:paraId="3043F513" w14:textId="77777777" w:rsidR="001E1567" w:rsidRPr="0078056B" w:rsidRDefault="001E1567" w:rsidP="00385957">
            <w:pPr>
              <w:pStyle w:val="TableSource"/>
            </w:pPr>
            <w:r w:rsidRPr="0078056B">
              <w:t>Source: London Economics’ analysis of University of Birmingham alumni survey data</w:t>
            </w:r>
          </w:p>
        </w:tc>
      </w:tr>
    </w:tbl>
    <w:p w14:paraId="1F65EA22" w14:textId="7BB63667" w:rsidR="001E1567" w:rsidRPr="0078056B" w:rsidRDefault="001E1567" w:rsidP="00B92EC0">
      <w:r w:rsidRPr="0078056B">
        <w:t xml:space="preserve">To be able to understand the impacts of education at the University of Birmingham it is important to analyse the counterfactual; in other words, what might have happened in the absence of the learning experience with the University of Birmingham. The responses demonstrate the causal impact of learning at the University of Birmingham. </w:t>
      </w:r>
    </w:p>
    <w:p w14:paraId="23D3D21A" w14:textId="79755422" w:rsidR="001E1567" w:rsidRPr="0078056B" w:rsidRDefault="001E1567" w:rsidP="00B92EC0">
      <w:pPr>
        <w:rPr>
          <w:rFonts w:asciiTheme="minorHAnsi" w:hAnsiTheme="minorHAnsi"/>
        </w:rPr>
      </w:pPr>
      <w:r w:rsidRPr="0078056B">
        <w:rPr>
          <w:rFonts w:asciiTheme="minorHAnsi" w:hAnsiTheme="minorHAnsi"/>
        </w:rPr>
        <w:t xml:space="preserve">As presented in </w:t>
      </w:r>
      <w:r w:rsidRPr="0078056B">
        <w:rPr>
          <w:rFonts w:asciiTheme="minorHAnsi" w:hAnsiTheme="minorHAnsi"/>
        </w:rPr>
        <w:fldChar w:fldCharType="begin"/>
      </w:r>
      <w:r w:rsidRPr="0078056B">
        <w:rPr>
          <w:rFonts w:asciiTheme="minorHAnsi" w:hAnsiTheme="minorHAnsi"/>
        </w:rPr>
        <w:instrText xml:space="preserve"> REF _Ref161409280 \r \h  \* MERGEFORMAT </w:instrText>
      </w:r>
      <w:r w:rsidRPr="0078056B">
        <w:rPr>
          <w:rFonts w:asciiTheme="minorHAnsi" w:hAnsiTheme="minorHAnsi"/>
        </w:rPr>
      </w:r>
      <w:r w:rsidRPr="0078056B">
        <w:rPr>
          <w:rFonts w:asciiTheme="minorHAnsi" w:hAnsiTheme="minorHAnsi"/>
        </w:rPr>
        <w:fldChar w:fldCharType="separate"/>
      </w:r>
      <w:r w:rsidR="00E33157">
        <w:rPr>
          <w:rFonts w:asciiTheme="minorHAnsi" w:hAnsiTheme="minorHAnsi"/>
        </w:rPr>
        <w:t>Figure 32</w:t>
      </w:r>
      <w:r w:rsidRPr="0078056B">
        <w:rPr>
          <w:rFonts w:asciiTheme="minorHAnsi" w:hAnsiTheme="minorHAnsi"/>
        </w:rPr>
        <w:fldChar w:fldCharType="end"/>
      </w:r>
      <w:r w:rsidRPr="0078056B">
        <w:rPr>
          <w:rFonts w:asciiTheme="minorHAnsi" w:hAnsiTheme="minorHAnsi"/>
        </w:rPr>
        <w:t xml:space="preserve">, of those alumni </w:t>
      </w:r>
      <w:r w:rsidR="007F2A6E" w:rsidRPr="0078056B">
        <w:rPr>
          <w:rFonts w:asciiTheme="minorHAnsi" w:hAnsiTheme="minorHAnsi"/>
        </w:rPr>
        <w:t>who</w:t>
      </w:r>
      <w:r w:rsidRPr="0078056B">
        <w:rPr>
          <w:rFonts w:asciiTheme="minorHAnsi" w:hAnsiTheme="minorHAnsi"/>
        </w:rPr>
        <w:t xml:space="preserve"> believed that their degree helped them improve their working lives in any of the above-described ways (</w:t>
      </w:r>
      <w:r w:rsidRPr="0078056B">
        <w:rPr>
          <w:rFonts w:asciiTheme="minorHAnsi" w:hAnsiTheme="minorHAnsi"/>
        </w:rPr>
        <w:fldChar w:fldCharType="begin"/>
      </w:r>
      <w:r w:rsidRPr="0078056B">
        <w:rPr>
          <w:rFonts w:asciiTheme="minorHAnsi" w:hAnsiTheme="minorHAnsi"/>
        </w:rPr>
        <w:instrText xml:space="preserve"> REF _Ref23261085 \r \h  \* MERGEFORMAT </w:instrText>
      </w:r>
      <w:r w:rsidRPr="0078056B">
        <w:rPr>
          <w:rFonts w:asciiTheme="minorHAnsi" w:hAnsiTheme="minorHAnsi"/>
        </w:rPr>
      </w:r>
      <w:r w:rsidRPr="0078056B">
        <w:rPr>
          <w:rFonts w:asciiTheme="minorHAnsi" w:hAnsiTheme="minorHAnsi"/>
        </w:rPr>
        <w:fldChar w:fldCharType="separate"/>
      </w:r>
      <w:r w:rsidR="00E33157">
        <w:rPr>
          <w:rFonts w:asciiTheme="minorHAnsi" w:hAnsiTheme="minorHAnsi"/>
        </w:rPr>
        <w:t>Figure 31</w:t>
      </w:r>
      <w:r w:rsidRPr="0078056B">
        <w:rPr>
          <w:rFonts w:asciiTheme="minorHAnsi" w:hAnsiTheme="minorHAnsi"/>
        </w:rPr>
        <w:fldChar w:fldCharType="end"/>
      </w:r>
      <w:r w:rsidRPr="0078056B">
        <w:rPr>
          <w:rFonts w:asciiTheme="minorHAnsi" w:hAnsiTheme="minorHAnsi"/>
        </w:rPr>
        <w:t xml:space="preserve">), </w:t>
      </w:r>
      <w:r w:rsidRPr="0078056B">
        <w:rPr>
          <w:b/>
          <w:bCs/>
          <w:color w:val="06357A"/>
        </w:rPr>
        <w:t>22%</w:t>
      </w:r>
      <w:r w:rsidRPr="0078056B">
        <w:rPr>
          <w:rFonts w:asciiTheme="minorHAnsi" w:hAnsiTheme="minorHAnsi"/>
        </w:rPr>
        <w:t xml:space="preserve"> indicated that these improvements were a </w:t>
      </w:r>
      <w:r w:rsidRPr="0078056B">
        <w:rPr>
          <w:b/>
          <w:bCs/>
          <w:color w:val="06357A"/>
        </w:rPr>
        <w:t>direct</w:t>
      </w:r>
      <w:r w:rsidRPr="0078056B">
        <w:rPr>
          <w:rFonts w:asciiTheme="minorHAnsi" w:hAnsiTheme="minorHAnsi"/>
          <w:b/>
          <w:bCs/>
          <w:color w:val="0B5ED7" w:themeColor="accent2"/>
        </w:rPr>
        <w:t xml:space="preserve"> </w:t>
      </w:r>
      <w:r w:rsidRPr="0078056B">
        <w:rPr>
          <w:b/>
          <w:bCs/>
          <w:color w:val="06357A"/>
        </w:rPr>
        <w:t>result</w:t>
      </w:r>
      <w:r w:rsidRPr="0078056B">
        <w:rPr>
          <w:rFonts w:asciiTheme="minorHAnsi" w:hAnsiTheme="minorHAnsi"/>
          <w:color w:val="0B5ED7" w:themeColor="accent2"/>
        </w:rPr>
        <w:t xml:space="preserve"> </w:t>
      </w:r>
      <w:r w:rsidRPr="0078056B">
        <w:rPr>
          <w:rFonts w:asciiTheme="minorHAnsi" w:hAnsiTheme="minorHAnsi"/>
        </w:rPr>
        <w:t xml:space="preserve">of their qualification from the University of Birmingham, with a further </w:t>
      </w:r>
      <w:r w:rsidRPr="0078056B">
        <w:rPr>
          <w:b/>
          <w:bCs/>
          <w:color w:val="06357A"/>
        </w:rPr>
        <w:t>45%</w:t>
      </w:r>
      <w:r w:rsidRPr="0078056B">
        <w:rPr>
          <w:rFonts w:asciiTheme="minorHAnsi" w:hAnsiTheme="minorHAnsi"/>
        </w:rPr>
        <w:t xml:space="preserve"> stating that the learning had </w:t>
      </w:r>
      <w:r w:rsidRPr="0078056B">
        <w:rPr>
          <w:b/>
          <w:bCs/>
          <w:color w:val="06357A"/>
        </w:rPr>
        <w:t>helped</w:t>
      </w:r>
      <w:r w:rsidRPr="0078056B">
        <w:rPr>
          <w:rFonts w:asciiTheme="minorHAnsi" w:hAnsiTheme="minorHAnsi"/>
          <w:b/>
          <w:bCs/>
          <w:color w:val="0B5ED7" w:themeColor="accent2"/>
        </w:rPr>
        <w:t xml:space="preserve"> </w:t>
      </w:r>
      <w:r w:rsidRPr="0078056B">
        <w:rPr>
          <w:b/>
          <w:bCs/>
          <w:color w:val="06357A"/>
        </w:rPr>
        <w:t>a</w:t>
      </w:r>
      <w:r w:rsidRPr="0078056B">
        <w:rPr>
          <w:rFonts w:asciiTheme="minorHAnsi" w:hAnsiTheme="minorHAnsi"/>
          <w:b/>
          <w:bCs/>
          <w:color w:val="0B5ED7" w:themeColor="accent2"/>
        </w:rPr>
        <w:t xml:space="preserve"> </w:t>
      </w:r>
      <w:r w:rsidRPr="0078056B">
        <w:rPr>
          <w:b/>
          <w:bCs/>
          <w:color w:val="06357A"/>
        </w:rPr>
        <w:t>lot</w:t>
      </w:r>
      <w:r w:rsidRPr="0078056B">
        <w:rPr>
          <w:rFonts w:asciiTheme="minorHAnsi" w:hAnsiTheme="minorHAnsi"/>
        </w:rPr>
        <w:t xml:space="preserve">. These results demonstrate the very high degree of </w:t>
      </w:r>
      <w:r w:rsidRPr="0078056B">
        <w:rPr>
          <w:b/>
          <w:bCs/>
          <w:color w:val="06357A"/>
        </w:rPr>
        <w:t>additionality</w:t>
      </w:r>
      <w:r w:rsidRPr="0078056B">
        <w:rPr>
          <w:rFonts w:asciiTheme="minorHAnsi" w:hAnsiTheme="minorHAnsi"/>
          <w:color w:val="0B5ED7" w:themeColor="accent2"/>
        </w:rPr>
        <w:t xml:space="preserve"> </w:t>
      </w:r>
      <w:r w:rsidRPr="0078056B">
        <w:rPr>
          <w:rFonts w:asciiTheme="minorHAnsi" w:hAnsiTheme="minorHAnsi"/>
        </w:rPr>
        <w:t>associated with attaining qualifications at the University of Birmingham.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1E1567" w:rsidRPr="0078056B" w14:paraId="18F04019" w14:textId="77777777" w:rsidTr="00385957">
        <w:trPr>
          <w:cantSplit/>
        </w:trPr>
        <w:tc>
          <w:tcPr>
            <w:tcW w:w="0" w:type="auto"/>
          </w:tcPr>
          <w:p w14:paraId="102FE852" w14:textId="77777777" w:rsidR="001E1567" w:rsidRPr="0078056B" w:rsidRDefault="001E1567" w:rsidP="00385957">
            <w:pPr>
              <w:pStyle w:val="FigureTitle"/>
            </w:pPr>
            <w:bookmarkStart w:id="358" w:name="_Ref27571922"/>
            <w:bookmarkStart w:id="359" w:name="_Toc36037531"/>
            <w:bookmarkStart w:id="360" w:name="_Ref85102221"/>
            <w:bookmarkStart w:id="361" w:name="_Toc114819879"/>
            <w:bookmarkStart w:id="362" w:name="_Toc119925150"/>
            <w:bookmarkStart w:id="363" w:name="_Ref161407109"/>
            <w:bookmarkStart w:id="364" w:name="_Ref161409280"/>
            <w:bookmarkStart w:id="365" w:name="_Toc161413208"/>
            <w:bookmarkStart w:id="366" w:name="_Toc168652213"/>
            <w:r w:rsidRPr="0078056B">
              <w:t>‘To what extent do you think this improvement was / these improvements were linked to your degree from the University of Birmingham?</w:t>
            </w:r>
            <w:bookmarkEnd w:id="358"/>
            <w:r w:rsidRPr="0078056B">
              <w:t>’</w:t>
            </w:r>
            <w:bookmarkEnd w:id="359"/>
            <w:bookmarkEnd w:id="360"/>
            <w:bookmarkEnd w:id="361"/>
            <w:bookmarkEnd w:id="362"/>
            <w:bookmarkEnd w:id="363"/>
            <w:bookmarkEnd w:id="364"/>
            <w:bookmarkEnd w:id="365"/>
            <w:bookmarkEnd w:id="366"/>
          </w:p>
        </w:tc>
      </w:tr>
      <w:tr w:rsidR="001E1567" w:rsidRPr="0078056B" w14:paraId="165F98D0" w14:textId="77777777" w:rsidTr="00385957">
        <w:trPr>
          <w:cantSplit/>
        </w:trPr>
        <w:tc>
          <w:tcPr>
            <w:tcW w:w="0" w:type="auto"/>
          </w:tcPr>
          <w:p w14:paraId="53D7BC4C" w14:textId="77777777" w:rsidR="001E1567" w:rsidRPr="0078056B" w:rsidRDefault="001E1567" w:rsidP="00CA5ACE">
            <w:pPr>
              <w:pStyle w:val="PlaceholderText"/>
              <w:jc w:val="center"/>
            </w:pPr>
            <w:r w:rsidRPr="0078056B">
              <w:rPr>
                <w:noProof/>
              </w:rPr>
              <w:drawing>
                <wp:inline distT="0" distB="0" distL="0" distR="0" wp14:anchorId="4A5C9F9F" wp14:editId="4FAD42D6">
                  <wp:extent cx="4798771" cy="1409870"/>
                  <wp:effectExtent l="0" t="0" r="1905" b="0"/>
                  <wp:docPr id="9674200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20068" name="Picture 10"/>
                          <pic:cNvPicPr>
                            <a:picLocks noChangeAspect="1" noChangeArrowheads="1"/>
                          </pic:cNvPicPr>
                        </pic:nvPicPr>
                        <pic:blipFill>
                          <a:blip r:embed="rId148">
                            <a:extLst>
                              <a:ext uri="{28A0092B-C50C-407E-A947-70E740481C1C}">
                                <a14:useLocalDpi xmlns:a14="http://schemas.microsoft.com/office/drawing/2010/main" val="0"/>
                              </a:ext>
                              <a:ext uri="{96DAC541-7B7A-43D3-8B79-37D633B846F1}">
                                <asvg:svgBlip xmlns:asvg="http://schemas.microsoft.com/office/drawing/2016/SVG/main" r:embed="rId149"/>
                              </a:ext>
                            </a:extLst>
                          </a:blip>
                          <a:srcRect t="4689" b="4689"/>
                          <a:stretch>
                            <a:fillRect/>
                          </a:stretch>
                        </pic:blipFill>
                        <pic:spPr bwMode="auto">
                          <a:xfrm>
                            <a:off x="0" y="0"/>
                            <a:ext cx="4835403" cy="1420632"/>
                          </a:xfrm>
                          <a:prstGeom prst="rect">
                            <a:avLst/>
                          </a:prstGeom>
                          <a:extLst>
                            <a:ext uri="{53640926-AAD7-44D8-BBD7-CCE9431645EC}">
                              <a14:shadowObscured xmlns:a14="http://schemas.microsoft.com/office/drawing/2010/main"/>
                            </a:ext>
                          </a:extLst>
                        </pic:spPr>
                      </pic:pic>
                    </a:graphicData>
                  </a:graphic>
                </wp:inline>
              </w:drawing>
            </w:r>
          </w:p>
        </w:tc>
      </w:tr>
      <w:tr w:rsidR="001E1567" w:rsidRPr="0078056B" w14:paraId="3B51FC90" w14:textId="77777777" w:rsidTr="00385957">
        <w:trPr>
          <w:cantSplit/>
        </w:trPr>
        <w:tc>
          <w:tcPr>
            <w:tcW w:w="0" w:type="auto"/>
          </w:tcPr>
          <w:p w14:paraId="6C7617EF" w14:textId="7695F99B" w:rsidR="001E1567" w:rsidRPr="0078056B" w:rsidRDefault="001E1567" w:rsidP="005B202B">
            <w:pPr>
              <w:pStyle w:val="TableNote"/>
            </w:pPr>
            <w:r w:rsidRPr="0078056B">
              <w:t>Note: Based on responses from 4</w:t>
            </w:r>
            <w:r w:rsidR="00C97AF2" w:rsidRPr="0078056B">
              <w:t>55</w:t>
            </w:r>
            <w:r w:rsidRPr="0078056B">
              <w:t xml:space="preserve"> </w:t>
            </w:r>
            <w:r w:rsidR="00C97AF2" w:rsidRPr="0078056B">
              <w:t xml:space="preserve">of 496 </w:t>
            </w:r>
            <w:r w:rsidRPr="0078056B">
              <w:t xml:space="preserve">respondents, </w:t>
            </w:r>
            <w:r w:rsidR="00C97AF2" w:rsidRPr="0078056B">
              <w:t>excluding 41 respondents</w:t>
            </w:r>
            <w:r w:rsidRPr="0078056B">
              <w:t xml:space="preserve"> </w:t>
            </w:r>
            <w:r w:rsidR="00C808D0" w:rsidRPr="0078056B">
              <w:t xml:space="preserve">that </w:t>
            </w:r>
            <w:r w:rsidR="00C97AF2" w:rsidRPr="0078056B">
              <w:t>answer</w:t>
            </w:r>
            <w:r w:rsidR="00C808D0" w:rsidRPr="0078056B">
              <w:t>ed</w:t>
            </w:r>
            <w:r w:rsidR="00C97AF2" w:rsidRPr="0078056B">
              <w:t xml:space="preserve"> ‘don’t know / not applicable’</w:t>
            </w:r>
            <w:r w:rsidRPr="0078056B">
              <w:t>.</w:t>
            </w:r>
            <w:r w:rsidR="00C97AF2" w:rsidRPr="0078056B">
              <w:t xml:space="preserve"> Percentages may not sum exactly due to rounding.</w:t>
            </w:r>
          </w:p>
          <w:p w14:paraId="09812AC2" w14:textId="77777777" w:rsidR="001E1567" w:rsidRPr="0078056B" w:rsidRDefault="001E1567" w:rsidP="00385957">
            <w:pPr>
              <w:pStyle w:val="TableSource"/>
            </w:pPr>
            <w:r w:rsidRPr="0078056B">
              <w:t>Source: London Economics’ analysis of University of Birmingham alumni survey data</w:t>
            </w:r>
          </w:p>
        </w:tc>
      </w:tr>
    </w:tbl>
    <w:p w14:paraId="535300F8" w14:textId="77777777" w:rsidR="001E1567" w:rsidRPr="0078056B" w:rsidRDefault="001E1567" w:rsidP="00B92EC0">
      <w:pPr>
        <w:pStyle w:val="Heading3"/>
      </w:pPr>
      <w:bookmarkStart w:id="367" w:name="_Toc36037457"/>
      <w:bookmarkStart w:id="368" w:name="_Toc114819803"/>
      <w:r w:rsidRPr="0078056B">
        <w:t>Impact on skills</w:t>
      </w:r>
      <w:bookmarkEnd w:id="367"/>
      <w:bookmarkEnd w:id="368"/>
    </w:p>
    <w:p w14:paraId="32591013" w14:textId="46653C68" w:rsidR="001E1567" w:rsidRPr="0078056B" w:rsidRDefault="001E1567" w:rsidP="00B92EC0">
      <w:r w:rsidRPr="0078056B">
        <w:fldChar w:fldCharType="begin"/>
      </w:r>
      <w:r w:rsidRPr="0078056B">
        <w:instrText xml:space="preserve"> REF _Ref23430218 \r \h  \* MERGEFORMAT </w:instrText>
      </w:r>
      <w:r w:rsidRPr="0078056B">
        <w:fldChar w:fldCharType="separate"/>
      </w:r>
      <w:r w:rsidR="00E33157">
        <w:t>Figure 33</w:t>
      </w:r>
      <w:r w:rsidRPr="0078056B">
        <w:fldChar w:fldCharType="end"/>
      </w:r>
      <w:r w:rsidRPr="0078056B">
        <w:t xml:space="preserve"> presents the impact of obtaining a degree from the University of Birmingham on individuals’ </w:t>
      </w:r>
      <w:r w:rsidRPr="0078056B">
        <w:rPr>
          <w:b/>
          <w:bCs/>
          <w:color w:val="06357A"/>
        </w:rPr>
        <w:t>general</w:t>
      </w:r>
      <w:r w:rsidRPr="0078056B">
        <w:rPr>
          <w:b/>
          <w:bCs/>
          <w:color w:val="0B5ED7" w:themeColor="accent2"/>
        </w:rPr>
        <w:t xml:space="preserve"> </w:t>
      </w:r>
      <w:r w:rsidRPr="0078056B">
        <w:rPr>
          <w:b/>
          <w:bCs/>
          <w:color w:val="06357A"/>
        </w:rPr>
        <w:t>skills</w:t>
      </w:r>
      <w:r w:rsidRPr="0078056B">
        <w:rPr>
          <w:b/>
          <w:bCs/>
          <w:color w:val="0B5ED7" w:themeColor="accent2"/>
        </w:rPr>
        <w:t xml:space="preserve"> </w:t>
      </w:r>
      <w:r w:rsidRPr="0078056B">
        <w:rPr>
          <w:b/>
          <w:bCs/>
          <w:color w:val="06357A"/>
        </w:rPr>
        <w:t>and</w:t>
      </w:r>
      <w:r w:rsidRPr="0078056B">
        <w:rPr>
          <w:b/>
          <w:bCs/>
          <w:color w:val="0B5ED7" w:themeColor="accent2"/>
        </w:rPr>
        <w:t xml:space="preserve"> </w:t>
      </w:r>
      <w:r w:rsidRPr="0078056B">
        <w:rPr>
          <w:b/>
          <w:bCs/>
          <w:color w:val="06357A"/>
        </w:rPr>
        <w:t>proficiencies</w:t>
      </w:r>
      <w:r w:rsidRPr="0078056B">
        <w:t xml:space="preserve">, asking respondents to indicate the extent to which their skills improved following their learning experience at the University of Birmingham. Respondents reported improvements (either by ‘a lot’ or ‘a little’) </w:t>
      </w:r>
      <w:r w:rsidR="007F2A6E" w:rsidRPr="0078056B">
        <w:t>i</w:t>
      </w:r>
      <w:r w:rsidRPr="0078056B">
        <w:t xml:space="preserve">n a wide array of skills, including their </w:t>
      </w:r>
      <w:r w:rsidRPr="0078056B">
        <w:rPr>
          <w:b/>
          <w:bCs/>
          <w:color w:val="06357A"/>
        </w:rPr>
        <w:t>critical</w:t>
      </w:r>
      <w:r w:rsidRPr="0078056B">
        <w:rPr>
          <w:b/>
          <w:bCs/>
          <w:color w:val="0B5ED7" w:themeColor="accent2"/>
        </w:rPr>
        <w:t xml:space="preserve"> </w:t>
      </w:r>
      <w:r w:rsidRPr="0078056B">
        <w:rPr>
          <w:b/>
          <w:bCs/>
          <w:color w:val="06357A"/>
        </w:rPr>
        <w:t>thinking</w:t>
      </w:r>
      <w:r w:rsidRPr="0078056B">
        <w:t xml:space="preserve"> skills (</w:t>
      </w:r>
      <w:r w:rsidRPr="0078056B">
        <w:rPr>
          <w:b/>
          <w:bCs/>
          <w:color w:val="06357A"/>
        </w:rPr>
        <w:t>9</w:t>
      </w:r>
      <w:r w:rsidR="005B202B" w:rsidRPr="0078056B">
        <w:rPr>
          <w:b/>
          <w:bCs/>
          <w:color w:val="06357A"/>
        </w:rPr>
        <w:t>4</w:t>
      </w:r>
      <w:r w:rsidRPr="0078056B">
        <w:rPr>
          <w:b/>
          <w:bCs/>
          <w:color w:val="06357A"/>
        </w:rPr>
        <w:t>%</w:t>
      </w:r>
      <w:r w:rsidRPr="0078056B">
        <w:t>);</w:t>
      </w:r>
      <w:r w:rsidRPr="0078056B">
        <w:rPr>
          <w:b/>
          <w:color w:val="0B5ED7" w:themeColor="accent2"/>
        </w:rPr>
        <w:t xml:space="preserve"> </w:t>
      </w:r>
      <w:r w:rsidRPr="0078056B">
        <w:rPr>
          <w:b/>
          <w:bCs/>
          <w:color w:val="06357A"/>
        </w:rPr>
        <w:t>analytical</w:t>
      </w:r>
      <w:r w:rsidRPr="0078056B">
        <w:rPr>
          <w:b/>
          <w:color w:val="0B5ED7" w:themeColor="accent2"/>
        </w:rPr>
        <w:t xml:space="preserve"> </w:t>
      </w:r>
      <w:r w:rsidRPr="0078056B">
        <w:t>skills (</w:t>
      </w:r>
      <w:r w:rsidRPr="0078056B">
        <w:rPr>
          <w:b/>
          <w:bCs/>
          <w:color w:val="06357A"/>
        </w:rPr>
        <w:t>9</w:t>
      </w:r>
      <w:r w:rsidR="005B202B" w:rsidRPr="0078056B">
        <w:rPr>
          <w:b/>
          <w:bCs/>
          <w:color w:val="06357A"/>
        </w:rPr>
        <w:t>3</w:t>
      </w:r>
      <w:r w:rsidRPr="0078056B">
        <w:rPr>
          <w:b/>
          <w:bCs/>
          <w:color w:val="06357A"/>
        </w:rPr>
        <w:t>%</w:t>
      </w:r>
      <w:r w:rsidRPr="0078056B">
        <w:t xml:space="preserve">); </w:t>
      </w:r>
      <w:r w:rsidRPr="0078056B">
        <w:rPr>
          <w:b/>
          <w:bCs/>
          <w:color w:val="06357A"/>
        </w:rPr>
        <w:t>writing</w:t>
      </w:r>
      <w:r w:rsidRPr="0078056B">
        <w:t xml:space="preserve"> skills (</w:t>
      </w:r>
      <w:r w:rsidRPr="0078056B">
        <w:rPr>
          <w:b/>
          <w:bCs/>
          <w:color w:val="06357A"/>
        </w:rPr>
        <w:t>88%</w:t>
      </w:r>
      <w:r w:rsidRPr="0078056B">
        <w:t>); communication skills (</w:t>
      </w:r>
      <w:r w:rsidRPr="0078056B">
        <w:rPr>
          <w:b/>
          <w:bCs/>
          <w:color w:val="06357A"/>
        </w:rPr>
        <w:t>85%</w:t>
      </w:r>
      <w:r w:rsidRPr="0078056B">
        <w:t>);</w:t>
      </w:r>
      <w:r w:rsidRPr="0078056B">
        <w:rPr>
          <w:b/>
          <w:color w:val="0B5ED7" w:themeColor="accent2"/>
        </w:rPr>
        <w:t xml:space="preserve"> </w:t>
      </w:r>
      <w:r w:rsidR="00C808D0" w:rsidRPr="0078056B">
        <w:t xml:space="preserve">literacy </w:t>
      </w:r>
      <w:r w:rsidR="00C808D0" w:rsidRPr="0078056B">
        <w:lastRenderedPageBreak/>
        <w:t>skills (</w:t>
      </w:r>
      <w:r w:rsidR="00C808D0" w:rsidRPr="0078056B">
        <w:rPr>
          <w:b/>
          <w:bCs/>
          <w:color w:val="06357A"/>
        </w:rPr>
        <w:t>80%</w:t>
      </w:r>
      <w:r w:rsidR="00C808D0" w:rsidRPr="0078056B">
        <w:t xml:space="preserve">); </w:t>
      </w:r>
      <w:r w:rsidRPr="0078056B">
        <w:t>interpersonal skills (</w:t>
      </w:r>
      <w:r w:rsidRPr="0078056B">
        <w:rPr>
          <w:b/>
          <w:bCs/>
          <w:color w:val="06357A"/>
        </w:rPr>
        <w:t>7</w:t>
      </w:r>
      <w:r w:rsidR="005B202B" w:rsidRPr="0078056B">
        <w:rPr>
          <w:b/>
          <w:bCs/>
          <w:color w:val="06357A"/>
        </w:rPr>
        <w:t>8</w:t>
      </w:r>
      <w:r w:rsidRPr="0078056B">
        <w:rPr>
          <w:b/>
          <w:bCs/>
          <w:color w:val="06357A"/>
        </w:rPr>
        <w:t>%</w:t>
      </w:r>
      <w:r w:rsidRPr="0078056B">
        <w:t>); presentation skills (</w:t>
      </w:r>
      <w:r w:rsidRPr="0078056B">
        <w:rPr>
          <w:b/>
          <w:bCs/>
          <w:color w:val="06357A"/>
        </w:rPr>
        <w:t>78%</w:t>
      </w:r>
      <w:r w:rsidRPr="0078056B">
        <w:t>); and social skills (</w:t>
      </w:r>
      <w:r w:rsidRPr="0078056B">
        <w:rPr>
          <w:b/>
          <w:bCs/>
          <w:color w:val="06357A"/>
        </w:rPr>
        <w:t>7</w:t>
      </w:r>
      <w:r w:rsidR="005B202B" w:rsidRPr="0078056B">
        <w:rPr>
          <w:b/>
          <w:bCs/>
          <w:color w:val="06357A"/>
        </w:rPr>
        <w:t>6</w:t>
      </w:r>
      <w:r w:rsidRPr="0078056B">
        <w:rPr>
          <w:b/>
          <w:bCs/>
          <w:color w:val="06357A"/>
        </w:rPr>
        <w:t>%</w:t>
      </w:r>
      <w:r w:rsidRPr="0078056B">
        <w:t>). In addition, respondents also reported improvements in their team working skills (</w:t>
      </w:r>
      <w:r w:rsidRPr="0078056B">
        <w:rPr>
          <w:b/>
          <w:bCs/>
          <w:color w:val="06357A"/>
        </w:rPr>
        <w:t>7</w:t>
      </w:r>
      <w:r w:rsidR="005B202B" w:rsidRPr="0078056B">
        <w:rPr>
          <w:b/>
          <w:bCs/>
          <w:color w:val="06357A"/>
        </w:rPr>
        <w:t>4</w:t>
      </w:r>
      <w:r w:rsidRPr="0078056B">
        <w:rPr>
          <w:b/>
          <w:bCs/>
          <w:color w:val="06357A"/>
        </w:rPr>
        <w:t>%</w:t>
      </w:r>
      <w:r w:rsidRPr="0078056B">
        <w:t>), IT skills (</w:t>
      </w:r>
      <w:r w:rsidRPr="0078056B">
        <w:rPr>
          <w:b/>
          <w:bCs/>
          <w:color w:val="06357A"/>
        </w:rPr>
        <w:t>55%</w:t>
      </w:r>
      <w:r w:rsidRPr="0078056B">
        <w:t>) and numeracy skills (</w:t>
      </w:r>
      <w:r w:rsidRPr="0078056B">
        <w:rPr>
          <w:b/>
          <w:bCs/>
          <w:color w:val="06357A"/>
        </w:rPr>
        <w:t>47%</w:t>
      </w:r>
      <w:r w:rsidRPr="0078056B">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1E1567" w:rsidRPr="0078056B" w14:paraId="788018CF" w14:textId="77777777" w:rsidTr="00385957">
        <w:trPr>
          <w:cantSplit/>
        </w:trPr>
        <w:tc>
          <w:tcPr>
            <w:tcW w:w="0" w:type="auto"/>
          </w:tcPr>
          <w:p w14:paraId="1DCA648C" w14:textId="77777777" w:rsidR="001E1567" w:rsidRPr="0078056B" w:rsidRDefault="001E1567" w:rsidP="00385957">
            <w:pPr>
              <w:pStyle w:val="FigureTitle"/>
            </w:pPr>
            <w:bookmarkStart w:id="369" w:name="_Ref23430218"/>
            <w:bookmarkStart w:id="370" w:name="_Toc36037532"/>
            <w:bookmarkStart w:id="371" w:name="_Toc114819880"/>
            <w:bookmarkStart w:id="372" w:name="_Toc119925151"/>
            <w:bookmarkStart w:id="373" w:name="_Toc161413209"/>
            <w:bookmarkStart w:id="374" w:name="_Toc168652214"/>
            <w:r w:rsidRPr="0078056B">
              <w:t>‘Following completion of your degree from the University of Birmingham, what impact did this have on your general set of skills?’</w:t>
            </w:r>
            <w:bookmarkEnd w:id="369"/>
            <w:bookmarkEnd w:id="370"/>
            <w:bookmarkEnd w:id="371"/>
            <w:bookmarkEnd w:id="372"/>
            <w:bookmarkEnd w:id="373"/>
            <w:bookmarkEnd w:id="374"/>
          </w:p>
        </w:tc>
      </w:tr>
      <w:tr w:rsidR="001E1567" w:rsidRPr="0078056B" w14:paraId="1ABDF7C0" w14:textId="77777777" w:rsidTr="00385957">
        <w:trPr>
          <w:cantSplit/>
        </w:trPr>
        <w:tc>
          <w:tcPr>
            <w:tcW w:w="0" w:type="auto"/>
          </w:tcPr>
          <w:p w14:paraId="6544C81D" w14:textId="77777777" w:rsidR="001E1567" w:rsidRPr="0078056B" w:rsidRDefault="001E1567" w:rsidP="00385957">
            <w:pPr>
              <w:pStyle w:val="PlaceholderText"/>
            </w:pPr>
            <w:r w:rsidRPr="0078056B">
              <w:rPr>
                <w:noProof/>
              </w:rPr>
              <w:drawing>
                <wp:inline distT="0" distB="0" distL="0" distR="0" wp14:anchorId="4DB69BD3" wp14:editId="1E907A90">
                  <wp:extent cx="5504390" cy="3240000"/>
                  <wp:effectExtent l="0" t="0" r="1270" b="0"/>
                  <wp:docPr id="1283433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504390" cy="3240000"/>
                          </a:xfrm>
                          <a:prstGeom prst="rect">
                            <a:avLst/>
                          </a:prstGeom>
                          <a:noFill/>
                          <a:ln>
                            <a:noFill/>
                          </a:ln>
                        </pic:spPr>
                      </pic:pic>
                    </a:graphicData>
                  </a:graphic>
                </wp:inline>
              </w:drawing>
            </w:r>
          </w:p>
        </w:tc>
      </w:tr>
      <w:tr w:rsidR="001E1567" w:rsidRPr="0078056B" w14:paraId="38784EF6" w14:textId="77777777" w:rsidTr="00385957">
        <w:trPr>
          <w:cantSplit/>
        </w:trPr>
        <w:tc>
          <w:tcPr>
            <w:tcW w:w="0" w:type="auto"/>
          </w:tcPr>
          <w:p w14:paraId="04D633DB" w14:textId="2139AA26" w:rsidR="001E1567" w:rsidRPr="0078056B" w:rsidRDefault="001E1567" w:rsidP="00385957">
            <w:pPr>
              <w:pStyle w:val="TableNote"/>
            </w:pPr>
            <w:r w:rsidRPr="0078056B">
              <w:t>Note: Based on responses from 496 respondents. ‘</w:t>
            </w:r>
            <w:r w:rsidR="005B202B" w:rsidRPr="0078056B">
              <w:t>Don’t know / not applicable</w:t>
            </w:r>
            <w:r w:rsidRPr="0078056B">
              <w:t>’ responses have been excluded (</w:t>
            </w:r>
            <w:r w:rsidR="00C97AF2" w:rsidRPr="0078056B">
              <w:t>0</w:t>
            </w:r>
            <w:r w:rsidRPr="0078056B">
              <w:t xml:space="preserve"> to 1</w:t>
            </w:r>
            <w:r w:rsidR="00C97AF2" w:rsidRPr="0078056B">
              <w:t>6</w:t>
            </w:r>
            <w:r w:rsidRPr="0078056B">
              <w:t xml:space="preserve"> respondents). Percentages may not sum exactly due to rounding. </w:t>
            </w:r>
          </w:p>
          <w:p w14:paraId="28900764" w14:textId="77777777" w:rsidR="001E1567" w:rsidRPr="0078056B" w:rsidRDefault="001E1567" w:rsidP="00385957">
            <w:pPr>
              <w:pStyle w:val="TableSource"/>
            </w:pPr>
            <w:r w:rsidRPr="0078056B">
              <w:t>Source: London Economics’ analysis of University of Birmingham alumni survey data</w:t>
            </w:r>
          </w:p>
        </w:tc>
      </w:tr>
    </w:tbl>
    <w:p w14:paraId="7A79FFB7" w14:textId="74FA2613" w:rsidR="001E1567" w:rsidRPr="0078056B" w:rsidRDefault="001E1567" w:rsidP="00B92EC0">
      <w:r w:rsidRPr="0078056B">
        <w:fldChar w:fldCharType="begin"/>
      </w:r>
      <w:r w:rsidRPr="0078056B">
        <w:instrText xml:space="preserve"> REF _Ref23430842 \r \h  \* MERGEFORMAT </w:instrText>
      </w:r>
      <w:r w:rsidRPr="0078056B">
        <w:fldChar w:fldCharType="separate"/>
      </w:r>
      <w:r w:rsidR="00E33157">
        <w:t>Figure 34</w:t>
      </w:r>
      <w:r w:rsidRPr="0078056B">
        <w:fldChar w:fldCharType="end"/>
      </w:r>
      <w:r w:rsidRPr="0078056B">
        <w:t xml:space="preserve"> presents alumni’s responses in relation to whether they felt that their </w:t>
      </w:r>
      <w:r w:rsidRPr="0078056B">
        <w:rPr>
          <w:b/>
          <w:bCs/>
          <w:color w:val="06357A"/>
        </w:rPr>
        <w:t xml:space="preserve">job-related skills </w:t>
      </w:r>
      <w:r w:rsidRPr="0078056B">
        <w:t>had improved as a result of their degree. Evidencing the impact that the University of Birmingham qualification has had on their employability, the vast majority of respondents (</w:t>
      </w:r>
      <w:r w:rsidRPr="0078056B">
        <w:rPr>
          <w:b/>
          <w:bCs/>
          <w:color w:val="06357A"/>
        </w:rPr>
        <w:t>84%</w:t>
      </w:r>
      <w:r w:rsidRPr="0078056B">
        <w:t xml:space="preserve">) reported that their </w:t>
      </w:r>
      <w:r w:rsidRPr="0078056B">
        <w:rPr>
          <w:b/>
          <w:bCs/>
          <w:color w:val="06357A"/>
        </w:rPr>
        <w:t>ability to do their job</w:t>
      </w:r>
      <w:r w:rsidRPr="0078056B">
        <w:rPr>
          <w:color w:val="0B5ED7" w:themeColor="accent2"/>
        </w:rPr>
        <w:t xml:space="preserve"> </w:t>
      </w:r>
      <w:r w:rsidRPr="0078056B">
        <w:t xml:space="preserve">had increased either by a ‘lot’ or a ‘little’ as a result of their degree; </w:t>
      </w:r>
      <w:r w:rsidRPr="0078056B">
        <w:rPr>
          <w:b/>
          <w:bCs/>
          <w:color w:val="06357A"/>
        </w:rPr>
        <w:t>86%</w:t>
      </w:r>
      <w:r w:rsidRPr="0078056B">
        <w:t xml:space="preserve"> reported that the </w:t>
      </w:r>
      <w:r w:rsidRPr="0078056B">
        <w:rPr>
          <w:b/>
          <w:bCs/>
          <w:color w:val="06357A"/>
        </w:rPr>
        <w:t>skills and knowledge</w:t>
      </w:r>
      <w:r w:rsidRPr="0078056B">
        <w:t xml:space="preserve"> they use in their current, previous, or desired area of work had improved by a ‘lot’ or a ‘little’; and </w:t>
      </w:r>
      <w:r w:rsidRPr="0078056B">
        <w:rPr>
          <w:b/>
          <w:bCs/>
          <w:color w:val="06357A"/>
        </w:rPr>
        <w:t>8</w:t>
      </w:r>
      <w:r w:rsidR="00C808D0" w:rsidRPr="0078056B">
        <w:rPr>
          <w:b/>
          <w:bCs/>
          <w:color w:val="06357A"/>
        </w:rPr>
        <w:t>7</w:t>
      </w:r>
      <w:r w:rsidRPr="0078056B">
        <w:rPr>
          <w:b/>
          <w:bCs/>
          <w:color w:val="06357A"/>
        </w:rPr>
        <w:t>%</w:t>
      </w:r>
      <w:r w:rsidRPr="0078056B">
        <w:t xml:space="preserve"> reported that their </w:t>
      </w:r>
      <w:r w:rsidRPr="0078056B">
        <w:rPr>
          <w:b/>
          <w:bCs/>
          <w:color w:val="06357A"/>
        </w:rPr>
        <w:t>general transferable skills</w:t>
      </w:r>
      <w:r w:rsidRPr="0078056B">
        <w:t xml:space="preserve"> had improved by a ‘lot’ or a ‘little’.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1E1567" w:rsidRPr="0078056B" w14:paraId="75719851" w14:textId="77777777" w:rsidTr="00385957">
        <w:trPr>
          <w:cantSplit/>
        </w:trPr>
        <w:tc>
          <w:tcPr>
            <w:tcW w:w="0" w:type="auto"/>
          </w:tcPr>
          <w:p w14:paraId="35541335" w14:textId="77777777" w:rsidR="001E1567" w:rsidRPr="0078056B" w:rsidRDefault="001E1567" w:rsidP="00385957">
            <w:pPr>
              <w:pStyle w:val="FigureTitle"/>
            </w:pPr>
            <w:bookmarkStart w:id="375" w:name="_Ref23430842"/>
            <w:bookmarkStart w:id="376" w:name="_Toc36037533"/>
            <w:bookmarkStart w:id="377" w:name="_Toc114819881"/>
            <w:bookmarkStart w:id="378" w:name="_Toc119925152"/>
            <w:bookmarkStart w:id="379" w:name="_Toc161413210"/>
            <w:bookmarkStart w:id="380" w:name="_Toc168652215"/>
            <w:r w:rsidRPr="0078056B">
              <w:t>‘What impact did your degree from the University of Birmingham have on your job-related set of skills?’</w:t>
            </w:r>
            <w:bookmarkEnd w:id="375"/>
            <w:bookmarkEnd w:id="376"/>
            <w:bookmarkEnd w:id="377"/>
            <w:bookmarkEnd w:id="378"/>
            <w:bookmarkEnd w:id="379"/>
            <w:bookmarkEnd w:id="380"/>
          </w:p>
        </w:tc>
      </w:tr>
      <w:tr w:rsidR="001E1567" w:rsidRPr="0078056B" w14:paraId="25DECF7B" w14:textId="77777777" w:rsidTr="00385957">
        <w:trPr>
          <w:cantSplit/>
        </w:trPr>
        <w:tc>
          <w:tcPr>
            <w:tcW w:w="0" w:type="auto"/>
          </w:tcPr>
          <w:p w14:paraId="21ED40E2" w14:textId="77777777" w:rsidR="001E1567" w:rsidRPr="0078056B" w:rsidRDefault="001E1567" w:rsidP="00385957">
            <w:pPr>
              <w:pStyle w:val="PlaceholderText"/>
            </w:pPr>
            <w:r w:rsidRPr="0078056B">
              <w:rPr>
                <w:noProof/>
              </w:rPr>
              <w:drawing>
                <wp:inline distT="0" distB="0" distL="0" distR="0" wp14:anchorId="0EBAB4E1" wp14:editId="2BB9D0B7">
                  <wp:extent cx="5614035" cy="1713230"/>
                  <wp:effectExtent l="0" t="0" r="5715" b="1270"/>
                  <wp:docPr id="20346995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614035" cy="1713230"/>
                          </a:xfrm>
                          <a:prstGeom prst="rect">
                            <a:avLst/>
                          </a:prstGeom>
                          <a:noFill/>
                          <a:ln>
                            <a:noFill/>
                          </a:ln>
                        </pic:spPr>
                      </pic:pic>
                    </a:graphicData>
                  </a:graphic>
                </wp:inline>
              </w:drawing>
            </w:r>
          </w:p>
        </w:tc>
      </w:tr>
      <w:tr w:rsidR="001E1567" w:rsidRPr="0078056B" w14:paraId="77E62DE3" w14:textId="77777777" w:rsidTr="00385957">
        <w:trPr>
          <w:cantSplit/>
        </w:trPr>
        <w:tc>
          <w:tcPr>
            <w:tcW w:w="0" w:type="auto"/>
          </w:tcPr>
          <w:p w14:paraId="6FCA700E" w14:textId="38F49C3A" w:rsidR="001E1567" w:rsidRPr="0078056B" w:rsidRDefault="001E1567" w:rsidP="00385957">
            <w:pPr>
              <w:pStyle w:val="TableNote"/>
            </w:pPr>
            <w:r w:rsidRPr="0078056B">
              <w:t>Note: Based on responses from 496 respondents. ‘</w:t>
            </w:r>
            <w:r w:rsidR="005B202B" w:rsidRPr="0078056B">
              <w:t>Don’t know / not applicable</w:t>
            </w:r>
            <w:r w:rsidRPr="0078056B">
              <w:t xml:space="preserve">’ responses have been excluded (between </w:t>
            </w:r>
            <w:r w:rsidR="00C97AF2" w:rsidRPr="0078056B">
              <w:t>12</w:t>
            </w:r>
            <w:r w:rsidRPr="0078056B">
              <w:t xml:space="preserve"> and 1</w:t>
            </w:r>
            <w:r w:rsidR="00C97AF2" w:rsidRPr="0078056B">
              <w:t>8</w:t>
            </w:r>
            <w:r w:rsidRPr="0078056B">
              <w:t xml:space="preserve"> respondents).</w:t>
            </w:r>
            <w:r w:rsidR="00687EFC" w:rsidRPr="0078056B">
              <w:t xml:space="preserve"> Percentages may not sum exactly due to rounding. </w:t>
            </w:r>
          </w:p>
          <w:p w14:paraId="4439C923" w14:textId="77777777" w:rsidR="001E1567" w:rsidRPr="0078056B" w:rsidRDefault="001E1567" w:rsidP="00385957">
            <w:pPr>
              <w:pStyle w:val="TableSource"/>
            </w:pPr>
            <w:r w:rsidRPr="0078056B">
              <w:t>Source: London Economics’ analysis of University of Birmingham alumni survey data</w:t>
            </w:r>
          </w:p>
        </w:tc>
      </w:tr>
    </w:tbl>
    <w:p w14:paraId="547B4610" w14:textId="77777777" w:rsidR="001E1567" w:rsidRPr="0078056B" w:rsidRDefault="001E1567" w:rsidP="00B92EC0">
      <w:pPr>
        <w:pStyle w:val="Heading3"/>
      </w:pPr>
      <w:bookmarkStart w:id="381" w:name="_Toc36037458"/>
      <w:bookmarkStart w:id="382" w:name="_Toc114819804"/>
      <w:r w:rsidRPr="0078056B">
        <w:lastRenderedPageBreak/>
        <w:t>Personal development and wellbeing</w:t>
      </w:r>
      <w:bookmarkEnd w:id="381"/>
      <w:bookmarkEnd w:id="382"/>
    </w:p>
    <w:p w14:paraId="183BC389" w14:textId="77777777" w:rsidR="001E1567" w:rsidRPr="0078056B" w:rsidRDefault="001E1567" w:rsidP="00B92EC0">
      <w:r w:rsidRPr="0078056B">
        <w:t xml:space="preserve">In addition to the above-discussed impact of learning on respondents’ working lives and skills, the survey also sought to measure the extent to which learning experiences at the University of Birmingham had an impact on respondents’ </w:t>
      </w:r>
      <w:r w:rsidRPr="0078056B">
        <w:rPr>
          <w:b/>
          <w:bCs/>
          <w:color w:val="06357A"/>
        </w:rPr>
        <w:t>personal</w:t>
      </w:r>
      <w:r w:rsidRPr="0078056B">
        <w:rPr>
          <w:b/>
          <w:bCs/>
          <w:color w:val="0B5ED7" w:themeColor="accent2"/>
        </w:rPr>
        <w:t xml:space="preserve"> </w:t>
      </w:r>
      <w:r w:rsidRPr="0078056B">
        <w:rPr>
          <w:b/>
          <w:bCs/>
          <w:color w:val="06357A"/>
        </w:rPr>
        <w:t>development,</w:t>
      </w:r>
      <w:r w:rsidRPr="0078056B">
        <w:rPr>
          <w:b/>
          <w:bCs/>
          <w:color w:val="0B5ED7" w:themeColor="accent2"/>
        </w:rPr>
        <w:t xml:space="preserve"> </w:t>
      </w:r>
      <w:r w:rsidRPr="0078056B">
        <w:rPr>
          <w:b/>
          <w:bCs/>
          <w:color w:val="06357A"/>
        </w:rPr>
        <w:t>community</w:t>
      </w:r>
      <w:r w:rsidRPr="0078056B">
        <w:rPr>
          <w:b/>
          <w:bCs/>
          <w:color w:val="0B5ED7" w:themeColor="accent2"/>
        </w:rPr>
        <w:t xml:space="preserve"> </w:t>
      </w:r>
      <w:r w:rsidRPr="0078056B">
        <w:rPr>
          <w:b/>
          <w:bCs/>
          <w:color w:val="06357A"/>
        </w:rPr>
        <w:t>engagement</w:t>
      </w:r>
      <w:r w:rsidRPr="0078056B">
        <w:rPr>
          <w:b/>
          <w:bCs/>
          <w:color w:val="0B5ED7" w:themeColor="accent2"/>
        </w:rPr>
        <w:t xml:space="preserve"> </w:t>
      </w:r>
      <w:r w:rsidRPr="0078056B">
        <w:rPr>
          <w:b/>
          <w:bCs/>
          <w:color w:val="06357A"/>
        </w:rPr>
        <w:t>and well-being</w:t>
      </w:r>
      <w:r w:rsidRPr="0078056B">
        <w:t>.</w:t>
      </w:r>
    </w:p>
    <w:p w14:paraId="06CDF813" w14:textId="2ADD6437" w:rsidR="001E1567" w:rsidRPr="0078056B" w:rsidRDefault="001E1567" w:rsidP="005B202B">
      <w:r w:rsidRPr="0078056B">
        <w:fldChar w:fldCharType="begin"/>
      </w:r>
      <w:r w:rsidRPr="0078056B">
        <w:instrText xml:space="preserve"> REF _Ref87014262 \r \h  \* MERGEFORMAT </w:instrText>
      </w:r>
      <w:r w:rsidRPr="0078056B">
        <w:fldChar w:fldCharType="separate"/>
      </w:r>
      <w:r w:rsidR="00E33157">
        <w:t>Figure 35</w:t>
      </w:r>
      <w:r w:rsidRPr="0078056B">
        <w:fldChar w:fldCharType="end"/>
      </w:r>
      <w:r w:rsidRPr="0078056B">
        <w:t xml:space="preserve"> explores </w:t>
      </w:r>
      <w:r w:rsidR="005B202B" w:rsidRPr="0078056B">
        <w:t>the extent to which</w:t>
      </w:r>
      <w:r w:rsidRPr="0078056B">
        <w:t xml:space="preserve"> alumni agreed with a number of statements relating to their </w:t>
      </w:r>
      <w:r w:rsidRPr="0078056B">
        <w:rPr>
          <w:b/>
          <w:bCs/>
          <w:color w:val="06357A"/>
        </w:rPr>
        <w:t>personal</w:t>
      </w:r>
      <w:r w:rsidRPr="0078056B">
        <w:rPr>
          <w:b/>
          <w:bCs/>
          <w:color w:val="0B5ED7" w:themeColor="accent2"/>
        </w:rPr>
        <w:t xml:space="preserve"> </w:t>
      </w:r>
      <w:r w:rsidRPr="0078056B">
        <w:rPr>
          <w:b/>
          <w:bCs/>
          <w:color w:val="06357A"/>
        </w:rPr>
        <w:t>interests</w:t>
      </w:r>
      <w:r w:rsidRPr="0078056B">
        <w:rPr>
          <w:b/>
          <w:bCs/>
          <w:color w:val="0B5ED7" w:themeColor="accent2"/>
        </w:rPr>
        <w:t xml:space="preserve"> </w:t>
      </w:r>
      <w:r w:rsidRPr="0078056B">
        <w:rPr>
          <w:b/>
          <w:bCs/>
          <w:color w:val="06357A"/>
        </w:rPr>
        <w:t>and</w:t>
      </w:r>
      <w:r w:rsidRPr="0078056B">
        <w:rPr>
          <w:b/>
          <w:bCs/>
          <w:color w:val="0B5ED7" w:themeColor="accent2"/>
        </w:rPr>
        <w:t xml:space="preserve"> </w:t>
      </w:r>
      <w:r w:rsidRPr="0078056B">
        <w:rPr>
          <w:b/>
          <w:bCs/>
          <w:color w:val="06357A"/>
        </w:rPr>
        <w:t>aspirations</w:t>
      </w:r>
      <w:r w:rsidRPr="0078056B">
        <w:t xml:space="preserve">, indicating that </w:t>
      </w:r>
      <w:r w:rsidRPr="0078056B">
        <w:rPr>
          <w:b/>
          <w:bCs/>
          <w:color w:val="06357A"/>
        </w:rPr>
        <w:t>86%</w:t>
      </w:r>
      <w:r w:rsidRPr="0078056B">
        <w:t xml:space="preserve"> of respondents believed that their experience at Birmingham helped them </w:t>
      </w:r>
      <w:r w:rsidRPr="0078056B">
        <w:rPr>
          <w:b/>
          <w:bCs/>
          <w:color w:val="06357A"/>
        </w:rPr>
        <w:t>meet</w:t>
      </w:r>
      <w:r w:rsidRPr="0078056B">
        <w:rPr>
          <w:b/>
          <w:bCs/>
          <w:color w:val="0B5ED7" w:themeColor="accent2"/>
        </w:rPr>
        <w:t xml:space="preserve"> </w:t>
      </w:r>
      <w:r w:rsidRPr="0078056B">
        <w:rPr>
          <w:b/>
          <w:bCs/>
          <w:color w:val="06357A"/>
        </w:rPr>
        <w:t>new</w:t>
      </w:r>
      <w:r w:rsidRPr="0078056B">
        <w:rPr>
          <w:b/>
          <w:bCs/>
          <w:color w:val="0B5ED7" w:themeColor="accent2"/>
        </w:rPr>
        <w:t xml:space="preserve"> </w:t>
      </w:r>
      <w:r w:rsidRPr="0078056B">
        <w:rPr>
          <w:b/>
          <w:bCs/>
          <w:color w:val="06357A"/>
        </w:rPr>
        <w:t>people</w:t>
      </w:r>
      <w:r w:rsidRPr="0078056B">
        <w:rPr>
          <w:b/>
          <w:bCs/>
          <w:color w:val="0B5ED7" w:themeColor="accent2"/>
        </w:rPr>
        <w:t xml:space="preserve"> </w:t>
      </w:r>
      <w:r w:rsidRPr="0078056B">
        <w:rPr>
          <w:b/>
          <w:bCs/>
          <w:color w:val="06357A"/>
        </w:rPr>
        <w:t>and</w:t>
      </w:r>
      <w:r w:rsidRPr="0078056B">
        <w:rPr>
          <w:b/>
          <w:bCs/>
          <w:color w:val="0B5ED7" w:themeColor="accent2"/>
        </w:rPr>
        <w:t xml:space="preserve"> </w:t>
      </w:r>
      <w:r w:rsidRPr="0078056B">
        <w:rPr>
          <w:b/>
          <w:bCs/>
          <w:color w:val="06357A"/>
        </w:rPr>
        <w:t>make</w:t>
      </w:r>
      <w:r w:rsidRPr="0078056B">
        <w:rPr>
          <w:b/>
          <w:bCs/>
          <w:color w:val="0B5ED7" w:themeColor="accent2"/>
        </w:rPr>
        <w:t xml:space="preserve"> </w:t>
      </w:r>
      <w:r w:rsidRPr="0078056B">
        <w:rPr>
          <w:b/>
          <w:bCs/>
          <w:color w:val="06357A"/>
        </w:rPr>
        <w:t>new</w:t>
      </w:r>
      <w:r w:rsidRPr="0078056B">
        <w:rPr>
          <w:b/>
          <w:bCs/>
          <w:color w:val="0B5ED7" w:themeColor="accent2"/>
        </w:rPr>
        <w:t xml:space="preserve"> </w:t>
      </w:r>
      <w:r w:rsidRPr="0078056B">
        <w:rPr>
          <w:b/>
          <w:bCs/>
          <w:color w:val="06357A"/>
        </w:rPr>
        <w:t>friends</w:t>
      </w:r>
      <w:r w:rsidR="00C808D0" w:rsidRPr="0078056B">
        <w:t xml:space="preserve">; </w:t>
      </w:r>
      <w:r w:rsidR="00C808D0" w:rsidRPr="0078056B">
        <w:rPr>
          <w:b/>
          <w:bCs/>
          <w:color w:val="06357A"/>
        </w:rPr>
        <w:t>78%</w:t>
      </w:r>
      <w:r w:rsidR="00C808D0" w:rsidRPr="0078056B">
        <w:t xml:space="preserve"> felt that they had become </w:t>
      </w:r>
      <w:r w:rsidR="00C808D0" w:rsidRPr="0078056B">
        <w:rPr>
          <w:b/>
          <w:bCs/>
          <w:color w:val="06357A"/>
        </w:rPr>
        <w:t>more</w:t>
      </w:r>
      <w:r w:rsidR="00C808D0" w:rsidRPr="0078056B">
        <w:rPr>
          <w:b/>
          <w:bCs/>
          <w:color w:val="0B5ED7" w:themeColor="accent2"/>
        </w:rPr>
        <w:t xml:space="preserve"> </w:t>
      </w:r>
      <w:r w:rsidR="00C808D0" w:rsidRPr="0078056B">
        <w:rPr>
          <w:b/>
          <w:bCs/>
          <w:color w:val="06357A"/>
        </w:rPr>
        <w:t>enthusiastic</w:t>
      </w:r>
      <w:r w:rsidR="00C808D0" w:rsidRPr="0078056B">
        <w:rPr>
          <w:b/>
          <w:bCs/>
          <w:color w:val="0B5ED7" w:themeColor="accent2"/>
        </w:rPr>
        <w:t xml:space="preserve"> </w:t>
      </w:r>
      <w:r w:rsidR="00C808D0" w:rsidRPr="0078056B">
        <w:rPr>
          <w:b/>
          <w:bCs/>
          <w:color w:val="06357A"/>
        </w:rPr>
        <w:t>about</w:t>
      </w:r>
      <w:r w:rsidR="00C808D0" w:rsidRPr="0078056B">
        <w:rPr>
          <w:b/>
          <w:bCs/>
          <w:color w:val="0B5ED7" w:themeColor="accent2"/>
        </w:rPr>
        <w:t xml:space="preserve"> </w:t>
      </w:r>
      <w:r w:rsidR="00C808D0" w:rsidRPr="0078056B">
        <w:rPr>
          <w:b/>
          <w:bCs/>
          <w:color w:val="06357A"/>
        </w:rPr>
        <w:t>learning</w:t>
      </w:r>
      <w:r w:rsidRPr="0078056B">
        <w:t xml:space="preserve">; </w:t>
      </w:r>
      <w:r w:rsidRPr="0078056B">
        <w:rPr>
          <w:b/>
          <w:bCs/>
          <w:color w:val="06357A"/>
        </w:rPr>
        <w:t>7</w:t>
      </w:r>
      <w:r w:rsidR="005B202B" w:rsidRPr="0078056B">
        <w:rPr>
          <w:b/>
          <w:bCs/>
          <w:color w:val="06357A"/>
        </w:rPr>
        <w:t>2</w:t>
      </w:r>
      <w:r w:rsidRPr="0078056B">
        <w:rPr>
          <w:b/>
          <w:bCs/>
          <w:color w:val="06357A"/>
        </w:rPr>
        <w:t>%</w:t>
      </w:r>
      <w:r w:rsidRPr="0078056B">
        <w:t xml:space="preserve"> were more likely to undertake </w:t>
      </w:r>
      <w:r w:rsidRPr="0078056B">
        <w:rPr>
          <w:b/>
          <w:bCs/>
          <w:color w:val="06357A" w:themeColor="text2"/>
        </w:rPr>
        <w:t>further learning or training</w:t>
      </w:r>
      <w:r w:rsidRPr="0078056B">
        <w:t xml:space="preserve"> at any level; </w:t>
      </w:r>
      <w:r w:rsidRPr="0078056B">
        <w:rPr>
          <w:b/>
          <w:bCs/>
          <w:color w:val="06357A"/>
        </w:rPr>
        <w:t>6</w:t>
      </w:r>
      <w:r w:rsidR="005B202B" w:rsidRPr="0078056B">
        <w:rPr>
          <w:b/>
          <w:bCs/>
          <w:color w:val="06357A"/>
        </w:rPr>
        <w:t>8</w:t>
      </w:r>
      <w:r w:rsidRPr="0078056B">
        <w:rPr>
          <w:b/>
          <w:bCs/>
          <w:color w:val="06357A"/>
        </w:rPr>
        <w:t>%</w:t>
      </w:r>
      <w:r w:rsidRPr="0078056B">
        <w:t xml:space="preserve"> reported that their time at Birmingham made them more likely to undertake further learning or training at a higher level; </w:t>
      </w:r>
      <w:r w:rsidRPr="0078056B">
        <w:rPr>
          <w:b/>
          <w:bCs/>
          <w:color w:val="06357A"/>
        </w:rPr>
        <w:t>67%</w:t>
      </w:r>
      <w:r w:rsidRPr="0078056B">
        <w:t xml:space="preserve"> stated that their time at Birmingham made them more </w:t>
      </w:r>
      <w:r w:rsidRPr="0078056B">
        <w:rPr>
          <w:b/>
          <w:bCs/>
          <w:color w:val="06357A"/>
        </w:rPr>
        <w:t>innovative</w:t>
      </w:r>
      <w:r w:rsidRPr="0078056B">
        <w:t xml:space="preserve">; and </w:t>
      </w:r>
      <w:r w:rsidRPr="0078056B">
        <w:rPr>
          <w:b/>
          <w:bCs/>
          <w:color w:val="06357A"/>
        </w:rPr>
        <w:t>67%</w:t>
      </w:r>
      <w:r w:rsidRPr="0078056B">
        <w:t xml:space="preserve"> indicated that their experience gave them a better idea of what they want to do in life.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1E1567" w:rsidRPr="0078056B" w14:paraId="2BC0ECC9" w14:textId="77777777" w:rsidTr="00385957">
        <w:trPr>
          <w:cantSplit/>
        </w:trPr>
        <w:tc>
          <w:tcPr>
            <w:tcW w:w="0" w:type="auto"/>
          </w:tcPr>
          <w:p w14:paraId="26B29312" w14:textId="77777777" w:rsidR="001E1567" w:rsidRPr="0078056B" w:rsidRDefault="001E1567" w:rsidP="00385957">
            <w:pPr>
              <w:pStyle w:val="FigureTitle"/>
            </w:pPr>
            <w:bookmarkStart w:id="383" w:name="_Ref87014262"/>
            <w:bookmarkStart w:id="384" w:name="_Toc114819882"/>
            <w:bookmarkStart w:id="385" w:name="_Toc119925153"/>
            <w:bookmarkStart w:id="386" w:name="_Toc161413211"/>
            <w:bookmarkStart w:id="387" w:name="_Toc168652216"/>
            <w:r w:rsidRPr="0078056B">
              <w:t>‘In terms of your personal development, to what extent do you agree or disagree that your experience at the University of Birmingham…?’</w:t>
            </w:r>
            <w:bookmarkEnd w:id="383"/>
            <w:bookmarkEnd w:id="384"/>
            <w:bookmarkEnd w:id="385"/>
            <w:bookmarkEnd w:id="386"/>
            <w:bookmarkEnd w:id="387"/>
          </w:p>
        </w:tc>
      </w:tr>
      <w:tr w:rsidR="001E1567" w:rsidRPr="0078056B" w14:paraId="362CDAA8" w14:textId="77777777" w:rsidTr="00385957">
        <w:trPr>
          <w:cantSplit/>
        </w:trPr>
        <w:tc>
          <w:tcPr>
            <w:tcW w:w="0" w:type="auto"/>
          </w:tcPr>
          <w:p w14:paraId="2348AD4B" w14:textId="77777777" w:rsidR="001E1567" w:rsidRPr="0078056B" w:rsidRDefault="001E1567" w:rsidP="00385957">
            <w:pPr>
              <w:pStyle w:val="PlaceholderText"/>
            </w:pPr>
            <w:r w:rsidRPr="0078056B">
              <w:rPr>
                <w:noProof/>
              </w:rPr>
              <w:drawing>
                <wp:inline distT="0" distB="0" distL="0" distR="0" wp14:anchorId="1288C012" wp14:editId="6F0BF5D0">
                  <wp:extent cx="5614035" cy="2918644"/>
                  <wp:effectExtent l="0" t="0" r="5715" b="0"/>
                  <wp:docPr id="15999049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04902" name="Picture 15"/>
                          <pic:cNvPicPr>
                            <a:picLocks noChangeAspect="1" noChangeArrowheads="1"/>
                          </pic:cNvPicPr>
                        </pic:nvPicPr>
                        <pic:blipFill>
                          <a:blip r:embed="rId152">
                            <a:extLst>
                              <a:ext uri="{28A0092B-C50C-407E-A947-70E740481C1C}">
                                <a14:useLocalDpi xmlns:a14="http://schemas.microsoft.com/office/drawing/2010/main" val="0"/>
                              </a:ext>
                              <a:ext uri="{96DAC541-7B7A-43D3-8B79-37D633B846F1}">
                                <asvg:svgBlip xmlns:asvg="http://schemas.microsoft.com/office/drawing/2016/SVG/main" r:embed="rId153"/>
                              </a:ext>
                            </a:extLst>
                          </a:blip>
                          <a:stretch>
                            <a:fillRect/>
                          </a:stretch>
                        </pic:blipFill>
                        <pic:spPr bwMode="auto">
                          <a:xfrm>
                            <a:off x="0" y="0"/>
                            <a:ext cx="5614035" cy="2918644"/>
                          </a:xfrm>
                          <a:prstGeom prst="rect">
                            <a:avLst/>
                          </a:prstGeom>
                        </pic:spPr>
                      </pic:pic>
                    </a:graphicData>
                  </a:graphic>
                </wp:inline>
              </w:drawing>
            </w:r>
          </w:p>
        </w:tc>
      </w:tr>
      <w:tr w:rsidR="001E1567" w:rsidRPr="0078056B" w14:paraId="3B7F821D" w14:textId="77777777" w:rsidTr="00385957">
        <w:trPr>
          <w:cantSplit/>
        </w:trPr>
        <w:tc>
          <w:tcPr>
            <w:tcW w:w="0" w:type="auto"/>
          </w:tcPr>
          <w:p w14:paraId="71CD32A6" w14:textId="7E86CECB" w:rsidR="001E1567" w:rsidRPr="0078056B" w:rsidRDefault="001E1567" w:rsidP="00385957">
            <w:pPr>
              <w:pStyle w:val="TableNote"/>
            </w:pPr>
            <w:r w:rsidRPr="0078056B">
              <w:t>Note: Based on responses from 496 respondents. ‘</w:t>
            </w:r>
            <w:r w:rsidR="005B202B" w:rsidRPr="0078056B">
              <w:t>Don’t know / not applicable</w:t>
            </w:r>
            <w:r w:rsidRPr="0078056B">
              <w:t>’ responses have been excluded (0 to 1</w:t>
            </w:r>
            <w:r w:rsidR="00C97AF2" w:rsidRPr="0078056B">
              <w:t>7</w:t>
            </w:r>
            <w:r w:rsidRPr="0078056B">
              <w:t xml:space="preserve"> respondents). Percentages may not sum exactly due to rounding.</w:t>
            </w:r>
          </w:p>
          <w:p w14:paraId="681CFF6A" w14:textId="77777777" w:rsidR="001E1567" w:rsidRPr="0078056B" w:rsidRDefault="001E1567" w:rsidP="00385957">
            <w:pPr>
              <w:pStyle w:val="TableNote"/>
              <w:rPr>
                <w:b/>
                <w:bCs/>
                <w:i/>
                <w:iCs/>
              </w:rPr>
            </w:pPr>
            <w:r w:rsidRPr="0078056B">
              <w:rPr>
                <w:b/>
                <w:bCs/>
                <w:i/>
                <w:iCs/>
              </w:rPr>
              <w:t>Source: London Economics’ analysis of University of Birmingham alumni survey data</w:t>
            </w:r>
          </w:p>
        </w:tc>
      </w:tr>
    </w:tbl>
    <w:p w14:paraId="56420C05" w14:textId="46B3EDD2" w:rsidR="001E1567" w:rsidRPr="0078056B" w:rsidRDefault="001E1567" w:rsidP="00B92EC0">
      <w:r w:rsidRPr="0078056B">
        <w:t xml:space="preserve">In relation to wider </w:t>
      </w:r>
      <w:r w:rsidRPr="0078056B">
        <w:rPr>
          <w:b/>
          <w:bCs/>
          <w:color w:val="06357A"/>
        </w:rPr>
        <w:t>community engagement and community cohesion</w:t>
      </w:r>
      <w:r w:rsidRPr="0078056B">
        <w:rPr>
          <w:b/>
          <w:color w:val="0B5ED7" w:themeColor="accent2"/>
        </w:rPr>
        <w:t xml:space="preserve"> </w:t>
      </w:r>
      <w:r w:rsidRPr="0078056B">
        <w:t xml:space="preserve">(see </w:t>
      </w:r>
      <w:r w:rsidRPr="0078056B">
        <w:fldChar w:fldCharType="begin"/>
      </w:r>
      <w:r w:rsidRPr="0078056B">
        <w:instrText xml:space="preserve"> REF _Ref24379459 \r \h  \* MERGEFORMAT </w:instrText>
      </w:r>
      <w:r w:rsidRPr="0078056B">
        <w:fldChar w:fldCharType="separate"/>
      </w:r>
      <w:r w:rsidR="00E33157">
        <w:t>Figure 36</w:t>
      </w:r>
      <w:r w:rsidRPr="0078056B">
        <w:fldChar w:fldCharType="end"/>
      </w:r>
      <w:r w:rsidRPr="0078056B">
        <w:t xml:space="preserve">), the analysis indicates that </w:t>
      </w:r>
      <w:r w:rsidRPr="0078056B">
        <w:rPr>
          <w:b/>
          <w:bCs/>
          <w:color w:val="06357A"/>
        </w:rPr>
        <w:t>58%</w:t>
      </w:r>
      <w:r w:rsidRPr="0078056B">
        <w:t xml:space="preserve"> of respondents believed that their experience at the University of Birmingham encouraged them to become a member of a group, club, or association</w:t>
      </w:r>
      <w:r w:rsidR="00601241" w:rsidRPr="0078056B">
        <w:t xml:space="preserve">; </w:t>
      </w:r>
      <w:r w:rsidR="00601241" w:rsidRPr="0078056B">
        <w:rPr>
          <w:b/>
          <w:bCs/>
          <w:color w:val="06357A"/>
        </w:rPr>
        <w:t>43%</w:t>
      </w:r>
      <w:r w:rsidR="00601241" w:rsidRPr="0078056B">
        <w:t xml:space="preserve"> reported that their time at the University of Birmingham made them more likely to participate in sport or to pursue an active lifestyle</w:t>
      </w:r>
      <w:r w:rsidRPr="0078056B">
        <w:t xml:space="preserve">; </w:t>
      </w:r>
      <w:r w:rsidRPr="0078056B">
        <w:rPr>
          <w:b/>
          <w:bCs/>
          <w:color w:val="06357A"/>
        </w:rPr>
        <w:t>41%</w:t>
      </w:r>
      <w:r w:rsidRPr="0078056B">
        <w:t xml:space="preserve"> were more likely to take part in voluntary or community activities; </w:t>
      </w:r>
      <w:r w:rsidRPr="0078056B">
        <w:rPr>
          <w:b/>
          <w:bCs/>
          <w:color w:val="06357A"/>
        </w:rPr>
        <w:t>38%</w:t>
      </w:r>
      <w:r w:rsidRPr="0078056B">
        <w:t xml:space="preserve"> of respondents were more likely to become members or visitors of cultural attractions such as museums or galleries; and </w:t>
      </w:r>
      <w:r w:rsidRPr="0078056B">
        <w:rPr>
          <w:b/>
          <w:bCs/>
          <w:color w:val="06357A"/>
        </w:rPr>
        <w:t>31%</w:t>
      </w:r>
      <w:r w:rsidRPr="0078056B">
        <w:t xml:space="preserve"> felt their experience at the University encouraged them to vote.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1E1567" w:rsidRPr="0078056B" w14:paraId="65D45092" w14:textId="77777777" w:rsidTr="00385957">
        <w:trPr>
          <w:cantSplit/>
        </w:trPr>
        <w:tc>
          <w:tcPr>
            <w:tcW w:w="0" w:type="auto"/>
          </w:tcPr>
          <w:p w14:paraId="3ED3FE6C" w14:textId="233EBBCB" w:rsidR="001E1567" w:rsidRPr="0078056B" w:rsidRDefault="001E1567" w:rsidP="00385957">
            <w:pPr>
              <w:pStyle w:val="FigureTitle"/>
            </w:pPr>
            <w:bookmarkStart w:id="388" w:name="_Ref24379459"/>
            <w:bookmarkStart w:id="389" w:name="_Toc36037535"/>
            <w:bookmarkStart w:id="390" w:name="_Toc114819883"/>
            <w:bookmarkStart w:id="391" w:name="_Toc119925154"/>
            <w:bookmarkStart w:id="392" w:name="_Toc161413212"/>
            <w:bookmarkStart w:id="393" w:name="_Toc168652217"/>
            <w:r w:rsidRPr="0078056B">
              <w:lastRenderedPageBreak/>
              <w:t>‘In terms of your personal development, to what extent do you agree or disagree that your experience at the University of Birmingham</w:t>
            </w:r>
            <w:r w:rsidR="00652394" w:rsidRPr="0078056B">
              <w:t xml:space="preserve"> encouraged you to</w:t>
            </w:r>
            <w:r w:rsidRPr="0078056B">
              <w:t>…?’</w:t>
            </w:r>
            <w:bookmarkEnd w:id="388"/>
            <w:bookmarkEnd w:id="389"/>
            <w:bookmarkEnd w:id="390"/>
            <w:bookmarkEnd w:id="391"/>
            <w:bookmarkEnd w:id="392"/>
            <w:bookmarkEnd w:id="393"/>
          </w:p>
        </w:tc>
      </w:tr>
      <w:tr w:rsidR="001E1567" w:rsidRPr="0078056B" w14:paraId="0394EF9C" w14:textId="77777777" w:rsidTr="00385957">
        <w:trPr>
          <w:cantSplit/>
        </w:trPr>
        <w:tc>
          <w:tcPr>
            <w:tcW w:w="0" w:type="auto"/>
          </w:tcPr>
          <w:p w14:paraId="1D23DAFD" w14:textId="77777777" w:rsidR="001E1567" w:rsidRPr="0078056B" w:rsidRDefault="001E1567" w:rsidP="00385957">
            <w:pPr>
              <w:pStyle w:val="PlaceholderText"/>
            </w:pPr>
            <w:r w:rsidRPr="0078056B">
              <w:rPr>
                <w:noProof/>
              </w:rPr>
              <w:drawing>
                <wp:inline distT="0" distB="0" distL="0" distR="0" wp14:anchorId="7AFC83BA" wp14:editId="44566EFB">
                  <wp:extent cx="5614035" cy="3339465"/>
                  <wp:effectExtent l="0" t="0" r="5715" b="0"/>
                  <wp:docPr id="437000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614035" cy="3339465"/>
                          </a:xfrm>
                          <a:prstGeom prst="rect">
                            <a:avLst/>
                          </a:prstGeom>
                          <a:noFill/>
                          <a:ln>
                            <a:noFill/>
                          </a:ln>
                        </pic:spPr>
                      </pic:pic>
                    </a:graphicData>
                  </a:graphic>
                </wp:inline>
              </w:drawing>
            </w:r>
          </w:p>
        </w:tc>
      </w:tr>
      <w:tr w:rsidR="001E1567" w:rsidRPr="0078056B" w14:paraId="2A7B096E" w14:textId="77777777" w:rsidTr="00385957">
        <w:trPr>
          <w:cantSplit/>
        </w:trPr>
        <w:tc>
          <w:tcPr>
            <w:tcW w:w="0" w:type="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1E1567" w:rsidRPr="0078056B" w14:paraId="46E257B9" w14:textId="77777777" w:rsidTr="00385957">
              <w:trPr>
                <w:cantSplit/>
              </w:trPr>
              <w:tc>
                <w:tcPr>
                  <w:tcW w:w="0" w:type="auto"/>
                </w:tcPr>
                <w:p w14:paraId="03B8E308" w14:textId="6D4D6C90" w:rsidR="001E1567" w:rsidRPr="0078056B" w:rsidRDefault="001E1567" w:rsidP="00385957">
                  <w:pPr>
                    <w:pStyle w:val="TableNote"/>
                  </w:pPr>
                  <w:r w:rsidRPr="0078056B">
                    <w:t>Note: Based on responses from 496 respondents. ‘</w:t>
                  </w:r>
                  <w:r w:rsidR="005B202B" w:rsidRPr="0078056B">
                    <w:t>Don’t know / not applicable</w:t>
                  </w:r>
                  <w:r w:rsidRPr="0078056B">
                    <w:t>’ responses have been excluded (</w:t>
                  </w:r>
                  <w:r w:rsidR="00C97AF2" w:rsidRPr="0078056B">
                    <w:t>12</w:t>
                  </w:r>
                  <w:r w:rsidRPr="0078056B">
                    <w:t xml:space="preserve"> to </w:t>
                  </w:r>
                  <w:r w:rsidR="00C97AF2" w:rsidRPr="0078056B">
                    <w:t>24</w:t>
                  </w:r>
                  <w:r w:rsidRPr="0078056B">
                    <w:t xml:space="preserve"> respondents). Percentages may not sum exactly due to rounding.</w:t>
                  </w:r>
                </w:p>
                <w:p w14:paraId="66EA5596" w14:textId="77777777" w:rsidR="001E1567" w:rsidRPr="0078056B" w:rsidRDefault="001E1567" w:rsidP="00385957">
                  <w:pPr>
                    <w:pStyle w:val="TableNote"/>
                    <w:rPr>
                      <w:b/>
                      <w:bCs/>
                      <w:i/>
                      <w:iCs/>
                    </w:rPr>
                  </w:pPr>
                  <w:r w:rsidRPr="0078056B">
                    <w:rPr>
                      <w:b/>
                      <w:bCs/>
                      <w:i/>
                      <w:iCs/>
                    </w:rPr>
                    <w:t>Source: London Economics’ analysis of University of Birmingham alumni survey data</w:t>
                  </w:r>
                </w:p>
              </w:tc>
            </w:tr>
          </w:tbl>
          <w:p w14:paraId="744C3430" w14:textId="77777777" w:rsidR="001E1567" w:rsidRPr="0078056B" w:rsidRDefault="001E1567" w:rsidP="00385957">
            <w:pPr>
              <w:pStyle w:val="TableSource"/>
            </w:pPr>
          </w:p>
        </w:tc>
      </w:tr>
    </w:tbl>
    <w:p w14:paraId="4D257B54" w14:textId="384E1CEA" w:rsidR="001E1567" w:rsidRPr="0078056B" w:rsidRDefault="001E1567" w:rsidP="00B92EC0">
      <w:r w:rsidRPr="0078056B">
        <w:t xml:space="preserve">Finally, in terms of measures of </w:t>
      </w:r>
      <w:r w:rsidRPr="0078056B">
        <w:rPr>
          <w:b/>
          <w:bCs/>
          <w:color w:val="06357A"/>
        </w:rPr>
        <w:t>well-being</w:t>
      </w:r>
      <w:r w:rsidRPr="0078056B">
        <w:t xml:space="preserve">, </w:t>
      </w:r>
      <w:r w:rsidRPr="0078056B">
        <w:fldChar w:fldCharType="begin"/>
      </w:r>
      <w:r w:rsidRPr="0078056B">
        <w:instrText xml:space="preserve"> REF _Ref24379466 \r \h  \* MERGEFORMAT </w:instrText>
      </w:r>
      <w:r w:rsidRPr="0078056B">
        <w:fldChar w:fldCharType="separate"/>
      </w:r>
      <w:r w:rsidR="00E33157">
        <w:t>Figure 37</w:t>
      </w:r>
      <w:r w:rsidRPr="0078056B">
        <w:fldChar w:fldCharType="end"/>
      </w:r>
      <w:r w:rsidRPr="0078056B">
        <w:t xml:space="preserve"> shows that </w:t>
      </w:r>
      <w:r w:rsidRPr="0078056B">
        <w:rPr>
          <w:b/>
          <w:bCs/>
          <w:color w:val="06357A"/>
        </w:rPr>
        <w:t>77%</w:t>
      </w:r>
      <w:r w:rsidRPr="0078056B">
        <w:t xml:space="preserve"> of respondents agreed (either ‘strongly’ or ‘slightly’) that they had become </w:t>
      </w:r>
      <w:r w:rsidRPr="0078056B">
        <w:rPr>
          <w:b/>
          <w:bCs/>
          <w:color w:val="06357A"/>
        </w:rPr>
        <w:t>more</w:t>
      </w:r>
      <w:r w:rsidRPr="0078056B">
        <w:rPr>
          <w:b/>
          <w:bCs/>
          <w:color w:val="0B5ED7" w:themeColor="accent2"/>
        </w:rPr>
        <w:t xml:space="preserve"> </w:t>
      </w:r>
      <w:r w:rsidRPr="0078056B">
        <w:rPr>
          <w:b/>
          <w:bCs/>
          <w:color w:val="06357A"/>
        </w:rPr>
        <w:t>confident</w:t>
      </w:r>
      <w:r w:rsidRPr="0078056B">
        <w:rPr>
          <w:color w:val="0B5ED7" w:themeColor="accent2"/>
        </w:rPr>
        <w:t xml:space="preserve"> </w:t>
      </w:r>
      <w:r w:rsidRPr="0078056B">
        <w:t xml:space="preserve">as a result of their degree; </w:t>
      </w:r>
      <w:r w:rsidRPr="0078056B">
        <w:rPr>
          <w:b/>
          <w:bCs/>
          <w:color w:val="06357A"/>
        </w:rPr>
        <w:t>74%</w:t>
      </w:r>
      <w:r w:rsidRPr="0078056B">
        <w:t xml:space="preserve"> felt that their degree </w:t>
      </w:r>
      <w:r w:rsidRPr="0078056B">
        <w:rPr>
          <w:b/>
          <w:bCs/>
          <w:color w:val="06357A"/>
        </w:rPr>
        <w:t>helped</w:t>
      </w:r>
      <w:r w:rsidRPr="0078056B">
        <w:rPr>
          <w:b/>
          <w:bCs/>
          <w:color w:val="0B5ED7" w:themeColor="accent2"/>
        </w:rPr>
        <w:t xml:space="preserve"> </w:t>
      </w:r>
      <w:r w:rsidRPr="0078056B">
        <w:rPr>
          <w:b/>
          <w:bCs/>
          <w:color w:val="06357A"/>
        </w:rPr>
        <w:t>increase their self-esteem</w:t>
      </w:r>
      <w:r w:rsidRPr="0078056B">
        <w:t xml:space="preserve">; </w:t>
      </w:r>
      <w:r w:rsidRPr="0078056B">
        <w:rPr>
          <w:b/>
          <w:bCs/>
          <w:color w:val="06357A"/>
        </w:rPr>
        <w:t>71%</w:t>
      </w:r>
      <w:r w:rsidRPr="0078056B">
        <w:t xml:space="preserve"> agreed that their degree had </w:t>
      </w:r>
      <w:r w:rsidRPr="0078056B">
        <w:rPr>
          <w:b/>
          <w:bCs/>
          <w:color w:val="06357A"/>
        </w:rPr>
        <w:t>improved</w:t>
      </w:r>
      <w:r w:rsidRPr="0078056B">
        <w:rPr>
          <w:b/>
          <w:bCs/>
          <w:color w:val="0B5ED7" w:themeColor="accent2"/>
        </w:rPr>
        <w:t xml:space="preserve"> </w:t>
      </w:r>
      <w:r w:rsidRPr="0078056B">
        <w:rPr>
          <w:b/>
          <w:bCs/>
          <w:color w:val="06357A"/>
        </w:rPr>
        <w:t>their</w:t>
      </w:r>
      <w:r w:rsidRPr="0078056B">
        <w:rPr>
          <w:b/>
          <w:bCs/>
          <w:color w:val="0B5ED7" w:themeColor="accent2"/>
        </w:rPr>
        <w:t xml:space="preserve"> </w:t>
      </w:r>
      <w:r w:rsidRPr="0078056B">
        <w:rPr>
          <w:b/>
          <w:bCs/>
          <w:color w:val="06357A"/>
        </w:rPr>
        <w:t>quality</w:t>
      </w:r>
      <w:r w:rsidRPr="0078056B">
        <w:rPr>
          <w:b/>
          <w:bCs/>
          <w:color w:val="0B5ED7" w:themeColor="accent2"/>
        </w:rPr>
        <w:t xml:space="preserve"> </w:t>
      </w:r>
      <w:r w:rsidRPr="0078056B">
        <w:rPr>
          <w:b/>
          <w:bCs/>
          <w:color w:val="06357A"/>
        </w:rPr>
        <w:t>of</w:t>
      </w:r>
      <w:r w:rsidRPr="0078056B">
        <w:rPr>
          <w:b/>
          <w:bCs/>
          <w:color w:val="0B5ED7" w:themeColor="accent2"/>
        </w:rPr>
        <w:t xml:space="preserve"> </w:t>
      </w:r>
      <w:r w:rsidRPr="0078056B">
        <w:rPr>
          <w:b/>
          <w:bCs/>
          <w:color w:val="06357A"/>
        </w:rPr>
        <w:t>life</w:t>
      </w:r>
      <w:r w:rsidRPr="0078056B">
        <w:t xml:space="preserve">; </w:t>
      </w:r>
      <w:r w:rsidRPr="0078056B">
        <w:rPr>
          <w:b/>
          <w:bCs/>
          <w:color w:val="06357A"/>
        </w:rPr>
        <w:t>65%</w:t>
      </w:r>
      <w:r w:rsidRPr="0078056B">
        <w:t xml:space="preserve"> believed that their emotional intelligence had increased as a result of their degree; and </w:t>
      </w:r>
      <w:r w:rsidRPr="0078056B">
        <w:rPr>
          <w:b/>
          <w:bCs/>
          <w:color w:val="06357A"/>
        </w:rPr>
        <w:t>48%</w:t>
      </w:r>
      <w:r w:rsidRPr="0078056B">
        <w:t xml:space="preserve"> felt that their degree had helped them keep active.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1E1567" w:rsidRPr="0078056B" w14:paraId="4011B6C1" w14:textId="77777777" w:rsidTr="00385957">
        <w:trPr>
          <w:cantSplit/>
        </w:trPr>
        <w:tc>
          <w:tcPr>
            <w:tcW w:w="0" w:type="auto"/>
          </w:tcPr>
          <w:p w14:paraId="31F93276" w14:textId="77777777" w:rsidR="001E1567" w:rsidRPr="0078056B" w:rsidRDefault="001E1567" w:rsidP="00385957">
            <w:pPr>
              <w:pStyle w:val="FigureTitle"/>
            </w:pPr>
            <w:bookmarkStart w:id="394" w:name="_Ref24379466"/>
            <w:bookmarkStart w:id="395" w:name="_Toc36037536"/>
            <w:bookmarkStart w:id="396" w:name="_Toc114819884"/>
            <w:bookmarkStart w:id="397" w:name="_Toc119925155"/>
            <w:bookmarkStart w:id="398" w:name="_Toc161413213"/>
            <w:bookmarkStart w:id="399" w:name="_Toc168652218"/>
            <w:r w:rsidRPr="0078056B">
              <w:lastRenderedPageBreak/>
              <w:t>‘In terms of your well-being, to what extent do you agree or disagree that the degree which you completed at the University of Birmingham…?</w:t>
            </w:r>
            <w:bookmarkEnd w:id="394"/>
            <w:r w:rsidRPr="0078056B">
              <w:t>’</w:t>
            </w:r>
            <w:bookmarkEnd w:id="395"/>
            <w:bookmarkEnd w:id="396"/>
            <w:bookmarkEnd w:id="397"/>
            <w:bookmarkEnd w:id="398"/>
            <w:bookmarkEnd w:id="399"/>
          </w:p>
        </w:tc>
      </w:tr>
      <w:tr w:rsidR="001E1567" w:rsidRPr="0078056B" w14:paraId="558ED415" w14:textId="77777777" w:rsidTr="00385957">
        <w:trPr>
          <w:cantSplit/>
        </w:trPr>
        <w:tc>
          <w:tcPr>
            <w:tcW w:w="0" w:type="auto"/>
          </w:tcPr>
          <w:p w14:paraId="029CD472" w14:textId="77777777" w:rsidR="001E1567" w:rsidRPr="0078056B" w:rsidRDefault="001E1567" w:rsidP="00385957">
            <w:pPr>
              <w:pStyle w:val="PlaceholderText"/>
            </w:pPr>
            <w:r w:rsidRPr="0078056B">
              <w:rPr>
                <w:noProof/>
              </w:rPr>
              <w:drawing>
                <wp:inline distT="0" distB="0" distL="0" distR="0" wp14:anchorId="42EC6920" wp14:editId="106578DC">
                  <wp:extent cx="5404116" cy="2748915"/>
                  <wp:effectExtent l="0" t="0" r="6350" b="0"/>
                  <wp:docPr id="9760899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89930" name="Picture 17"/>
                          <pic:cNvPicPr>
                            <a:picLocks noChangeAspect="1" noChangeArrowheads="1"/>
                          </pic:cNvPicPr>
                        </pic:nvPicPr>
                        <pic:blipFill>
                          <a:blip r:embed="rId155">
                            <a:extLst>
                              <a:ext uri="{28A0092B-C50C-407E-A947-70E740481C1C}">
                                <a14:useLocalDpi xmlns:a14="http://schemas.microsoft.com/office/drawing/2010/main" val="0"/>
                              </a:ext>
                              <a:ext uri="{96DAC541-7B7A-43D3-8B79-37D633B846F1}">
                                <asvg:svgBlip xmlns:asvg="http://schemas.microsoft.com/office/drawing/2016/SVG/main" r:embed="rId156"/>
                              </a:ext>
                            </a:extLst>
                          </a:blip>
                          <a:stretch>
                            <a:fillRect/>
                          </a:stretch>
                        </pic:blipFill>
                        <pic:spPr bwMode="auto">
                          <a:xfrm>
                            <a:off x="0" y="0"/>
                            <a:ext cx="5404116" cy="2748915"/>
                          </a:xfrm>
                          <a:prstGeom prst="rect">
                            <a:avLst/>
                          </a:prstGeom>
                        </pic:spPr>
                      </pic:pic>
                    </a:graphicData>
                  </a:graphic>
                </wp:inline>
              </w:drawing>
            </w:r>
          </w:p>
        </w:tc>
      </w:tr>
      <w:tr w:rsidR="001E1567" w:rsidRPr="0078056B" w14:paraId="6205E7D0" w14:textId="77777777" w:rsidTr="00385957">
        <w:trPr>
          <w:cantSplit/>
        </w:trPr>
        <w:tc>
          <w:tcPr>
            <w:tcW w:w="0" w:type="auto"/>
          </w:tcPr>
          <w:p w14:paraId="636B0C16" w14:textId="19E18C57" w:rsidR="001E1567" w:rsidRPr="0078056B" w:rsidRDefault="001E1567" w:rsidP="00385957">
            <w:pPr>
              <w:pStyle w:val="TableNote"/>
            </w:pPr>
            <w:r w:rsidRPr="0078056B">
              <w:t>Note: Based on responses from 496 respondents. ‘</w:t>
            </w:r>
            <w:r w:rsidR="005B202B" w:rsidRPr="0078056B">
              <w:t>Don’t know / not applicable</w:t>
            </w:r>
            <w:r w:rsidRPr="0078056B">
              <w:t xml:space="preserve">’ responses have been excluded (0 to </w:t>
            </w:r>
            <w:r w:rsidR="00652394" w:rsidRPr="0078056B">
              <w:t>7</w:t>
            </w:r>
            <w:r w:rsidRPr="0078056B">
              <w:t xml:space="preserve"> respondents). </w:t>
            </w:r>
            <w:r w:rsidR="00687EFC" w:rsidRPr="0078056B">
              <w:t xml:space="preserve">Percentages may not sum exactly due to rounding. </w:t>
            </w:r>
          </w:p>
          <w:p w14:paraId="1CBB8C66" w14:textId="77777777" w:rsidR="001E1567" w:rsidRPr="0078056B" w:rsidRDefault="001E1567" w:rsidP="00385957">
            <w:pPr>
              <w:pStyle w:val="TableSource"/>
            </w:pPr>
            <w:r w:rsidRPr="0078056B">
              <w:t>Source: London Economics’ analysis of University of Birmingham alumni survey data</w:t>
            </w:r>
          </w:p>
        </w:tc>
      </w:tr>
    </w:tbl>
    <w:p w14:paraId="69BFCEA0" w14:textId="28AF612B" w:rsidR="003541E0" w:rsidRPr="0078056B" w:rsidRDefault="003541E0" w:rsidP="00A91497">
      <w:pPr>
        <w:pStyle w:val="Heading2"/>
      </w:pPr>
      <w:bookmarkStart w:id="400" w:name="_Ref162520922"/>
      <w:bookmarkStart w:id="401" w:name="_Toc168652143"/>
      <w:r w:rsidRPr="0078056B">
        <w:t>Cultural impact</w:t>
      </w:r>
      <w:bookmarkEnd w:id="400"/>
      <w:bookmarkEnd w:id="401"/>
    </w:p>
    <w:p w14:paraId="6B3EE1DD" w14:textId="46BE8CCA" w:rsidR="003541E0" w:rsidRPr="0078056B" w:rsidRDefault="003541E0" w:rsidP="003541E0">
      <w:r w:rsidRPr="0078056B">
        <w:t>An important aspect of the University of Birmingham’s activities relates to its impact on culture and the local community. In particular, the University hosted a range of events and attracted visitors to Birmingham through its cultural institutions.</w:t>
      </w:r>
    </w:p>
    <w:p w14:paraId="1F4E75AA" w14:textId="5B2661F4" w:rsidR="003541E0" w:rsidRPr="0078056B" w:rsidRDefault="00852868" w:rsidP="003541E0">
      <w:r w:rsidRPr="0078056B">
        <w:fldChar w:fldCharType="begin"/>
      </w:r>
      <w:r w:rsidRPr="0078056B">
        <w:instrText xml:space="preserve"> REF _Ref162513708 \r \h </w:instrText>
      </w:r>
      <w:r w:rsidR="0078056B">
        <w:instrText xml:space="preserve"> \* MERGEFORMAT </w:instrText>
      </w:r>
      <w:r w:rsidRPr="0078056B">
        <w:fldChar w:fldCharType="separate"/>
      </w:r>
      <w:r w:rsidR="00E33157">
        <w:t>Figure 38</w:t>
      </w:r>
      <w:r w:rsidRPr="0078056B">
        <w:fldChar w:fldCharType="end"/>
      </w:r>
      <w:r w:rsidR="003541E0" w:rsidRPr="0078056B">
        <w:t xml:space="preserve"> shows the annual number of attendees for 2021-22 for various public events held by the University of Birmingham. In total, there were </w:t>
      </w:r>
      <w:r w:rsidR="003541E0" w:rsidRPr="0078056B">
        <w:rPr>
          <w:b/>
          <w:bCs/>
          <w:color w:val="06357A" w:themeColor="accent1"/>
        </w:rPr>
        <w:t>869,817</w:t>
      </w:r>
      <w:r w:rsidR="003541E0" w:rsidRPr="0078056B">
        <w:t xml:space="preserve"> attendees </w:t>
      </w:r>
      <w:r w:rsidR="00F04D7C" w:rsidRPr="0078056B">
        <w:t xml:space="preserve">at </w:t>
      </w:r>
      <w:r w:rsidR="003541E0" w:rsidRPr="0078056B">
        <w:t xml:space="preserve">public events held by the University for 2021-22. In terms of the total attendees to events, the University of Birmingham ranks </w:t>
      </w:r>
      <w:r w:rsidR="003541E0" w:rsidRPr="0078056B">
        <w:rPr>
          <w:b/>
          <w:bCs/>
          <w:color w:val="06357A" w:themeColor="accent1"/>
        </w:rPr>
        <w:t>25</w:t>
      </w:r>
      <w:r w:rsidR="003541E0" w:rsidRPr="0078056B">
        <w:rPr>
          <w:b/>
          <w:bCs/>
          <w:color w:val="06357A" w:themeColor="accent1"/>
          <w:vertAlign w:val="superscript"/>
        </w:rPr>
        <w:t>th</w:t>
      </w:r>
      <w:r w:rsidR="003541E0" w:rsidRPr="0078056B">
        <w:rPr>
          <w:b/>
          <w:bCs/>
          <w:color w:val="06357A" w:themeColor="accent1"/>
        </w:rPr>
        <w:t xml:space="preserve"> </w:t>
      </w:r>
      <w:r w:rsidR="003541E0" w:rsidRPr="0078056B">
        <w:t xml:space="preserve">out of a total of 220 UK higher education providers (HESA, </w:t>
      </w:r>
      <w:r w:rsidR="00E87F38" w:rsidRPr="0078056B">
        <w:t>2023i</w:t>
      </w:r>
      <w:r w:rsidR="003541E0" w:rsidRPr="0078056B">
        <w:t>). The vast majority (</w:t>
      </w:r>
      <w:r w:rsidR="003541E0" w:rsidRPr="0078056B">
        <w:rPr>
          <w:b/>
          <w:bCs/>
          <w:color w:val="06357A" w:themeColor="text2"/>
        </w:rPr>
        <w:t>89%</w:t>
      </w:r>
      <w:r w:rsidR="003541E0" w:rsidRPr="0078056B">
        <w:t xml:space="preserve">) of the University’s cultural attendees </w:t>
      </w:r>
      <w:r w:rsidR="0067357F" w:rsidRPr="0078056B">
        <w:t xml:space="preserve">engaged with </w:t>
      </w:r>
      <w:r w:rsidR="003541E0" w:rsidRPr="0078056B">
        <w:t xml:space="preserve">free events held by the University. Considering the type of events, </w:t>
      </w:r>
      <w:r w:rsidR="003541E0" w:rsidRPr="0078056B">
        <w:rPr>
          <w:b/>
          <w:bCs/>
          <w:color w:val="06357A" w:themeColor="accent1"/>
        </w:rPr>
        <w:t>479,348</w:t>
      </w:r>
      <w:r w:rsidR="003541E0" w:rsidRPr="0078056B">
        <w:rPr>
          <w:color w:val="06357A" w:themeColor="accent1"/>
        </w:rPr>
        <w:t xml:space="preserve"> </w:t>
      </w:r>
      <w:r w:rsidR="003541E0" w:rsidRPr="0078056B">
        <w:t xml:space="preserve">visitors attended exhibitions at galleries and museums, while a further </w:t>
      </w:r>
      <w:r w:rsidR="003541E0" w:rsidRPr="0078056B">
        <w:rPr>
          <w:b/>
          <w:bCs/>
          <w:color w:val="06357A" w:themeColor="accent1"/>
        </w:rPr>
        <w:t>40,849</w:t>
      </w:r>
      <w:r w:rsidR="003541E0" w:rsidRPr="0078056B">
        <w:rPr>
          <w:color w:val="06357A" w:themeColor="accent1"/>
        </w:rPr>
        <w:t xml:space="preserve"> </w:t>
      </w:r>
      <w:r w:rsidR="003541E0" w:rsidRPr="0078056B">
        <w:t xml:space="preserve">attended performance arts events, </w:t>
      </w:r>
      <w:r w:rsidR="003541E0" w:rsidRPr="0078056B">
        <w:rPr>
          <w:b/>
          <w:bCs/>
          <w:color w:val="06357A" w:themeColor="accent1"/>
        </w:rPr>
        <w:t>24,742</w:t>
      </w:r>
      <w:r w:rsidR="003541E0" w:rsidRPr="0078056B">
        <w:t xml:space="preserve"> attended public lectures, and </w:t>
      </w:r>
      <w:r w:rsidR="003541E0" w:rsidRPr="0078056B">
        <w:rPr>
          <w:b/>
          <w:bCs/>
          <w:color w:val="06357A" w:themeColor="text2"/>
        </w:rPr>
        <w:t xml:space="preserve">6,564 </w:t>
      </w:r>
      <w:r w:rsidR="003541E0" w:rsidRPr="0078056B">
        <w:t>attended museum education</w:t>
      </w:r>
      <w:r w:rsidR="003541E0" w:rsidRPr="0078056B">
        <w:rPr>
          <w:rStyle w:val="FootnoteReference"/>
        </w:rPr>
        <w:footnoteReference w:id="92"/>
      </w:r>
      <w:r w:rsidR="003541E0" w:rsidRPr="0078056B">
        <w:t xml:space="preserve"> events. There were a further </w:t>
      </w:r>
      <w:r w:rsidR="003541E0" w:rsidRPr="0078056B">
        <w:rPr>
          <w:b/>
          <w:bCs/>
          <w:color w:val="06357A" w:themeColor="accent1"/>
        </w:rPr>
        <w:t>318,314</w:t>
      </w:r>
      <w:r w:rsidR="003541E0" w:rsidRPr="0078056B">
        <w:rPr>
          <w:color w:val="06357A" w:themeColor="accent1"/>
        </w:rPr>
        <w:t xml:space="preserve"> </w:t>
      </w:r>
      <w:r w:rsidR="003541E0" w:rsidRPr="0078056B">
        <w:t>attendees from ‘other’ event types, which can include viewing and listening figures for television and radio programs produced by the University of Birmingham, and downloads from their websites.</w:t>
      </w:r>
      <w:r w:rsidR="00C76880" w:rsidRPr="0078056B">
        <w:t xml:space="preserve"> In total, at least </w:t>
      </w:r>
      <w:r w:rsidR="00C76880" w:rsidRPr="0078056B">
        <w:rPr>
          <w:b/>
          <w:bCs/>
          <w:color w:val="06357A" w:themeColor="text2"/>
        </w:rPr>
        <w:t>921</w:t>
      </w:r>
      <w:r w:rsidR="00C76880" w:rsidRPr="0078056B">
        <w:t xml:space="preserve"> academic staff days were </w:t>
      </w:r>
      <w:r w:rsidR="0067357F" w:rsidRPr="0078056B">
        <w:t xml:space="preserve">committed </w:t>
      </w:r>
      <w:r w:rsidR="00D31D12" w:rsidRPr="0078056B">
        <w:t xml:space="preserve">in 2021-22 </w:t>
      </w:r>
      <w:r w:rsidR="00C76880" w:rsidRPr="0078056B">
        <w:t>to deliver these events.</w:t>
      </w:r>
    </w:p>
    <w:p w14:paraId="44A8C2DB" w14:textId="24C130A3" w:rsidR="003541E0" w:rsidRPr="0078056B" w:rsidRDefault="003541E0" w:rsidP="003541E0">
      <w:r w:rsidRPr="0078056B">
        <w:t xml:space="preserve">The total number of attendees </w:t>
      </w:r>
      <w:r w:rsidR="00C76880" w:rsidRPr="0078056B">
        <w:t xml:space="preserve">to events </w:t>
      </w:r>
      <w:r w:rsidRPr="0078056B">
        <w:t xml:space="preserve">can also be broken down by venue, with </w:t>
      </w:r>
      <w:r w:rsidRPr="0078056B">
        <w:rPr>
          <w:b/>
          <w:bCs/>
          <w:color w:val="06357A" w:themeColor="accent1"/>
        </w:rPr>
        <w:t>287,530</w:t>
      </w:r>
      <w:r w:rsidRPr="0078056B">
        <w:rPr>
          <w:color w:val="06357A" w:themeColor="accent1"/>
        </w:rPr>
        <w:t xml:space="preserve"> </w:t>
      </w:r>
      <w:r w:rsidR="00C76880" w:rsidRPr="0078056B">
        <w:t xml:space="preserve">attendees associated with </w:t>
      </w:r>
      <w:r w:rsidRPr="0078056B">
        <w:t xml:space="preserve">the Cadbury Research Library, </w:t>
      </w:r>
      <w:r w:rsidR="00EA75CA" w:rsidRPr="0078056B">
        <w:rPr>
          <w:b/>
          <w:bCs/>
          <w:color w:val="06357A" w:themeColor="accent1"/>
        </w:rPr>
        <w:t>173,292</w:t>
      </w:r>
      <w:r w:rsidR="00EA75CA" w:rsidRPr="0078056B">
        <w:rPr>
          <w:color w:val="06357A" w:themeColor="accent1"/>
        </w:rPr>
        <w:t xml:space="preserve"> </w:t>
      </w:r>
      <w:r w:rsidR="00C76880" w:rsidRPr="0078056B">
        <w:t>with</w:t>
      </w:r>
      <w:r w:rsidR="00EA75CA" w:rsidRPr="0078056B">
        <w:t xml:space="preserve"> the Exchange and the Research and Cultural Collections, </w:t>
      </w:r>
      <w:r w:rsidR="00EA75CA" w:rsidRPr="0078056B">
        <w:rPr>
          <w:b/>
          <w:bCs/>
          <w:color w:val="06357A" w:themeColor="accent1"/>
        </w:rPr>
        <w:t>79,479</w:t>
      </w:r>
      <w:r w:rsidR="00EA75CA" w:rsidRPr="0078056B">
        <w:rPr>
          <w:color w:val="06357A" w:themeColor="accent1"/>
        </w:rPr>
        <w:t xml:space="preserve"> </w:t>
      </w:r>
      <w:r w:rsidR="00C76880" w:rsidRPr="0078056B">
        <w:t>with</w:t>
      </w:r>
      <w:r w:rsidR="00EA75CA" w:rsidRPr="0078056B">
        <w:t xml:space="preserve"> Winterbourne House and Gardens, </w:t>
      </w:r>
      <w:r w:rsidR="00EA75CA" w:rsidRPr="0078056B">
        <w:rPr>
          <w:b/>
          <w:bCs/>
          <w:color w:val="06357A" w:themeColor="accent1"/>
        </w:rPr>
        <w:t>63,800</w:t>
      </w:r>
      <w:r w:rsidR="00EA75CA" w:rsidRPr="0078056B">
        <w:rPr>
          <w:color w:val="06357A" w:themeColor="accent1"/>
        </w:rPr>
        <w:t xml:space="preserve"> </w:t>
      </w:r>
      <w:r w:rsidR="00EA75CA" w:rsidRPr="0078056B">
        <w:t xml:space="preserve">with University Music, </w:t>
      </w:r>
      <w:r w:rsidRPr="0078056B">
        <w:rPr>
          <w:b/>
          <w:bCs/>
          <w:color w:val="06357A" w:themeColor="accent1"/>
        </w:rPr>
        <w:t>61,857</w:t>
      </w:r>
      <w:r w:rsidRPr="0078056B">
        <w:rPr>
          <w:color w:val="06357A" w:themeColor="accent1"/>
        </w:rPr>
        <w:t xml:space="preserve"> </w:t>
      </w:r>
      <w:r w:rsidR="00C76880" w:rsidRPr="0078056B">
        <w:t>with the</w:t>
      </w:r>
      <w:r w:rsidRPr="0078056B">
        <w:t xml:space="preserve"> Lapworth Museum of Geology</w:t>
      </w:r>
      <w:r w:rsidR="00EA75CA" w:rsidRPr="0078056B">
        <w:t>,</w:t>
      </w:r>
      <w:r w:rsidR="002C7DD8" w:rsidRPr="0078056B">
        <w:t xml:space="preserve"> and</w:t>
      </w:r>
      <w:r w:rsidR="00EA75CA" w:rsidRPr="0078056B">
        <w:t xml:space="preserve"> </w:t>
      </w:r>
      <w:r w:rsidRPr="0078056B">
        <w:rPr>
          <w:b/>
          <w:bCs/>
          <w:color w:val="06357A" w:themeColor="accent1"/>
        </w:rPr>
        <w:t>30,113</w:t>
      </w:r>
      <w:r w:rsidRPr="0078056B">
        <w:rPr>
          <w:color w:val="06357A" w:themeColor="accent1"/>
        </w:rPr>
        <w:t xml:space="preserve"> </w:t>
      </w:r>
      <w:r w:rsidR="00C76880" w:rsidRPr="0078056B">
        <w:t>with the</w:t>
      </w:r>
      <w:r w:rsidRPr="0078056B">
        <w:t xml:space="preserve"> Barber Institute of Fine Arts (</w:t>
      </w:r>
      <w:r w:rsidRPr="0078056B">
        <w:rPr>
          <w:b/>
          <w:bCs/>
          <w:color w:val="06357A" w:themeColor="accent1"/>
        </w:rPr>
        <w:t>3.5%</w:t>
      </w:r>
      <w:r w:rsidRPr="0078056B">
        <w:t xml:space="preserve">). Lastly, the Festival of Social Science attracted </w:t>
      </w:r>
      <w:r w:rsidRPr="0078056B">
        <w:rPr>
          <w:b/>
          <w:bCs/>
          <w:color w:val="06357A" w:themeColor="accent1"/>
        </w:rPr>
        <w:t>19,315</w:t>
      </w:r>
      <w:r w:rsidRPr="0078056B">
        <w:rPr>
          <w:color w:val="06357A" w:themeColor="accent1"/>
        </w:rPr>
        <w:t xml:space="preserve"> </w:t>
      </w:r>
      <w:r w:rsidRPr="0078056B">
        <w:t>visitors.</w:t>
      </w:r>
    </w:p>
    <w:p w14:paraId="2D48F0FA" w14:textId="681B1300" w:rsidR="00B914F1" w:rsidRPr="0078056B" w:rsidRDefault="00B914F1" w:rsidP="003541E0">
      <w:r w:rsidRPr="0078056B">
        <w:t xml:space="preserve">To some extent, these figures </w:t>
      </w:r>
      <w:r w:rsidR="00625FAC" w:rsidRPr="0078056B">
        <w:t>are likely to</w:t>
      </w:r>
      <w:r w:rsidRPr="0078056B">
        <w:t xml:space="preserve"> </w:t>
      </w:r>
      <w:r w:rsidR="00790847" w:rsidRPr="0078056B">
        <w:t xml:space="preserve">heavily </w:t>
      </w:r>
      <w:r w:rsidRPr="0078056B">
        <w:t xml:space="preserve">understate the University’s cultural impact, due to the impact of the COVID-19 pandemic on visitor numbers in 2021-22. For example, there were </w:t>
      </w:r>
      <w:r w:rsidRPr="0078056B">
        <w:lastRenderedPageBreak/>
        <w:t xml:space="preserve">over </w:t>
      </w:r>
      <w:r w:rsidRPr="0078056B">
        <w:rPr>
          <w:b/>
          <w:bCs/>
          <w:color w:val="06357A" w:themeColor="text2"/>
        </w:rPr>
        <w:t xml:space="preserve">1 million </w:t>
      </w:r>
      <w:r w:rsidRPr="0078056B">
        <w:t xml:space="preserve">attendees to public events hosted by the University of Birmingham in 2022-23, with over </w:t>
      </w:r>
      <w:r w:rsidRPr="0078056B">
        <w:rPr>
          <w:b/>
          <w:bCs/>
          <w:color w:val="06357A" w:themeColor="text2"/>
        </w:rPr>
        <w:t xml:space="preserve">3,900 </w:t>
      </w:r>
      <w:r w:rsidRPr="0078056B">
        <w:t>academic staff days used to deliver those events.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3541E0" w:rsidRPr="0078056B" w14:paraId="4F10075A" w14:textId="77777777" w:rsidTr="00A73D0E">
        <w:trPr>
          <w:cantSplit/>
        </w:trPr>
        <w:tc>
          <w:tcPr>
            <w:tcW w:w="0" w:type="auto"/>
          </w:tcPr>
          <w:p w14:paraId="666BC276" w14:textId="4B34C039" w:rsidR="003541E0" w:rsidRPr="0078056B" w:rsidRDefault="00625FAC" w:rsidP="00A73D0E">
            <w:pPr>
              <w:pStyle w:val="FigureTitle"/>
            </w:pPr>
            <w:bookmarkStart w:id="402" w:name="_Ref162513708"/>
            <w:bookmarkStart w:id="403" w:name="_Toc168652219"/>
            <w:r w:rsidRPr="0078056B">
              <w:t>Number of attendees to public events at the University of Birmingham in 2021-22, by chargeable and free events</w:t>
            </w:r>
            <w:bookmarkEnd w:id="402"/>
            <w:bookmarkEnd w:id="403"/>
          </w:p>
        </w:tc>
      </w:tr>
      <w:tr w:rsidR="003541E0" w:rsidRPr="0078056B" w14:paraId="7E7EF334" w14:textId="77777777" w:rsidTr="00A73D0E">
        <w:trPr>
          <w:cantSplit/>
        </w:trPr>
        <w:tc>
          <w:tcPr>
            <w:tcW w:w="0" w:type="auto"/>
          </w:tcPr>
          <w:p w14:paraId="34F6E369" w14:textId="77777777" w:rsidR="003541E0" w:rsidRPr="0078056B" w:rsidRDefault="003541E0" w:rsidP="00A73D0E">
            <w:pPr>
              <w:pStyle w:val="PlaceholderText"/>
            </w:pPr>
            <w:r w:rsidRPr="0078056B">
              <w:rPr>
                <w:noProof/>
              </w:rPr>
              <w:drawing>
                <wp:inline distT="0" distB="0" distL="0" distR="0" wp14:anchorId="79138675" wp14:editId="7D1A2A57">
                  <wp:extent cx="5615940" cy="3122865"/>
                  <wp:effectExtent l="0" t="0" r="3810" b="1905"/>
                  <wp:docPr id="659401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615940" cy="3122865"/>
                          </a:xfrm>
                          <a:prstGeom prst="rect">
                            <a:avLst/>
                          </a:prstGeom>
                          <a:noFill/>
                          <a:ln>
                            <a:noFill/>
                          </a:ln>
                        </pic:spPr>
                      </pic:pic>
                    </a:graphicData>
                  </a:graphic>
                </wp:inline>
              </w:drawing>
            </w:r>
          </w:p>
        </w:tc>
      </w:tr>
      <w:tr w:rsidR="003541E0" w:rsidRPr="0078056B" w14:paraId="6191807E" w14:textId="77777777" w:rsidTr="00A73D0E">
        <w:trPr>
          <w:cantSplit/>
        </w:trPr>
        <w:tc>
          <w:tcPr>
            <w:tcW w:w="0" w:type="auto"/>
          </w:tcPr>
          <w:p w14:paraId="67451DB4" w14:textId="32AE2F13" w:rsidR="003541E0" w:rsidRPr="0078056B" w:rsidRDefault="003541E0" w:rsidP="00A73D0E">
            <w:pPr>
              <w:pStyle w:val="TableSource"/>
            </w:pPr>
            <w:r w:rsidRPr="0078056B">
              <w:t xml:space="preserve">Source: London Economics’ analysis based </w:t>
            </w:r>
            <w:r w:rsidR="007F2A6E" w:rsidRPr="0078056B">
              <w:t xml:space="preserve">on </w:t>
            </w:r>
            <w:r w:rsidRPr="0078056B">
              <w:t xml:space="preserve">University of Birmingham HESA data (HESA, </w:t>
            </w:r>
            <w:r w:rsidR="00E87F38" w:rsidRPr="0078056B">
              <w:t>2023i</w:t>
            </w:r>
            <w:r w:rsidRPr="0078056B">
              <w:t>).</w:t>
            </w:r>
          </w:p>
        </w:tc>
      </w:tr>
    </w:tbl>
    <w:p w14:paraId="3D3E4C74" w14:textId="0B5F4536" w:rsidR="00C75D45" w:rsidRPr="0078056B" w:rsidRDefault="00C75D45" w:rsidP="00A91497">
      <w:pPr>
        <w:pStyle w:val="Heading2"/>
      </w:pPr>
      <w:bookmarkStart w:id="404" w:name="_Toc168652144"/>
      <w:r w:rsidRPr="0078056B">
        <w:t>Staff volunteering</w:t>
      </w:r>
      <w:bookmarkEnd w:id="404"/>
    </w:p>
    <w:p w14:paraId="61DCC8A0" w14:textId="77777777" w:rsidR="00C75D45" w:rsidRPr="0078056B" w:rsidRDefault="00C75D45" w:rsidP="00C75D45">
      <w:r w:rsidRPr="0078056B">
        <w:t xml:space="preserve">The University of Birmingham’s staff generate significant social impact through their work volunteering in the local community. To assess this impact, the University of Birmingham ran an online survey of its staff in January and February 2024 to determine the number of hours spent volunteering. The survey achieved a total of </w:t>
      </w:r>
      <w:r w:rsidRPr="0078056B">
        <w:rPr>
          <w:b/>
          <w:bCs/>
          <w:color w:val="06357A" w:themeColor="text2"/>
        </w:rPr>
        <w:t>438</w:t>
      </w:r>
      <w:r w:rsidRPr="0078056B">
        <w:rPr>
          <w:b/>
          <w:bCs/>
        </w:rPr>
        <w:t xml:space="preserve"> </w:t>
      </w:r>
      <w:r w:rsidRPr="0078056B">
        <w:t xml:space="preserve">valid responses, which represents approximately </w:t>
      </w:r>
      <w:r w:rsidRPr="0078056B">
        <w:rPr>
          <w:b/>
          <w:bCs/>
          <w:color w:val="06357A" w:themeColor="text2"/>
        </w:rPr>
        <w:t>4%</w:t>
      </w:r>
      <w:r w:rsidRPr="0078056B">
        <w:rPr>
          <w:b/>
          <w:bCs/>
        </w:rPr>
        <w:t xml:space="preserve"> </w:t>
      </w:r>
      <w:r w:rsidRPr="0078056B">
        <w:t>of the University’s staff.</w:t>
      </w:r>
      <w:r w:rsidRPr="0078056B">
        <w:rPr>
          <w:rStyle w:val="FootnoteReference"/>
        </w:rPr>
        <w:footnoteReference w:id="93"/>
      </w:r>
    </w:p>
    <w:p w14:paraId="6E0984A7" w14:textId="56F01498" w:rsidR="00C75D45" w:rsidRPr="0078056B" w:rsidRDefault="00C75D45" w:rsidP="00C75D45">
      <w:r w:rsidRPr="0078056B">
        <w:t xml:space="preserve">Of those respondents, approximately </w:t>
      </w:r>
      <w:r w:rsidRPr="0078056B">
        <w:rPr>
          <w:b/>
          <w:bCs/>
          <w:color w:val="06357A" w:themeColor="text2"/>
        </w:rPr>
        <w:t xml:space="preserve">74% </w:t>
      </w:r>
      <w:r w:rsidRPr="0078056B">
        <w:t xml:space="preserve">volunteered regularly, with staff who volunteered volunteering an average of </w:t>
      </w:r>
      <w:r w:rsidRPr="0078056B">
        <w:rPr>
          <w:b/>
          <w:bCs/>
          <w:color w:val="06357A" w:themeColor="text2"/>
        </w:rPr>
        <w:t>10</w:t>
      </w:r>
      <w:r w:rsidRPr="0078056B">
        <w:rPr>
          <w:b/>
          <w:bCs/>
        </w:rPr>
        <w:t xml:space="preserve"> </w:t>
      </w:r>
      <w:r w:rsidRPr="0078056B">
        <w:t xml:space="preserve">hours per month. In total, the respondents to the survey are </w:t>
      </w:r>
      <w:r w:rsidR="00F26B60" w:rsidRPr="0078056B">
        <w:t xml:space="preserve">estimated </w:t>
      </w:r>
      <w:r w:rsidRPr="0078056B">
        <w:t xml:space="preserve">to volunteer around </w:t>
      </w:r>
      <w:r w:rsidRPr="0078056B">
        <w:rPr>
          <w:b/>
          <w:bCs/>
          <w:color w:val="06357A" w:themeColor="text2"/>
        </w:rPr>
        <w:t xml:space="preserve">39,180 </w:t>
      </w:r>
      <w:r w:rsidRPr="0078056B">
        <w:t>hours of their time each year. This figure is likely to be a vast underestimate of the total volunteering hours by the University’s staff, given the relatively low response rate to the survey.</w:t>
      </w:r>
      <w:r w:rsidRPr="0078056B">
        <w:rPr>
          <w:rStyle w:val="FootnoteReference"/>
        </w:rPr>
        <w:footnoteReference w:id="94"/>
      </w:r>
    </w:p>
    <w:p w14:paraId="347C5784" w14:textId="6AD37FE0" w:rsidR="00C75D45" w:rsidRPr="0078056B" w:rsidRDefault="00C75D45" w:rsidP="00C75D45">
      <w:r w:rsidRPr="0078056B">
        <w:t xml:space="preserve">Staff volunteered in a range of roles and organisations, with </w:t>
      </w:r>
      <w:r w:rsidRPr="0078056B">
        <w:rPr>
          <w:b/>
          <w:bCs/>
          <w:color w:val="06357A" w:themeColor="text2"/>
        </w:rPr>
        <w:t>31%</w:t>
      </w:r>
      <w:r w:rsidRPr="0078056B">
        <w:rPr>
          <w:b/>
          <w:bCs/>
        </w:rPr>
        <w:t xml:space="preserve"> </w:t>
      </w:r>
      <w:r w:rsidRPr="0078056B">
        <w:t xml:space="preserve">of volunteers volunteering at a charity; </w:t>
      </w:r>
      <w:r w:rsidRPr="0078056B">
        <w:rPr>
          <w:b/>
          <w:bCs/>
          <w:color w:val="06357A" w:themeColor="text2"/>
        </w:rPr>
        <w:t>18%</w:t>
      </w:r>
      <w:r w:rsidRPr="0078056B">
        <w:rPr>
          <w:b/>
          <w:bCs/>
        </w:rPr>
        <w:t xml:space="preserve"> </w:t>
      </w:r>
      <w:r w:rsidRPr="0078056B">
        <w:t xml:space="preserve">volunteering as a school governor, </w:t>
      </w:r>
      <w:r w:rsidRPr="0078056B">
        <w:rPr>
          <w:b/>
          <w:bCs/>
          <w:color w:val="06357A" w:themeColor="text2"/>
        </w:rPr>
        <w:t>17%</w:t>
      </w:r>
      <w:r w:rsidRPr="0078056B">
        <w:t xml:space="preserve"> as a trustee of a charity, </w:t>
      </w:r>
      <w:r w:rsidRPr="0078056B">
        <w:rPr>
          <w:b/>
          <w:bCs/>
          <w:color w:val="06357A" w:themeColor="text2"/>
        </w:rPr>
        <w:t>15%</w:t>
      </w:r>
      <w:r w:rsidRPr="0078056B">
        <w:rPr>
          <w:b/>
          <w:bCs/>
        </w:rPr>
        <w:t xml:space="preserve"> </w:t>
      </w:r>
      <w:r w:rsidRPr="0078056B">
        <w:t xml:space="preserve">in a sports club, </w:t>
      </w:r>
      <w:r w:rsidRPr="0078056B">
        <w:rPr>
          <w:b/>
          <w:bCs/>
          <w:color w:val="06357A" w:themeColor="text2"/>
        </w:rPr>
        <w:t>14%</w:t>
      </w:r>
      <w:r w:rsidRPr="0078056B">
        <w:rPr>
          <w:b/>
          <w:bCs/>
        </w:rPr>
        <w:t xml:space="preserve"> </w:t>
      </w:r>
      <w:r w:rsidRPr="0078056B">
        <w:t xml:space="preserve">in a youth club and </w:t>
      </w:r>
      <w:r w:rsidRPr="0078056B">
        <w:rPr>
          <w:b/>
          <w:bCs/>
          <w:color w:val="06357A" w:themeColor="text2"/>
        </w:rPr>
        <w:t>14%</w:t>
      </w:r>
      <w:r w:rsidRPr="0078056B">
        <w:rPr>
          <w:b/>
          <w:bCs/>
        </w:rPr>
        <w:t xml:space="preserve"> </w:t>
      </w:r>
      <w:r w:rsidRPr="0078056B">
        <w:t>in a faith-based group.</w:t>
      </w:r>
      <w:r w:rsidR="00E063DB" w:rsidRPr="0078056B">
        <w:rPr>
          <w:rStyle w:val="FootnoteReference"/>
        </w:rPr>
        <w:footnoteReference w:id="95"/>
      </w:r>
    </w:p>
    <w:p w14:paraId="0B76A46E" w14:textId="0AA0287F" w:rsidR="00A91497" w:rsidRPr="0078056B" w:rsidRDefault="00A91497" w:rsidP="00A91497">
      <w:pPr>
        <w:pStyle w:val="Heading2"/>
      </w:pPr>
      <w:bookmarkStart w:id="405" w:name="_Toc168652145"/>
      <w:r w:rsidRPr="0078056B">
        <w:lastRenderedPageBreak/>
        <w:t>Environmental impact</w:t>
      </w:r>
      <w:bookmarkEnd w:id="405"/>
    </w:p>
    <w:p w14:paraId="6C809E6B" w14:textId="3139A06E" w:rsidR="00A91497" w:rsidRPr="0078056B" w:rsidRDefault="00A91497" w:rsidP="00A91497">
      <w:r w:rsidRPr="0078056B">
        <w:t>The University of Birmingham is one of the UK’s largest HEIs, ranking 7</w:t>
      </w:r>
      <w:r w:rsidRPr="0078056B">
        <w:rPr>
          <w:vertAlign w:val="superscript"/>
        </w:rPr>
        <w:t>th</w:t>
      </w:r>
      <w:r w:rsidRPr="0078056B">
        <w:t xml:space="preserve"> in terms of site area and 14</w:t>
      </w:r>
      <w:r w:rsidRPr="0078056B">
        <w:rPr>
          <w:vertAlign w:val="superscript"/>
        </w:rPr>
        <w:t>th</w:t>
      </w:r>
      <w:r w:rsidRPr="0078056B">
        <w:t xml:space="preserve"> in terms of number of buildings in 2021-22 (HESA, </w:t>
      </w:r>
      <w:r w:rsidR="00E87F38" w:rsidRPr="0078056B">
        <w:t>2023g</w:t>
      </w:r>
      <w:r w:rsidRPr="0078056B">
        <w:t>). Consequently, the University of Birmingham has substantial carbon emissions, with the 7</w:t>
      </w:r>
      <w:r w:rsidRPr="0078056B">
        <w:rPr>
          <w:vertAlign w:val="superscript"/>
        </w:rPr>
        <w:t>th</w:t>
      </w:r>
      <w:r w:rsidRPr="0078056B">
        <w:t xml:space="preserve"> largest carbon emissions of all UK HEIs, based on Scope 1 and 2 carbon emissions (HESA, </w:t>
      </w:r>
      <w:r w:rsidR="00E87F38" w:rsidRPr="0078056B">
        <w:t>2023h</w:t>
      </w:r>
      <w:r w:rsidRPr="0078056B">
        <w:t>).</w:t>
      </w:r>
    </w:p>
    <w:p w14:paraId="319B4E29" w14:textId="0A4A94BF" w:rsidR="00751611" w:rsidRPr="0078056B" w:rsidRDefault="00A91497" w:rsidP="00F036D0">
      <w:r w:rsidRPr="0078056B">
        <w:t>However, the University of Birmingham is making active efforts to reduce its carbon emissions. The University aims to reach net zero carbon emissions for Scope 1 and 2 by 2035 and for Scope 3 by 2045 (University of Birmingham, 2024).</w:t>
      </w:r>
      <w:r w:rsidRPr="0078056B">
        <w:rPr>
          <w:rStyle w:val="FootnoteReference"/>
        </w:rPr>
        <w:footnoteReference w:id="96"/>
      </w:r>
      <w:r w:rsidRPr="0078056B">
        <w:t xml:space="preserve"> The University’s total carbon emissions increased by </w:t>
      </w:r>
      <w:r w:rsidRPr="0078056B">
        <w:rPr>
          <w:b/>
          <w:bCs/>
          <w:color w:val="06357A" w:themeColor="text2"/>
        </w:rPr>
        <w:t>5%</w:t>
      </w:r>
      <w:r w:rsidRPr="0078056B">
        <w:t xml:space="preserve"> from 2020-21 to 2021-22, rising from </w:t>
      </w:r>
      <w:r w:rsidRPr="0078056B">
        <w:rPr>
          <w:b/>
          <w:bCs/>
          <w:color w:val="06357A" w:themeColor="text2"/>
        </w:rPr>
        <w:t>316,239</w:t>
      </w:r>
      <w:r w:rsidRPr="0078056B">
        <w:t xml:space="preserve"> tonnes of carbon dioxide equivalent (tCO2e) to </w:t>
      </w:r>
      <w:r w:rsidRPr="0078056B">
        <w:rPr>
          <w:b/>
          <w:bCs/>
          <w:color w:val="06357A" w:themeColor="text2"/>
        </w:rPr>
        <w:t>330,991</w:t>
      </w:r>
      <w:r w:rsidRPr="0078056B">
        <w:rPr>
          <w:b/>
          <w:bCs/>
        </w:rPr>
        <w:t xml:space="preserve"> </w:t>
      </w:r>
      <w:r w:rsidRPr="0078056B">
        <w:t xml:space="preserve">tCO2e (Hoare Lea, 2023). However, in that period, the University’s Scope 1 and 2 carbon emissions (i.e. those over which the University has the most control) fell by </w:t>
      </w:r>
      <w:r w:rsidRPr="0078056B">
        <w:rPr>
          <w:b/>
          <w:bCs/>
          <w:color w:val="06357A" w:themeColor="text2"/>
        </w:rPr>
        <w:t>11%</w:t>
      </w:r>
      <w:r w:rsidRPr="0078056B">
        <w:t xml:space="preserve">. In particular, the University substantially reduced its emissions associated with natural gas usage, with associated emissions falling by </w:t>
      </w:r>
      <w:r w:rsidRPr="0078056B">
        <w:rPr>
          <w:b/>
          <w:bCs/>
          <w:color w:val="06357A" w:themeColor="text2"/>
        </w:rPr>
        <w:t>18%</w:t>
      </w:r>
      <w:r w:rsidRPr="0078056B">
        <w:t>.</w:t>
      </w:r>
      <w:r w:rsidR="001B223C" w:rsidRPr="0078056B">
        <w:t xml:space="preserve"> In addition, HESA data suggests that the University’s Scope 1 and 2 carbon emissions </w:t>
      </w:r>
      <w:r w:rsidR="001B223C" w:rsidRPr="0078056B">
        <w:rPr>
          <w:i/>
          <w:iCs/>
        </w:rPr>
        <w:t xml:space="preserve">fell </w:t>
      </w:r>
      <w:r w:rsidR="001B223C" w:rsidRPr="0078056B">
        <w:t xml:space="preserve">by </w:t>
      </w:r>
      <w:r w:rsidR="001B223C" w:rsidRPr="0078056B">
        <w:rPr>
          <w:b/>
          <w:bCs/>
          <w:color w:val="06357A" w:themeColor="text2"/>
        </w:rPr>
        <w:t>27%</w:t>
      </w:r>
      <w:r w:rsidR="001B223C" w:rsidRPr="0078056B">
        <w:rPr>
          <w:b/>
          <w:bCs/>
        </w:rPr>
        <w:t xml:space="preserve"> </w:t>
      </w:r>
      <w:r w:rsidR="001B223C" w:rsidRPr="0078056B">
        <w:t>between 2005 and 2021-22</w:t>
      </w:r>
      <w:r w:rsidRPr="0078056B">
        <w:t xml:space="preserve"> </w:t>
      </w:r>
      <w:r w:rsidR="001B223C" w:rsidRPr="0078056B">
        <w:t xml:space="preserve">(HESA, </w:t>
      </w:r>
      <w:r w:rsidR="00E87F38" w:rsidRPr="0078056B">
        <w:t>2023h</w:t>
      </w:r>
      <w:r w:rsidR="001B223C" w:rsidRPr="0078056B">
        <w:t xml:space="preserve">). </w:t>
      </w:r>
      <w:r w:rsidRPr="0078056B">
        <w:t xml:space="preserve">The overall increase in emissions </w:t>
      </w:r>
      <w:r w:rsidR="001B223C" w:rsidRPr="0078056B">
        <w:t xml:space="preserve">between 2020-21 and 2021-22 </w:t>
      </w:r>
      <w:r w:rsidRPr="0078056B">
        <w:t>was driven by Scope 3 carbon emissions, which rose due to increased procurement expenditure and increased emissions from international students visiting their home countries (Hoare Lea, 2023).</w:t>
      </w:r>
      <w:r w:rsidR="001B223C" w:rsidRPr="0078056B">
        <w:t xml:space="preserve"> It is also important to note that the baseline year for this comparison was 2020-21, where carbon emissions were likely to be lower due to the impact of the COVID-19 pandemic.</w:t>
      </w:r>
      <w:r w:rsidR="00751611" w:rsidRPr="0078056B">
        <w:br w:type="page"/>
      </w:r>
    </w:p>
    <w:p w14:paraId="7528F726" w14:textId="1C5FB10B" w:rsidR="00AF18BB" w:rsidRPr="0078056B" w:rsidRDefault="00AF18BB" w:rsidP="00AF18BB">
      <w:pPr>
        <w:pStyle w:val="Heading1"/>
      </w:pPr>
      <w:bookmarkStart w:id="406" w:name="_Ref162529331"/>
      <w:bookmarkStart w:id="407" w:name="_Toc168652146"/>
      <w:r w:rsidRPr="0078056B">
        <w:rPr>
          <w:rStyle w:val="HeaderRepeat"/>
        </w:rPr>
        <w:lastRenderedPageBreak/>
        <w:t>The total economic impact of the University of Birmingham on the UK economy in 2021-22</w:t>
      </w:r>
      <w:bookmarkEnd w:id="406"/>
      <w:bookmarkEnd w:id="407"/>
    </w:p>
    <w:p w14:paraId="33028EF0" w14:textId="1879A0C1" w:rsidR="00E13125" w:rsidRPr="0078056B" w:rsidRDefault="00E13125" w:rsidP="00E13125">
      <w:pPr>
        <w:spacing w:before="120"/>
      </w:pPr>
      <w:bookmarkStart w:id="408" w:name="_Hlk161736419"/>
      <w:r w:rsidRPr="0078056B">
        <w:t xml:space="preserve">The total economic impact on the UK economy associated with the University of Birmingham’s activities in the 2021-22 academic year was estimated at approximately </w:t>
      </w:r>
      <w:r w:rsidRPr="0078056B">
        <w:rPr>
          <w:b/>
          <w:bCs/>
          <w:color w:val="06357A"/>
        </w:rPr>
        <w:t>£4.4 billion</w:t>
      </w:r>
      <w:r w:rsidRPr="0078056B">
        <w:rPr>
          <w:color w:val="06357A"/>
        </w:rPr>
        <w:t xml:space="preserve"> </w:t>
      </w:r>
      <w:r w:rsidRPr="0078056B">
        <w:t xml:space="preserve">(see </w:t>
      </w:r>
      <w:r w:rsidRPr="0078056B">
        <w:fldChar w:fldCharType="begin"/>
      </w:r>
      <w:r w:rsidRPr="0078056B">
        <w:instrText xml:space="preserve"> REF _Ref161674529 \r \h  \* MERGEFORMAT </w:instrText>
      </w:r>
      <w:r w:rsidRPr="0078056B">
        <w:fldChar w:fldCharType="separate"/>
      </w:r>
      <w:r w:rsidR="00E33157">
        <w:t>Table 13</w:t>
      </w:r>
      <w:r w:rsidRPr="0078056B">
        <w:fldChar w:fldCharType="end"/>
      </w:r>
      <w:r w:rsidRPr="0078056B">
        <w:rPr>
          <w:bCs/>
        </w:rPr>
        <w:t>)</w:t>
      </w:r>
      <w:r w:rsidRPr="0078056B">
        <w:t>. In terms of the components of this impact:</w:t>
      </w:r>
    </w:p>
    <w:p w14:paraId="04325413" w14:textId="0BA3E359" w:rsidR="00E13125" w:rsidRPr="0078056B" w:rsidRDefault="00EA72FA" w:rsidP="003A6119">
      <w:pPr>
        <w:pStyle w:val="MinorBullet1"/>
        <w:numPr>
          <w:ilvl w:val="0"/>
          <w:numId w:val="21"/>
        </w:numPr>
      </w:pPr>
      <w:r w:rsidRPr="0078056B">
        <w:rPr>
          <w:noProof/>
        </w:rPr>
        <mc:AlternateContent>
          <mc:Choice Requires="wps">
            <w:drawing>
              <wp:anchor distT="0" distB="0" distL="114300" distR="114300" simplePos="0" relativeHeight="251688960" behindDoc="0" locked="0" layoutInCell="1" allowOverlap="1" wp14:anchorId="5AE6A033" wp14:editId="32A7DBC1">
                <wp:simplePos x="0" y="0"/>
                <wp:positionH relativeFrom="margin">
                  <wp:posOffset>3803650</wp:posOffset>
                </wp:positionH>
                <wp:positionV relativeFrom="paragraph">
                  <wp:posOffset>41436</wp:posOffset>
                </wp:positionV>
                <wp:extent cx="1828165" cy="1477645"/>
                <wp:effectExtent l="38100" t="38100" r="95885" b="103505"/>
                <wp:wrapSquare wrapText="bothSides"/>
                <wp:docPr id="18444252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477645"/>
                        </a:xfrm>
                        <a:prstGeom prst="rect">
                          <a:avLst/>
                        </a:prstGeom>
                        <a:solidFill>
                          <a:schemeClr val="accent1"/>
                        </a:solidFill>
                        <a:ln w="12700">
                          <a:noFill/>
                          <a:miter lim="800000"/>
                          <a:headEnd/>
                          <a:tailEnd/>
                        </a:ln>
                        <a:effectLst>
                          <a:outerShdw blurRad="50800" dist="38100" dir="2700000" algn="tl" rotWithShape="0">
                            <a:prstClr val="black">
                              <a:alpha val="40000"/>
                            </a:prstClr>
                          </a:outerShdw>
                        </a:effectLst>
                      </wps:spPr>
                      <wps:txbx>
                        <w:txbxContent>
                          <w:p w14:paraId="09DE5F81" w14:textId="77777777" w:rsidR="00E13125" w:rsidRPr="003541E0" w:rsidRDefault="00E13125" w:rsidP="00E13125">
                            <w:pPr>
                              <w:spacing w:before="0" w:after="0"/>
                              <w:jc w:val="center"/>
                              <w:rPr>
                                <w:b/>
                                <w:color w:val="FFFFFF" w:themeColor="background1"/>
                                <w:sz w:val="28"/>
                                <w:szCs w:val="28"/>
                              </w:rPr>
                            </w:pPr>
                            <w:r w:rsidRPr="0078056B">
                              <w:rPr>
                                <w:b/>
                                <w:color w:val="FFFFFF" w:themeColor="background1"/>
                                <w:sz w:val="28"/>
                                <w:szCs w:val="28"/>
                              </w:rPr>
                              <w:t>The total economic impact associated with the University of Birmingham's activities in 2021-22 stood at £4.4 billion.</w:t>
                            </w:r>
                          </w:p>
                        </w:txbxContent>
                      </wps:txbx>
                      <wps:bodyPr rot="0" vert="horz" wrap="square" lIns="36000" tIns="18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AE6A033" id="_x0000_s1043" type="#_x0000_t202" style="position:absolute;left:0;text-align:left;margin-left:299.5pt;margin-top:3.25pt;width:143.95pt;height:116.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CocQIAAMYEAAAOAAAAZHJzL2Uyb0RvYy54bWysVMtu2zAQvBfoPxC8N5KcxDYEy0GaNEWB&#10;9IGmRc8rirKIUFyWpC0lX98l5dhGeivqg6A16dmZ2VmvrsZes510XqGpeHGWcyaNwEaZTcV//rh7&#10;t+TMBzANaDSy4k/S86v12zerwZZyhh3qRjpGIMaXg614F4Its8yLTvbgz9BKQ4ctuh4ClW6TNQ4G&#10;Qu91NsvzeTaga6xDIb2nb2+nQ75O+G0rRfjatl4GpitO3EJ6uvSs4zNbr6DcOLCdEnsa8A8selCG&#10;mh6gbiEA2zr1F1SvhEOPbTgT2GfYtkrIpIHUFPkrNQ8dWJm0kDneHmzy/w9WfNk92G+OhfE9jjTA&#10;JMLbexSPnhm86cBs5LVzOHQSGmpcRMuywfpy/9NotS99BKmHz9jQkGEbMAGNreujK6STEToN4Olg&#10;uhwDE7HlcrYs5pecCTorLhaL+cVl6gHly8+t8+GjxJ7Fl4o7mmqCh929D5EOlC9XYjePWjV3SutU&#10;xCTJG+3YDigDIIQ0YRLx6qY2bCAGs0WeJ3SDESMFpFeBUqpVX/FlHj9TbqIlH0yTrgRQenonNtrE&#10;1jLljygmC7YE8dA1A6v11n2HpuKXOYFx1qgo6nxZTAWFM1KITRjoDW1V0Jw5DL9U6FIiooURMmo+&#10;CKs1iMfJFW07mNReJJijQ3Q7uYUvZFJ1wjMNNs5ymmoY65EpolosouI46BqbJxo18UnzpNWnlw7d&#10;M2cDrVHF/e8tOMmZ/mQoLufzJCSkoojmkZbTk/r0BIwgqIqL4Eh8Km7CtK1b69Smo15TRA1eU8ha&#10;lcZ/5LWPJi1LUrZf7LiNp3W6dfz7Wf8BAAD//wMAUEsDBBQABgAIAAAAIQBHmm6N3wAAAAkBAAAP&#10;AAAAZHJzL2Rvd25yZXYueG1sTI9PT4NAFMTvJn6HzTPxZhcwJYA8Gv+njfFQajy/sisQ2beE3bbo&#10;p3c96XEyk5nflKvZDOKoJ9dbRogXEQjNjVU9twhvu6erDITzxIoGyxrhSztYVednJRXKnnirj7Vv&#10;RShhVxBC5/1YSOmaThtyCztqDt6HnQz5IKdWqolOodwMMomiVBrqOSx0NOr7Tjef9cEgtA9e0uP3&#10;Jr6L39d18rz2L+o1R7y8mG9vQHg9+78w/OIHdKgC094eWDkxICzzPHzxCOkSRPCzLM1B7BGS6zwB&#10;WZXy/4PqBwAA//8DAFBLAQItABQABgAIAAAAIQC2gziS/gAAAOEBAAATAAAAAAAAAAAAAAAAAAAA&#10;AABbQ29udGVudF9UeXBlc10ueG1sUEsBAi0AFAAGAAgAAAAhADj9If/WAAAAlAEAAAsAAAAAAAAA&#10;AAAAAAAALwEAAF9yZWxzLy5yZWxzUEsBAi0AFAAGAAgAAAAhAGRp4KhxAgAAxgQAAA4AAAAAAAAA&#10;AAAAAAAALgIAAGRycy9lMm9Eb2MueG1sUEsBAi0AFAAGAAgAAAAhAEeabo3fAAAACQEAAA8AAAAA&#10;AAAAAAAAAAAAywQAAGRycy9kb3ducmV2LnhtbFBLBQYAAAAABAAEAPMAAADXBQAAAAA=&#10;" fillcolor="#06357a [3204]" stroked="f" strokeweight="1pt">
                <v:shadow on="t" color="black" opacity="26214f" origin="-.5,-.5" offset=".74836mm,.74836mm"/>
                <v:textbox inset="1mm,.5mm,1mm,.5mm">
                  <w:txbxContent>
                    <w:p w14:paraId="09DE5F81" w14:textId="77777777" w:rsidR="00E13125" w:rsidRPr="003541E0" w:rsidRDefault="00E13125" w:rsidP="00E13125">
                      <w:pPr>
                        <w:spacing w:before="0" w:after="0"/>
                        <w:jc w:val="center"/>
                        <w:rPr>
                          <w:b/>
                          <w:color w:val="FFFFFF" w:themeColor="background1"/>
                          <w:sz w:val="28"/>
                          <w:szCs w:val="28"/>
                        </w:rPr>
                      </w:pPr>
                      <w:r w:rsidRPr="0078056B">
                        <w:rPr>
                          <w:b/>
                          <w:color w:val="FFFFFF" w:themeColor="background1"/>
                          <w:sz w:val="28"/>
                          <w:szCs w:val="28"/>
                        </w:rPr>
                        <w:t>The total economic impact associated with the University of Birmingham's activities in 2021-22 stood at £4.4 billion.</w:t>
                      </w:r>
                    </w:p>
                  </w:txbxContent>
                </v:textbox>
                <w10:wrap type="square" anchorx="margin"/>
              </v:shape>
            </w:pict>
          </mc:Fallback>
        </mc:AlternateContent>
      </w:r>
      <w:r w:rsidR="00E13125" w:rsidRPr="0078056B">
        <w:t xml:space="preserve">The University of Birmingham’s </w:t>
      </w:r>
      <w:r w:rsidR="00E13125" w:rsidRPr="0078056B">
        <w:rPr>
          <w:b/>
          <w:bCs/>
          <w:color w:val="06357A"/>
        </w:rPr>
        <w:t>research and knowledge exchange activities</w:t>
      </w:r>
      <w:r w:rsidR="00E13125" w:rsidRPr="0078056B">
        <w:rPr>
          <w:color w:val="06357A"/>
        </w:rPr>
        <w:t xml:space="preserve"> </w:t>
      </w:r>
      <w:r w:rsidR="00E13125" w:rsidRPr="0078056B">
        <w:t xml:space="preserve">accounted for </w:t>
      </w:r>
      <w:r w:rsidR="00E13125" w:rsidRPr="0078056B">
        <w:rPr>
          <w:b/>
          <w:bCs/>
          <w:color w:val="06357A"/>
        </w:rPr>
        <w:t>£1.4 billion</w:t>
      </w:r>
      <w:r w:rsidR="00E13125" w:rsidRPr="0078056B">
        <w:rPr>
          <w:color w:val="06357A"/>
        </w:rPr>
        <w:t xml:space="preserve"> </w:t>
      </w:r>
      <w:r w:rsidR="00E13125" w:rsidRPr="0078056B">
        <w:t>(</w:t>
      </w:r>
      <w:r w:rsidR="00E13125" w:rsidRPr="0078056B">
        <w:rPr>
          <w:b/>
          <w:bCs/>
          <w:color w:val="06357A"/>
        </w:rPr>
        <w:t>32%</w:t>
      </w:r>
      <w:r w:rsidR="00E13125" w:rsidRPr="0078056B">
        <w:t>) of this impact;</w:t>
      </w:r>
    </w:p>
    <w:p w14:paraId="19D009F0" w14:textId="77777777" w:rsidR="00E13125" w:rsidRPr="0078056B" w:rsidRDefault="00E13125" w:rsidP="003A6119">
      <w:pPr>
        <w:pStyle w:val="MinorBullet1"/>
        <w:numPr>
          <w:ilvl w:val="0"/>
          <w:numId w:val="21"/>
        </w:numPr>
      </w:pPr>
      <w:r w:rsidRPr="0078056B">
        <w:t xml:space="preserve">The value of the University of Birmingham’s </w:t>
      </w:r>
      <w:r w:rsidRPr="0078056B">
        <w:rPr>
          <w:b/>
          <w:bCs/>
          <w:color w:val="06357A"/>
        </w:rPr>
        <w:t>teaching and learning activities</w:t>
      </w:r>
      <w:r w:rsidRPr="0078056B">
        <w:rPr>
          <w:color w:val="06357A"/>
        </w:rPr>
        <w:t xml:space="preserve"> </w:t>
      </w:r>
      <w:r w:rsidRPr="0078056B">
        <w:t xml:space="preserve">stood at </w:t>
      </w:r>
      <w:r w:rsidRPr="0078056B">
        <w:rPr>
          <w:b/>
          <w:bCs/>
          <w:color w:val="06357A"/>
        </w:rPr>
        <w:t>£1.3 billion</w:t>
      </w:r>
      <w:r w:rsidRPr="0078056B">
        <w:rPr>
          <w:color w:val="06357A"/>
        </w:rPr>
        <w:t xml:space="preserve"> </w:t>
      </w:r>
      <w:r w:rsidRPr="0078056B">
        <w:t>(</w:t>
      </w:r>
      <w:r w:rsidRPr="0078056B">
        <w:rPr>
          <w:b/>
          <w:bCs/>
          <w:color w:val="06357A"/>
        </w:rPr>
        <w:t>31%</w:t>
      </w:r>
      <w:r w:rsidRPr="0078056B">
        <w:t>);</w:t>
      </w:r>
    </w:p>
    <w:p w14:paraId="5D19F608" w14:textId="77777777" w:rsidR="00E13125" w:rsidRPr="0078056B" w:rsidRDefault="00E13125" w:rsidP="003A6119">
      <w:pPr>
        <w:pStyle w:val="MinorBullet1"/>
        <w:numPr>
          <w:ilvl w:val="0"/>
          <w:numId w:val="21"/>
        </w:numPr>
      </w:pPr>
      <w:r w:rsidRPr="0078056B">
        <w:t xml:space="preserve">The impact associated with the University of Birmingham’s international students was estimated at </w:t>
      </w:r>
      <w:r w:rsidRPr="0078056B">
        <w:rPr>
          <w:b/>
          <w:bCs/>
          <w:color w:val="06357A"/>
        </w:rPr>
        <w:t>£690 million</w:t>
      </w:r>
      <w:r w:rsidRPr="0078056B">
        <w:rPr>
          <w:color w:val="06357A" w:themeColor="accent1"/>
        </w:rPr>
        <w:t xml:space="preserve"> </w:t>
      </w:r>
      <w:r w:rsidRPr="0078056B">
        <w:t>(</w:t>
      </w:r>
      <w:r w:rsidRPr="0078056B">
        <w:rPr>
          <w:b/>
          <w:bCs/>
          <w:color w:val="06357A"/>
        </w:rPr>
        <w:t>16%</w:t>
      </w:r>
      <w:r w:rsidRPr="0078056B">
        <w:t>);</w:t>
      </w:r>
    </w:p>
    <w:p w14:paraId="48007370" w14:textId="77777777" w:rsidR="00E13125" w:rsidRPr="0078056B" w:rsidRDefault="00E13125" w:rsidP="003A6119">
      <w:pPr>
        <w:pStyle w:val="MinorBullet1"/>
        <w:numPr>
          <w:ilvl w:val="0"/>
          <w:numId w:val="21"/>
        </w:numPr>
      </w:pPr>
      <w:r w:rsidRPr="0078056B">
        <w:t xml:space="preserve">The impact generated by the </w:t>
      </w:r>
      <w:r w:rsidRPr="0078056B">
        <w:rPr>
          <w:b/>
          <w:bCs/>
          <w:color w:val="06357A"/>
        </w:rPr>
        <w:t>operating and capital expenditures of the University</w:t>
      </w:r>
      <w:r w:rsidRPr="0078056B">
        <w:rPr>
          <w:color w:val="06357A"/>
        </w:rPr>
        <w:t xml:space="preserve"> </w:t>
      </w:r>
      <w:r w:rsidRPr="0078056B">
        <w:t xml:space="preserve">stood at </w:t>
      </w:r>
      <w:r w:rsidRPr="0078056B">
        <w:rPr>
          <w:b/>
          <w:bCs/>
          <w:color w:val="06357A"/>
        </w:rPr>
        <w:t>£908 million</w:t>
      </w:r>
      <w:r w:rsidRPr="0078056B">
        <w:rPr>
          <w:color w:val="06357A"/>
        </w:rPr>
        <w:t xml:space="preserve"> </w:t>
      </w:r>
      <w:r w:rsidRPr="0078056B">
        <w:t>(</w:t>
      </w:r>
      <w:r w:rsidRPr="0078056B">
        <w:rPr>
          <w:b/>
          <w:bCs/>
          <w:color w:val="06357A"/>
        </w:rPr>
        <w:t>21%</w:t>
      </w:r>
      <w:r w:rsidRPr="0078056B">
        <w:t>); and</w:t>
      </w:r>
    </w:p>
    <w:p w14:paraId="5459640E" w14:textId="77777777" w:rsidR="00E13125" w:rsidRPr="0078056B" w:rsidRDefault="00E13125" w:rsidP="003A6119">
      <w:pPr>
        <w:pStyle w:val="MinorBullet1"/>
        <w:numPr>
          <w:ilvl w:val="0"/>
          <w:numId w:val="21"/>
        </w:numPr>
      </w:pPr>
      <w:r w:rsidRPr="0078056B">
        <w:t xml:space="preserve">The impact of </w:t>
      </w:r>
      <w:r w:rsidRPr="0078056B">
        <w:rPr>
          <w:b/>
          <w:bCs/>
          <w:color w:val="06357A"/>
        </w:rPr>
        <w:t>tourism</w:t>
      </w:r>
      <w:r w:rsidRPr="0078056B">
        <w:rPr>
          <w:b/>
          <w:bCs/>
        </w:rPr>
        <w:t xml:space="preserve"> </w:t>
      </w:r>
      <w:r w:rsidRPr="0078056B">
        <w:t xml:space="preserve">activities associated with the University was estimated at </w:t>
      </w:r>
      <w:r w:rsidRPr="0078056B">
        <w:rPr>
          <w:b/>
          <w:bCs/>
          <w:color w:val="06357A"/>
        </w:rPr>
        <w:t xml:space="preserve">£46 million </w:t>
      </w:r>
      <w:r w:rsidRPr="0078056B">
        <w:t>(</w:t>
      </w:r>
      <w:r w:rsidRPr="0078056B">
        <w:rPr>
          <w:b/>
          <w:bCs/>
          <w:color w:val="06357A"/>
        </w:rPr>
        <w:t>1%</w:t>
      </w:r>
      <w:r w:rsidRPr="0078056B">
        <w:t>).</w:t>
      </w:r>
    </w:p>
    <w:p w14:paraId="04605B29" w14:textId="77777777" w:rsidR="00E13125" w:rsidRPr="0078056B" w:rsidRDefault="00E13125" w:rsidP="00E13125">
      <w:pPr>
        <w:pStyle w:val="TableTitle"/>
      </w:pPr>
      <w:bookmarkStart w:id="409" w:name="_Ref161674529"/>
      <w:bookmarkStart w:id="410" w:name="_Toc161676201"/>
      <w:bookmarkStart w:id="411" w:name="_Toc168652168"/>
      <w:r w:rsidRPr="0078056B">
        <w:t>Total economic impact of the University of Birmingham’s activities in the UK in 2021-22 (£m and % of total)</w:t>
      </w:r>
      <w:bookmarkEnd w:id="409"/>
      <w:bookmarkEnd w:id="410"/>
      <w:bookmarkEnd w:id="411"/>
    </w:p>
    <w:tbl>
      <w:tblPr>
        <w:tblW w:w="5000" w:type="pct"/>
        <w:tblBorders>
          <w:top w:val="single" w:sz="4" w:space="0" w:color="BFBFBF"/>
          <w:bottom w:val="single" w:sz="4" w:space="0" w:color="BFBFBF"/>
          <w:insideH w:val="single" w:sz="4" w:space="0" w:color="BFBFBF"/>
          <w:insideV w:val="single" w:sz="4" w:space="0" w:color="BFBFBF"/>
        </w:tblBorders>
        <w:tblCellMar>
          <w:left w:w="0" w:type="dxa"/>
          <w:right w:w="0" w:type="dxa"/>
        </w:tblCellMar>
        <w:tblLook w:val="0000" w:firstRow="0" w:lastRow="0" w:firstColumn="0" w:lastColumn="0" w:noHBand="0" w:noVBand="0"/>
      </w:tblPr>
      <w:tblGrid>
        <w:gridCol w:w="1121"/>
        <w:gridCol w:w="4125"/>
        <w:gridCol w:w="1799"/>
        <w:gridCol w:w="1799"/>
      </w:tblGrid>
      <w:tr w:rsidR="00E13125" w:rsidRPr="0078056B" w14:paraId="793D96AF" w14:textId="77777777" w:rsidTr="000A186C">
        <w:trPr>
          <w:trHeight w:val="283"/>
        </w:trPr>
        <w:tc>
          <w:tcPr>
            <w:tcW w:w="2966" w:type="pct"/>
            <w:gridSpan w:val="2"/>
            <w:tcBorders>
              <w:top w:val="single" w:sz="4" w:space="0" w:color="06357A"/>
              <w:bottom w:val="single" w:sz="4" w:space="0" w:color="06357A"/>
            </w:tcBorders>
            <w:vAlign w:val="center"/>
          </w:tcPr>
          <w:p w14:paraId="7F95E0D9" w14:textId="77777777" w:rsidR="00E13125" w:rsidRPr="0078056B" w:rsidRDefault="00E13125" w:rsidP="000A186C">
            <w:pPr>
              <w:keepNext/>
              <w:spacing w:before="0" w:after="0"/>
              <w:ind w:left="57" w:right="57"/>
              <w:jc w:val="left"/>
              <w:rPr>
                <w:b/>
                <w:color w:val="06357A" w:themeColor="accent1"/>
                <w:sz w:val="20"/>
                <w:szCs w:val="20"/>
              </w:rPr>
            </w:pPr>
            <w:r w:rsidRPr="0078056B">
              <w:rPr>
                <w:b/>
                <w:color w:val="06357A" w:themeColor="accent1"/>
                <w:sz w:val="20"/>
                <w:szCs w:val="20"/>
              </w:rPr>
              <w:t>Type of impact</w:t>
            </w:r>
          </w:p>
        </w:tc>
        <w:tc>
          <w:tcPr>
            <w:tcW w:w="1017" w:type="pct"/>
            <w:tcBorders>
              <w:top w:val="single" w:sz="4" w:space="0" w:color="06357A"/>
              <w:bottom w:val="single" w:sz="4" w:space="0" w:color="06357A"/>
            </w:tcBorders>
            <w:shd w:val="clear" w:color="auto" w:fill="auto"/>
            <w:vAlign w:val="center"/>
          </w:tcPr>
          <w:p w14:paraId="33DFE470" w14:textId="77777777" w:rsidR="00E13125" w:rsidRPr="0078056B" w:rsidRDefault="00E13125" w:rsidP="000A186C">
            <w:pPr>
              <w:keepNext/>
              <w:spacing w:before="0" w:after="0"/>
              <w:ind w:left="57" w:right="57"/>
              <w:jc w:val="center"/>
              <w:rPr>
                <w:b/>
                <w:color w:val="06357A" w:themeColor="accent1"/>
                <w:sz w:val="20"/>
                <w:szCs w:val="20"/>
              </w:rPr>
            </w:pPr>
            <w:r w:rsidRPr="0078056B">
              <w:rPr>
                <w:b/>
                <w:color w:val="06357A" w:themeColor="accent1"/>
                <w:sz w:val="20"/>
                <w:szCs w:val="20"/>
              </w:rPr>
              <w:t>£m</w:t>
            </w:r>
          </w:p>
        </w:tc>
        <w:tc>
          <w:tcPr>
            <w:tcW w:w="1017" w:type="pct"/>
            <w:tcBorders>
              <w:top w:val="single" w:sz="4" w:space="0" w:color="06357A"/>
              <w:bottom w:val="single" w:sz="4" w:space="0" w:color="06357A"/>
              <w:right w:val="nil"/>
            </w:tcBorders>
            <w:shd w:val="clear" w:color="auto" w:fill="auto"/>
            <w:vAlign w:val="center"/>
          </w:tcPr>
          <w:p w14:paraId="2F4B5D0D" w14:textId="77777777" w:rsidR="00E13125" w:rsidRPr="0078056B" w:rsidRDefault="00E13125" w:rsidP="000A186C">
            <w:pPr>
              <w:keepNext/>
              <w:spacing w:before="0" w:after="0"/>
              <w:ind w:left="57" w:right="57"/>
              <w:jc w:val="center"/>
              <w:rPr>
                <w:b/>
                <w:color w:val="06357A" w:themeColor="accent1"/>
                <w:sz w:val="20"/>
                <w:szCs w:val="20"/>
              </w:rPr>
            </w:pPr>
            <w:r w:rsidRPr="0078056B">
              <w:rPr>
                <w:b/>
                <w:color w:val="06357A" w:themeColor="accent1"/>
                <w:sz w:val="20"/>
                <w:szCs w:val="20"/>
              </w:rPr>
              <w:t>%</w:t>
            </w:r>
          </w:p>
        </w:tc>
      </w:tr>
      <w:tr w:rsidR="00E13125" w:rsidRPr="0078056B" w14:paraId="4E5F671E" w14:textId="77777777" w:rsidTr="000A186C">
        <w:trPr>
          <w:trHeight w:val="283"/>
        </w:trPr>
        <w:tc>
          <w:tcPr>
            <w:tcW w:w="634" w:type="pct"/>
            <w:vMerge w:val="restart"/>
            <w:tcBorders>
              <w:top w:val="single" w:sz="4" w:space="0" w:color="06357A"/>
            </w:tcBorders>
            <w:shd w:val="clear" w:color="auto" w:fill="auto"/>
            <w:vAlign w:val="center"/>
          </w:tcPr>
          <w:p w14:paraId="4ACAA50B" w14:textId="77777777" w:rsidR="00E13125" w:rsidRPr="0078056B" w:rsidRDefault="00E13125" w:rsidP="000A186C">
            <w:pPr>
              <w:keepNext/>
              <w:spacing w:before="0" w:after="0"/>
              <w:ind w:left="57" w:right="57"/>
              <w:jc w:val="center"/>
              <w:rPr>
                <w:sz w:val="20"/>
                <w:szCs w:val="20"/>
              </w:rPr>
            </w:pPr>
            <w:r w:rsidRPr="0078056B">
              <w:rPr>
                <w:noProof/>
                <w:sz w:val="20"/>
                <w:szCs w:val="20"/>
                <w:lang w:eastAsia="en-GB"/>
              </w:rPr>
              <w:drawing>
                <wp:inline distT="0" distB="0" distL="0" distR="0" wp14:anchorId="01A1F4BC" wp14:editId="3D368978">
                  <wp:extent cx="468000" cy="468000"/>
                  <wp:effectExtent l="0" t="0" r="8255" b="8255"/>
                  <wp:docPr id="71473551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468000" cy="468000"/>
                          </a:xfrm>
                          <a:prstGeom prst="rect">
                            <a:avLst/>
                          </a:prstGeom>
                        </pic:spPr>
                      </pic:pic>
                    </a:graphicData>
                  </a:graphic>
                </wp:inline>
              </w:drawing>
            </w:r>
          </w:p>
        </w:tc>
        <w:tc>
          <w:tcPr>
            <w:tcW w:w="2332" w:type="pct"/>
            <w:tcBorders>
              <w:top w:val="single" w:sz="4" w:space="0" w:color="06357A"/>
              <w:bottom w:val="single" w:sz="4" w:space="0" w:color="06357A"/>
            </w:tcBorders>
            <w:shd w:val="clear" w:color="auto" w:fill="06357A" w:themeFill="text2"/>
            <w:vAlign w:val="bottom"/>
          </w:tcPr>
          <w:p w14:paraId="5B2A7F5F" w14:textId="77777777" w:rsidR="00E13125" w:rsidRPr="0078056B" w:rsidRDefault="00E13125" w:rsidP="000A186C">
            <w:pPr>
              <w:keepNext/>
              <w:spacing w:before="0" w:after="0"/>
              <w:ind w:left="57" w:right="57"/>
              <w:jc w:val="left"/>
              <w:rPr>
                <w:rFonts w:asciiTheme="minorHAnsi" w:hAnsiTheme="minorHAnsi" w:cstheme="minorHAnsi"/>
                <w:b/>
                <w:color w:val="FFFFFF" w:themeColor="background1"/>
                <w:sz w:val="20"/>
                <w:szCs w:val="20"/>
              </w:rPr>
            </w:pPr>
            <w:r w:rsidRPr="0078056B">
              <w:rPr>
                <w:rFonts w:cs="Calibri"/>
                <w:b/>
                <w:bCs/>
                <w:color w:val="FFFFFF"/>
                <w:sz w:val="20"/>
                <w:szCs w:val="20"/>
              </w:rPr>
              <w:t>Impact of research and knowledge exchange</w:t>
            </w:r>
          </w:p>
        </w:tc>
        <w:tc>
          <w:tcPr>
            <w:tcW w:w="1017" w:type="pct"/>
            <w:tcBorders>
              <w:top w:val="single" w:sz="4" w:space="0" w:color="06357A"/>
              <w:bottom w:val="single" w:sz="4" w:space="0" w:color="06357A"/>
            </w:tcBorders>
            <w:shd w:val="clear" w:color="auto" w:fill="06357A" w:themeFill="text2"/>
            <w:vAlign w:val="center"/>
          </w:tcPr>
          <w:p w14:paraId="08653A54" w14:textId="77777777" w:rsidR="00E13125" w:rsidRPr="0078056B" w:rsidRDefault="00E13125" w:rsidP="000A186C">
            <w:pPr>
              <w:keepNext/>
              <w:spacing w:before="0" w:after="0"/>
              <w:ind w:left="57" w:right="57"/>
              <w:jc w:val="center"/>
              <w:rPr>
                <w:rFonts w:asciiTheme="minorHAnsi" w:hAnsiTheme="minorHAnsi" w:cstheme="minorHAnsi"/>
                <w:color w:val="FFFFFF" w:themeColor="background1"/>
                <w:sz w:val="20"/>
                <w:szCs w:val="20"/>
              </w:rPr>
            </w:pPr>
            <w:r w:rsidRPr="0078056B">
              <w:rPr>
                <w:rFonts w:cs="Calibri"/>
                <w:b/>
                <w:bCs/>
                <w:color w:val="FFFFFF"/>
                <w:sz w:val="20"/>
                <w:szCs w:val="20"/>
              </w:rPr>
              <w:t xml:space="preserve">£1,399m </w:t>
            </w:r>
          </w:p>
        </w:tc>
        <w:tc>
          <w:tcPr>
            <w:tcW w:w="1017" w:type="pct"/>
            <w:tcBorders>
              <w:top w:val="single" w:sz="4" w:space="0" w:color="06357A"/>
              <w:bottom w:val="single" w:sz="4" w:space="0" w:color="06357A"/>
              <w:right w:val="nil"/>
            </w:tcBorders>
            <w:shd w:val="clear" w:color="auto" w:fill="06357A" w:themeFill="text2"/>
            <w:vAlign w:val="center"/>
          </w:tcPr>
          <w:p w14:paraId="2E7B61B0" w14:textId="77777777" w:rsidR="00E13125" w:rsidRPr="0078056B" w:rsidRDefault="00E13125" w:rsidP="000A186C">
            <w:pPr>
              <w:keepNext/>
              <w:spacing w:before="0" w:after="0"/>
              <w:ind w:left="57" w:right="57"/>
              <w:jc w:val="center"/>
              <w:rPr>
                <w:rFonts w:asciiTheme="minorHAnsi" w:hAnsiTheme="minorHAnsi" w:cstheme="minorHAnsi"/>
                <w:color w:val="FFFFFF" w:themeColor="background1"/>
                <w:sz w:val="20"/>
                <w:szCs w:val="20"/>
              </w:rPr>
            </w:pPr>
            <w:r w:rsidRPr="0078056B">
              <w:rPr>
                <w:rFonts w:cs="Calibri"/>
                <w:b/>
                <w:bCs/>
                <w:color w:val="FFFFFF"/>
                <w:sz w:val="20"/>
                <w:szCs w:val="20"/>
              </w:rPr>
              <w:t>32%</w:t>
            </w:r>
          </w:p>
        </w:tc>
      </w:tr>
      <w:tr w:rsidR="00E13125" w:rsidRPr="0078056B" w14:paraId="2DBC6FF1" w14:textId="77777777" w:rsidTr="000A186C">
        <w:trPr>
          <w:trHeight w:val="283"/>
        </w:trPr>
        <w:tc>
          <w:tcPr>
            <w:tcW w:w="634" w:type="pct"/>
            <w:vMerge/>
            <w:shd w:val="clear" w:color="auto" w:fill="auto"/>
            <w:vAlign w:val="center"/>
          </w:tcPr>
          <w:p w14:paraId="3D03BCFF" w14:textId="77777777" w:rsidR="00E13125" w:rsidRPr="0078056B" w:rsidRDefault="00E13125" w:rsidP="000A186C">
            <w:pPr>
              <w:keepNext/>
              <w:spacing w:before="0" w:after="0"/>
              <w:ind w:left="57" w:right="57"/>
              <w:jc w:val="center"/>
              <w:rPr>
                <w:sz w:val="20"/>
                <w:szCs w:val="20"/>
              </w:rPr>
            </w:pPr>
          </w:p>
        </w:tc>
        <w:tc>
          <w:tcPr>
            <w:tcW w:w="2332" w:type="pct"/>
            <w:tcBorders>
              <w:top w:val="single" w:sz="4" w:space="0" w:color="06357A"/>
              <w:bottom w:val="single" w:sz="4" w:space="0" w:color="BFBFBF" w:themeColor="background1" w:themeShade="BF"/>
            </w:tcBorders>
            <w:shd w:val="clear" w:color="auto" w:fill="auto"/>
            <w:vAlign w:val="bottom"/>
          </w:tcPr>
          <w:p w14:paraId="537646F8" w14:textId="77777777" w:rsidR="00E13125" w:rsidRPr="0078056B" w:rsidRDefault="00E13125" w:rsidP="000A186C">
            <w:pPr>
              <w:keepNext/>
              <w:spacing w:before="0" w:after="0"/>
              <w:ind w:left="57" w:right="57"/>
              <w:jc w:val="left"/>
              <w:rPr>
                <w:rFonts w:asciiTheme="minorHAnsi" w:hAnsiTheme="minorHAnsi" w:cstheme="minorHAnsi"/>
                <w:sz w:val="20"/>
                <w:szCs w:val="20"/>
              </w:rPr>
            </w:pPr>
            <w:r w:rsidRPr="0078056B">
              <w:rPr>
                <w:rFonts w:cs="Calibri"/>
                <w:color w:val="000000"/>
                <w:sz w:val="20"/>
                <w:szCs w:val="20"/>
              </w:rPr>
              <w:t>Research activities</w:t>
            </w:r>
          </w:p>
        </w:tc>
        <w:tc>
          <w:tcPr>
            <w:tcW w:w="1017" w:type="pct"/>
            <w:tcBorders>
              <w:top w:val="single" w:sz="4" w:space="0" w:color="06357A"/>
              <w:bottom w:val="single" w:sz="4" w:space="0" w:color="BFBFBF" w:themeColor="background1" w:themeShade="BF"/>
            </w:tcBorders>
            <w:shd w:val="clear" w:color="auto" w:fill="auto"/>
            <w:vAlign w:val="center"/>
          </w:tcPr>
          <w:p w14:paraId="7B8D8B1B"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cs="Calibri"/>
                <w:sz w:val="20"/>
                <w:szCs w:val="20"/>
              </w:rPr>
              <w:t xml:space="preserve">£1,051m </w:t>
            </w:r>
          </w:p>
        </w:tc>
        <w:tc>
          <w:tcPr>
            <w:tcW w:w="1017" w:type="pct"/>
            <w:tcBorders>
              <w:top w:val="single" w:sz="4" w:space="0" w:color="06357A"/>
              <w:bottom w:val="single" w:sz="4" w:space="0" w:color="BFBFBF" w:themeColor="background1" w:themeShade="BF"/>
              <w:right w:val="nil"/>
            </w:tcBorders>
            <w:shd w:val="clear" w:color="auto" w:fill="auto"/>
            <w:vAlign w:val="center"/>
          </w:tcPr>
          <w:p w14:paraId="001E840C"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cs="Calibri"/>
                <w:sz w:val="20"/>
                <w:szCs w:val="20"/>
              </w:rPr>
              <w:t>24%</w:t>
            </w:r>
          </w:p>
        </w:tc>
      </w:tr>
      <w:tr w:rsidR="00E13125" w:rsidRPr="0078056B" w14:paraId="6FCEE9EA" w14:textId="77777777" w:rsidTr="000A186C">
        <w:trPr>
          <w:trHeight w:val="283"/>
        </w:trPr>
        <w:tc>
          <w:tcPr>
            <w:tcW w:w="634" w:type="pct"/>
            <w:vMerge/>
            <w:tcBorders>
              <w:bottom w:val="single" w:sz="4" w:space="0" w:color="06357A"/>
            </w:tcBorders>
            <w:shd w:val="clear" w:color="auto" w:fill="auto"/>
            <w:vAlign w:val="center"/>
          </w:tcPr>
          <w:p w14:paraId="311F3124" w14:textId="77777777" w:rsidR="00E13125" w:rsidRPr="0078056B" w:rsidRDefault="00E13125" w:rsidP="000A186C">
            <w:pPr>
              <w:keepNext/>
              <w:spacing w:before="0" w:after="0"/>
              <w:ind w:left="57" w:right="57"/>
              <w:jc w:val="center"/>
              <w:rPr>
                <w:sz w:val="20"/>
                <w:szCs w:val="20"/>
              </w:rPr>
            </w:pPr>
          </w:p>
        </w:tc>
        <w:tc>
          <w:tcPr>
            <w:tcW w:w="2332" w:type="pct"/>
            <w:tcBorders>
              <w:bottom w:val="single" w:sz="4" w:space="0" w:color="06357A"/>
            </w:tcBorders>
            <w:shd w:val="clear" w:color="auto" w:fill="auto"/>
            <w:vAlign w:val="bottom"/>
          </w:tcPr>
          <w:p w14:paraId="14AD09F9" w14:textId="77777777" w:rsidR="00E13125" w:rsidRPr="0078056B" w:rsidRDefault="00E13125" w:rsidP="000A186C">
            <w:pPr>
              <w:keepNext/>
              <w:spacing w:before="0" w:after="0"/>
              <w:ind w:left="57" w:right="57"/>
              <w:jc w:val="left"/>
              <w:rPr>
                <w:rFonts w:asciiTheme="minorHAnsi" w:hAnsiTheme="minorHAnsi" w:cstheme="minorHAnsi"/>
                <w:sz w:val="20"/>
                <w:szCs w:val="20"/>
              </w:rPr>
            </w:pPr>
            <w:r w:rsidRPr="0078056B">
              <w:rPr>
                <w:rFonts w:cs="Calibri"/>
                <w:color w:val="000000"/>
                <w:sz w:val="20"/>
                <w:szCs w:val="20"/>
              </w:rPr>
              <w:t>Knowledge exchange activities</w:t>
            </w:r>
          </w:p>
        </w:tc>
        <w:tc>
          <w:tcPr>
            <w:tcW w:w="1017" w:type="pct"/>
            <w:tcBorders>
              <w:bottom w:val="single" w:sz="4" w:space="0" w:color="06357A"/>
            </w:tcBorders>
            <w:shd w:val="clear" w:color="auto" w:fill="auto"/>
            <w:vAlign w:val="center"/>
          </w:tcPr>
          <w:p w14:paraId="4D644B68"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cs="Calibri"/>
                <w:sz w:val="20"/>
                <w:szCs w:val="20"/>
              </w:rPr>
              <w:t xml:space="preserve">£348m </w:t>
            </w:r>
          </w:p>
        </w:tc>
        <w:tc>
          <w:tcPr>
            <w:tcW w:w="1017" w:type="pct"/>
            <w:tcBorders>
              <w:bottom w:val="single" w:sz="4" w:space="0" w:color="06357A"/>
              <w:right w:val="nil"/>
            </w:tcBorders>
            <w:shd w:val="clear" w:color="auto" w:fill="auto"/>
            <w:vAlign w:val="center"/>
          </w:tcPr>
          <w:p w14:paraId="1BADA63B"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cs="Calibri"/>
                <w:sz w:val="20"/>
                <w:szCs w:val="20"/>
              </w:rPr>
              <w:t>8%</w:t>
            </w:r>
          </w:p>
        </w:tc>
      </w:tr>
      <w:tr w:rsidR="00E13125" w:rsidRPr="0078056B" w14:paraId="02C3FA09" w14:textId="77777777" w:rsidTr="000A186C">
        <w:trPr>
          <w:trHeight w:val="283"/>
        </w:trPr>
        <w:tc>
          <w:tcPr>
            <w:tcW w:w="634" w:type="pct"/>
            <w:vMerge w:val="restart"/>
            <w:tcBorders>
              <w:top w:val="single" w:sz="4" w:space="0" w:color="06357A"/>
            </w:tcBorders>
            <w:shd w:val="clear" w:color="auto" w:fill="auto"/>
            <w:vAlign w:val="center"/>
          </w:tcPr>
          <w:p w14:paraId="6FF0B6F5" w14:textId="77777777" w:rsidR="00E13125" w:rsidRPr="0078056B" w:rsidRDefault="00E13125" w:rsidP="000A186C">
            <w:pPr>
              <w:keepNext/>
              <w:spacing w:before="0" w:after="0"/>
              <w:ind w:left="57" w:right="57"/>
              <w:jc w:val="center"/>
              <w:rPr>
                <w:b/>
                <w:bCs/>
                <w:sz w:val="20"/>
                <w:szCs w:val="20"/>
              </w:rPr>
            </w:pPr>
            <w:r w:rsidRPr="0078056B">
              <w:rPr>
                <w:b/>
                <w:bCs/>
                <w:noProof/>
                <w:sz w:val="20"/>
                <w:szCs w:val="20"/>
                <w:lang w:eastAsia="en-GB"/>
              </w:rPr>
              <w:drawing>
                <wp:inline distT="0" distB="0" distL="0" distR="0" wp14:anchorId="70448AC5" wp14:editId="108CAC7E">
                  <wp:extent cx="429841" cy="385979"/>
                  <wp:effectExtent l="0" t="0" r="8890" b="0"/>
                  <wp:docPr id="53531667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429841" cy="385979"/>
                          </a:xfrm>
                          <a:prstGeom prst="rect">
                            <a:avLst/>
                          </a:prstGeom>
                        </pic:spPr>
                      </pic:pic>
                    </a:graphicData>
                  </a:graphic>
                </wp:inline>
              </w:drawing>
            </w:r>
          </w:p>
        </w:tc>
        <w:tc>
          <w:tcPr>
            <w:tcW w:w="2332" w:type="pct"/>
            <w:tcBorders>
              <w:top w:val="single" w:sz="4" w:space="0" w:color="06357A"/>
              <w:bottom w:val="single" w:sz="4" w:space="0" w:color="06357A"/>
            </w:tcBorders>
            <w:shd w:val="clear" w:color="auto" w:fill="06357A" w:themeFill="text2"/>
            <w:vAlign w:val="bottom"/>
          </w:tcPr>
          <w:p w14:paraId="00A7C613" w14:textId="77777777" w:rsidR="00E13125" w:rsidRPr="0078056B" w:rsidRDefault="00E13125" w:rsidP="000A186C">
            <w:pPr>
              <w:keepNext/>
              <w:spacing w:before="0" w:after="0"/>
              <w:ind w:left="57" w:right="57"/>
              <w:jc w:val="left"/>
              <w:rPr>
                <w:rFonts w:asciiTheme="minorHAnsi" w:hAnsiTheme="minorHAnsi" w:cstheme="minorHAnsi"/>
                <w:b/>
                <w:color w:val="FFFFFF" w:themeColor="background1"/>
                <w:sz w:val="20"/>
                <w:szCs w:val="20"/>
              </w:rPr>
            </w:pPr>
            <w:r w:rsidRPr="0078056B">
              <w:rPr>
                <w:rFonts w:cs="Calibri"/>
                <w:b/>
                <w:bCs/>
                <w:color w:val="FFFFFF"/>
                <w:sz w:val="20"/>
                <w:szCs w:val="20"/>
              </w:rPr>
              <w:t>Impact of teaching and learning</w:t>
            </w:r>
          </w:p>
        </w:tc>
        <w:tc>
          <w:tcPr>
            <w:tcW w:w="1017" w:type="pct"/>
            <w:tcBorders>
              <w:top w:val="single" w:sz="4" w:space="0" w:color="06357A"/>
              <w:bottom w:val="single" w:sz="4" w:space="0" w:color="06357A"/>
            </w:tcBorders>
            <w:shd w:val="clear" w:color="auto" w:fill="06357A" w:themeFill="text2"/>
            <w:vAlign w:val="center"/>
          </w:tcPr>
          <w:p w14:paraId="3F667E20" w14:textId="77777777" w:rsidR="00E13125" w:rsidRPr="0078056B" w:rsidRDefault="00E13125" w:rsidP="000A186C">
            <w:pPr>
              <w:keepNext/>
              <w:spacing w:before="0" w:after="0"/>
              <w:ind w:left="57" w:right="57"/>
              <w:jc w:val="center"/>
              <w:rPr>
                <w:rFonts w:asciiTheme="minorHAnsi" w:hAnsiTheme="minorHAnsi" w:cstheme="minorHAnsi"/>
                <w:color w:val="FFFFFF" w:themeColor="background1"/>
                <w:sz w:val="20"/>
                <w:szCs w:val="20"/>
              </w:rPr>
            </w:pPr>
            <w:r w:rsidRPr="0078056B">
              <w:rPr>
                <w:rFonts w:cs="Calibri"/>
                <w:b/>
                <w:bCs/>
                <w:color w:val="FFFFFF"/>
                <w:sz w:val="20"/>
                <w:szCs w:val="20"/>
              </w:rPr>
              <w:t xml:space="preserve">£1,346m </w:t>
            </w:r>
          </w:p>
        </w:tc>
        <w:tc>
          <w:tcPr>
            <w:tcW w:w="1017" w:type="pct"/>
            <w:tcBorders>
              <w:top w:val="single" w:sz="4" w:space="0" w:color="06357A"/>
              <w:bottom w:val="single" w:sz="4" w:space="0" w:color="06357A"/>
              <w:right w:val="nil"/>
            </w:tcBorders>
            <w:shd w:val="clear" w:color="auto" w:fill="06357A" w:themeFill="text2"/>
            <w:vAlign w:val="center"/>
          </w:tcPr>
          <w:p w14:paraId="5A016672" w14:textId="77777777" w:rsidR="00E13125" w:rsidRPr="0078056B" w:rsidRDefault="00E13125" w:rsidP="000A186C">
            <w:pPr>
              <w:keepNext/>
              <w:spacing w:before="0" w:after="0"/>
              <w:ind w:left="57" w:right="57"/>
              <w:jc w:val="center"/>
              <w:rPr>
                <w:rFonts w:asciiTheme="minorHAnsi" w:hAnsiTheme="minorHAnsi" w:cstheme="minorHAnsi"/>
                <w:color w:val="FFFFFF" w:themeColor="background1"/>
                <w:sz w:val="20"/>
                <w:szCs w:val="20"/>
              </w:rPr>
            </w:pPr>
            <w:r w:rsidRPr="0078056B">
              <w:rPr>
                <w:rFonts w:cs="Calibri"/>
                <w:b/>
                <w:bCs/>
                <w:color w:val="FFFFFF"/>
                <w:sz w:val="20"/>
                <w:szCs w:val="20"/>
              </w:rPr>
              <w:t>31%</w:t>
            </w:r>
          </w:p>
        </w:tc>
      </w:tr>
      <w:tr w:rsidR="00E13125" w:rsidRPr="0078056B" w14:paraId="133AE5A4" w14:textId="77777777" w:rsidTr="000A186C">
        <w:trPr>
          <w:trHeight w:val="283"/>
        </w:trPr>
        <w:tc>
          <w:tcPr>
            <w:tcW w:w="634" w:type="pct"/>
            <w:vMerge/>
            <w:shd w:val="clear" w:color="auto" w:fill="auto"/>
            <w:vAlign w:val="center"/>
          </w:tcPr>
          <w:p w14:paraId="335BDDD9" w14:textId="77777777" w:rsidR="00E13125" w:rsidRPr="0078056B" w:rsidRDefault="00E13125" w:rsidP="000A186C">
            <w:pPr>
              <w:keepNext/>
              <w:spacing w:before="0" w:after="0"/>
              <w:ind w:left="57" w:right="57"/>
              <w:jc w:val="center"/>
              <w:rPr>
                <w:sz w:val="20"/>
                <w:szCs w:val="20"/>
              </w:rPr>
            </w:pPr>
          </w:p>
        </w:tc>
        <w:tc>
          <w:tcPr>
            <w:tcW w:w="2332" w:type="pct"/>
            <w:tcBorders>
              <w:top w:val="single" w:sz="4" w:space="0" w:color="BFBFBF" w:themeColor="background1" w:themeShade="BF"/>
            </w:tcBorders>
            <w:shd w:val="clear" w:color="auto" w:fill="auto"/>
            <w:vAlign w:val="bottom"/>
          </w:tcPr>
          <w:p w14:paraId="665A989C" w14:textId="77777777" w:rsidR="00E13125" w:rsidRPr="0078056B" w:rsidRDefault="00E13125" w:rsidP="000A186C">
            <w:pPr>
              <w:keepNext/>
              <w:spacing w:before="0" w:after="0"/>
              <w:ind w:left="57" w:right="57"/>
              <w:jc w:val="left"/>
              <w:rPr>
                <w:rFonts w:asciiTheme="minorHAnsi" w:hAnsiTheme="minorHAnsi" w:cstheme="minorHAnsi"/>
                <w:sz w:val="20"/>
                <w:szCs w:val="20"/>
              </w:rPr>
            </w:pPr>
            <w:r w:rsidRPr="0078056B">
              <w:rPr>
                <w:rFonts w:cs="Calibri"/>
                <w:color w:val="000000"/>
                <w:sz w:val="20"/>
                <w:szCs w:val="20"/>
              </w:rPr>
              <w:t>Students</w:t>
            </w:r>
          </w:p>
        </w:tc>
        <w:tc>
          <w:tcPr>
            <w:tcW w:w="1017" w:type="pct"/>
            <w:tcBorders>
              <w:top w:val="single" w:sz="4" w:space="0" w:color="BFBFBF" w:themeColor="background1" w:themeShade="BF"/>
            </w:tcBorders>
            <w:shd w:val="clear" w:color="auto" w:fill="auto"/>
            <w:vAlign w:val="center"/>
          </w:tcPr>
          <w:p w14:paraId="3C9D9427"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cs="Calibri"/>
                <w:sz w:val="20"/>
                <w:szCs w:val="20"/>
              </w:rPr>
              <w:t xml:space="preserve">£674m </w:t>
            </w:r>
          </w:p>
        </w:tc>
        <w:tc>
          <w:tcPr>
            <w:tcW w:w="1017" w:type="pct"/>
            <w:tcBorders>
              <w:top w:val="single" w:sz="4" w:space="0" w:color="BFBFBF" w:themeColor="background1" w:themeShade="BF"/>
              <w:right w:val="nil"/>
            </w:tcBorders>
            <w:shd w:val="clear" w:color="auto" w:fill="auto"/>
            <w:vAlign w:val="center"/>
          </w:tcPr>
          <w:p w14:paraId="04498333"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cs="Calibri"/>
                <w:sz w:val="20"/>
                <w:szCs w:val="20"/>
              </w:rPr>
              <w:t>15%</w:t>
            </w:r>
          </w:p>
        </w:tc>
      </w:tr>
      <w:tr w:rsidR="00E13125" w:rsidRPr="0078056B" w14:paraId="4C32297F" w14:textId="77777777" w:rsidTr="000A186C">
        <w:trPr>
          <w:trHeight w:val="283"/>
        </w:trPr>
        <w:tc>
          <w:tcPr>
            <w:tcW w:w="634" w:type="pct"/>
            <w:vMerge/>
            <w:tcBorders>
              <w:bottom w:val="single" w:sz="4" w:space="0" w:color="06357A"/>
            </w:tcBorders>
            <w:shd w:val="clear" w:color="auto" w:fill="auto"/>
            <w:vAlign w:val="center"/>
          </w:tcPr>
          <w:p w14:paraId="55887B33" w14:textId="77777777" w:rsidR="00E13125" w:rsidRPr="0078056B" w:rsidRDefault="00E13125" w:rsidP="000A186C">
            <w:pPr>
              <w:keepNext/>
              <w:spacing w:before="0" w:after="0"/>
              <w:ind w:left="57" w:right="57"/>
              <w:jc w:val="center"/>
              <w:rPr>
                <w:sz w:val="20"/>
                <w:szCs w:val="20"/>
              </w:rPr>
            </w:pPr>
          </w:p>
        </w:tc>
        <w:tc>
          <w:tcPr>
            <w:tcW w:w="2332" w:type="pct"/>
            <w:tcBorders>
              <w:bottom w:val="single" w:sz="4" w:space="0" w:color="06357A"/>
            </w:tcBorders>
            <w:shd w:val="clear" w:color="auto" w:fill="auto"/>
            <w:vAlign w:val="bottom"/>
          </w:tcPr>
          <w:p w14:paraId="6FEB3D53" w14:textId="77777777" w:rsidR="00E13125" w:rsidRPr="0078056B" w:rsidRDefault="00E13125" w:rsidP="000A186C">
            <w:pPr>
              <w:keepNext/>
              <w:spacing w:before="0" w:after="0"/>
              <w:ind w:left="57" w:right="57"/>
              <w:jc w:val="left"/>
              <w:rPr>
                <w:rFonts w:asciiTheme="minorHAnsi" w:hAnsiTheme="minorHAnsi" w:cstheme="minorHAnsi"/>
                <w:sz w:val="20"/>
                <w:szCs w:val="20"/>
              </w:rPr>
            </w:pPr>
            <w:r w:rsidRPr="0078056B">
              <w:rPr>
                <w:rFonts w:cs="Calibri"/>
                <w:color w:val="000000"/>
                <w:sz w:val="20"/>
                <w:szCs w:val="20"/>
              </w:rPr>
              <w:t>Exchequer</w:t>
            </w:r>
          </w:p>
        </w:tc>
        <w:tc>
          <w:tcPr>
            <w:tcW w:w="1017" w:type="pct"/>
            <w:tcBorders>
              <w:bottom w:val="single" w:sz="4" w:space="0" w:color="06357A"/>
            </w:tcBorders>
            <w:shd w:val="clear" w:color="auto" w:fill="auto"/>
            <w:vAlign w:val="center"/>
          </w:tcPr>
          <w:p w14:paraId="2E9C8546"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cs="Calibri"/>
                <w:sz w:val="20"/>
                <w:szCs w:val="20"/>
              </w:rPr>
              <w:t xml:space="preserve">£671m </w:t>
            </w:r>
          </w:p>
        </w:tc>
        <w:tc>
          <w:tcPr>
            <w:tcW w:w="1017" w:type="pct"/>
            <w:tcBorders>
              <w:bottom w:val="single" w:sz="4" w:space="0" w:color="06357A"/>
              <w:right w:val="nil"/>
            </w:tcBorders>
            <w:shd w:val="clear" w:color="auto" w:fill="auto"/>
            <w:vAlign w:val="center"/>
          </w:tcPr>
          <w:p w14:paraId="45B1AC77"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cs="Calibri"/>
                <w:sz w:val="20"/>
                <w:szCs w:val="20"/>
              </w:rPr>
              <w:t>15%</w:t>
            </w:r>
          </w:p>
        </w:tc>
      </w:tr>
      <w:tr w:rsidR="00E13125" w:rsidRPr="0078056B" w14:paraId="27478FA3" w14:textId="77777777" w:rsidTr="000A186C">
        <w:trPr>
          <w:trHeight w:val="283"/>
        </w:trPr>
        <w:tc>
          <w:tcPr>
            <w:tcW w:w="634" w:type="pct"/>
            <w:vMerge w:val="restart"/>
            <w:tcBorders>
              <w:top w:val="single" w:sz="4" w:space="0" w:color="06357A"/>
            </w:tcBorders>
            <w:shd w:val="clear" w:color="auto" w:fill="auto"/>
            <w:vAlign w:val="center"/>
          </w:tcPr>
          <w:p w14:paraId="3B6EC5ED" w14:textId="77777777" w:rsidR="00E13125" w:rsidRPr="0078056B" w:rsidRDefault="00E13125" w:rsidP="000A186C">
            <w:pPr>
              <w:keepNext/>
              <w:spacing w:before="0" w:after="0"/>
              <w:ind w:left="57" w:right="57"/>
              <w:jc w:val="center"/>
              <w:rPr>
                <w:sz w:val="20"/>
                <w:szCs w:val="20"/>
              </w:rPr>
            </w:pPr>
            <w:r w:rsidRPr="0078056B">
              <w:rPr>
                <w:noProof/>
                <w:sz w:val="20"/>
                <w:szCs w:val="20"/>
                <w:lang w:eastAsia="en-GB"/>
              </w:rPr>
              <w:drawing>
                <wp:inline distT="0" distB="0" distL="0" distR="0" wp14:anchorId="7FC21A3D" wp14:editId="54758667">
                  <wp:extent cx="344656" cy="422203"/>
                  <wp:effectExtent l="0" t="0" r="0" b="0"/>
                  <wp:docPr id="15149433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bwMode="auto">
                          <a:xfrm>
                            <a:off x="0" y="0"/>
                            <a:ext cx="344656" cy="422203"/>
                          </a:xfrm>
                          <a:prstGeom prst="rect">
                            <a:avLst/>
                          </a:prstGeom>
                        </pic:spPr>
                      </pic:pic>
                    </a:graphicData>
                  </a:graphic>
                </wp:inline>
              </w:drawing>
            </w:r>
          </w:p>
        </w:tc>
        <w:tc>
          <w:tcPr>
            <w:tcW w:w="2332" w:type="pct"/>
            <w:tcBorders>
              <w:top w:val="single" w:sz="4" w:space="0" w:color="06357A"/>
              <w:bottom w:val="single" w:sz="4" w:space="0" w:color="06357A"/>
            </w:tcBorders>
            <w:shd w:val="clear" w:color="auto" w:fill="06357A" w:themeFill="text2"/>
            <w:vAlign w:val="bottom"/>
          </w:tcPr>
          <w:p w14:paraId="23ABF84E" w14:textId="77777777" w:rsidR="00E13125" w:rsidRPr="0078056B" w:rsidRDefault="00E13125" w:rsidP="000A186C">
            <w:pPr>
              <w:keepNext/>
              <w:spacing w:before="0" w:after="0"/>
              <w:ind w:left="57" w:right="57"/>
              <w:jc w:val="left"/>
              <w:rPr>
                <w:rFonts w:asciiTheme="minorHAnsi" w:hAnsiTheme="minorHAnsi" w:cstheme="minorHAnsi"/>
                <w:b/>
                <w:color w:val="FFFFFF" w:themeColor="background1"/>
                <w:sz w:val="20"/>
                <w:szCs w:val="20"/>
              </w:rPr>
            </w:pPr>
            <w:r w:rsidRPr="0078056B">
              <w:rPr>
                <w:rFonts w:cs="Calibri"/>
                <w:b/>
                <w:bCs/>
                <w:color w:val="FFFFFF"/>
                <w:sz w:val="20"/>
                <w:szCs w:val="20"/>
              </w:rPr>
              <w:t>Impact of international students</w:t>
            </w:r>
          </w:p>
        </w:tc>
        <w:tc>
          <w:tcPr>
            <w:tcW w:w="1017" w:type="pct"/>
            <w:tcBorders>
              <w:top w:val="single" w:sz="4" w:space="0" w:color="06357A"/>
              <w:bottom w:val="single" w:sz="4" w:space="0" w:color="06357A"/>
            </w:tcBorders>
            <w:shd w:val="clear" w:color="auto" w:fill="06357A" w:themeFill="text2"/>
            <w:vAlign w:val="center"/>
          </w:tcPr>
          <w:p w14:paraId="17618EB2" w14:textId="77777777" w:rsidR="00E13125" w:rsidRPr="0078056B" w:rsidRDefault="00E13125" w:rsidP="000A186C">
            <w:pPr>
              <w:keepNext/>
              <w:spacing w:before="0" w:after="0"/>
              <w:ind w:left="57" w:right="57"/>
              <w:jc w:val="center"/>
              <w:rPr>
                <w:rFonts w:asciiTheme="minorHAnsi" w:hAnsiTheme="minorHAnsi" w:cstheme="minorHAnsi"/>
                <w:color w:val="FFFFFF" w:themeColor="background1"/>
                <w:sz w:val="20"/>
                <w:szCs w:val="20"/>
              </w:rPr>
            </w:pPr>
            <w:r w:rsidRPr="0078056B">
              <w:rPr>
                <w:rFonts w:cs="Calibri"/>
                <w:b/>
                <w:bCs/>
                <w:color w:val="FFFFFF"/>
                <w:sz w:val="20"/>
                <w:szCs w:val="20"/>
              </w:rPr>
              <w:t xml:space="preserve">£690m </w:t>
            </w:r>
          </w:p>
        </w:tc>
        <w:tc>
          <w:tcPr>
            <w:tcW w:w="1017" w:type="pct"/>
            <w:tcBorders>
              <w:top w:val="single" w:sz="4" w:space="0" w:color="06357A"/>
              <w:bottom w:val="single" w:sz="4" w:space="0" w:color="06357A"/>
              <w:right w:val="nil"/>
            </w:tcBorders>
            <w:shd w:val="clear" w:color="auto" w:fill="06357A" w:themeFill="text2"/>
            <w:vAlign w:val="center"/>
          </w:tcPr>
          <w:p w14:paraId="14AC0BA6" w14:textId="77777777" w:rsidR="00E13125" w:rsidRPr="0078056B" w:rsidRDefault="00E13125" w:rsidP="000A186C">
            <w:pPr>
              <w:keepNext/>
              <w:spacing w:before="0" w:after="0"/>
              <w:ind w:left="57" w:right="57"/>
              <w:jc w:val="center"/>
              <w:rPr>
                <w:rFonts w:asciiTheme="minorHAnsi" w:hAnsiTheme="minorHAnsi" w:cstheme="minorHAnsi"/>
                <w:color w:val="FFFFFF" w:themeColor="background1"/>
                <w:sz w:val="20"/>
                <w:szCs w:val="20"/>
              </w:rPr>
            </w:pPr>
            <w:r w:rsidRPr="0078056B">
              <w:rPr>
                <w:rFonts w:cs="Calibri"/>
                <w:b/>
                <w:bCs/>
                <w:color w:val="FFFFFF"/>
                <w:sz w:val="20"/>
                <w:szCs w:val="20"/>
              </w:rPr>
              <w:t>16%</w:t>
            </w:r>
          </w:p>
        </w:tc>
      </w:tr>
      <w:tr w:rsidR="00E13125" w:rsidRPr="0078056B" w14:paraId="63D927FB" w14:textId="77777777" w:rsidTr="000A186C">
        <w:trPr>
          <w:trHeight w:val="283"/>
        </w:trPr>
        <w:tc>
          <w:tcPr>
            <w:tcW w:w="634" w:type="pct"/>
            <w:vMerge/>
            <w:shd w:val="clear" w:color="auto" w:fill="auto"/>
            <w:vAlign w:val="center"/>
          </w:tcPr>
          <w:p w14:paraId="7F5E19C2" w14:textId="77777777" w:rsidR="00E13125" w:rsidRPr="0078056B" w:rsidRDefault="00E13125" w:rsidP="000A186C">
            <w:pPr>
              <w:keepNext/>
              <w:spacing w:before="0" w:after="0"/>
              <w:ind w:left="57" w:right="57"/>
              <w:jc w:val="center"/>
              <w:rPr>
                <w:sz w:val="20"/>
                <w:szCs w:val="20"/>
              </w:rPr>
            </w:pPr>
          </w:p>
        </w:tc>
        <w:tc>
          <w:tcPr>
            <w:tcW w:w="2332" w:type="pct"/>
            <w:tcBorders>
              <w:top w:val="single" w:sz="4" w:space="0" w:color="06357A"/>
            </w:tcBorders>
            <w:shd w:val="clear" w:color="auto" w:fill="auto"/>
            <w:vAlign w:val="bottom"/>
          </w:tcPr>
          <w:p w14:paraId="580F147F" w14:textId="77777777" w:rsidR="00E13125" w:rsidRPr="0078056B" w:rsidRDefault="00E13125" w:rsidP="000A186C">
            <w:pPr>
              <w:keepNext/>
              <w:spacing w:before="0" w:after="0"/>
              <w:ind w:left="57" w:right="57"/>
              <w:jc w:val="left"/>
              <w:rPr>
                <w:rFonts w:asciiTheme="minorHAnsi" w:hAnsiTheme="minorHAnsi" w:cstheme="minorHAnsi"/>
                <w:sz w:val="20"/>
                <w:szCs w:val="20"/>
              </w:rPr>
            </w:pPr>
            <w:r w:rsidRPr="0078056B">
              <w:rPr>
                <w:rFonts w:cs="Calibri"/>
                <w:color w:val="000000"/>
                <w:sz w:val="20"/>
                <w:szCs w:val="20"/>
              </w:rPr>
              <w:t>Tuition fee income</w:t>
            </w:r>
          </w:p>
        </w:tc>
        <w:tc>
          <w:tcPr>
            <w:tcW w:w="1017" w:type="pct"/>
            <w:tcBorders>
              <w:top w:val="single" w:sz="4" w:space="0" w:color="06357A"/>
            </w:tcBorders>
            <w:shd w:val="clear" w:color="auto" w:fill="auto"/>
            <w:vAlign w:val="center"/>
          </w:tcPr>
          <w:p w14:paraId="55923110"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cs="Calibri"/>
                <w:sz w:val="20"/>
                <w:szCs w:val="20"/>
              </w:rPr>
              <w:t xml:space="preserve">£363m </w:t>
            </w:r>
          </w:p>
        </w:tc>
        <w:tc>
          <w:tcPr>
            <w:tcW w:w="1017" w:type="pct"/>
            <w:tcBorders>
              <w:top w:val="single" w:sz="4" w:space="0" w:color="06357A"/>
              <w:right w:val="nil"/>
            </w:tcBorders>
            <w:shd w:val="clear" w:color="auto" w:fill="auto"/>
            <w:vAlign w:val="center"/>
          </w:tcPr>
          <w:p w14:paraId="6471265A"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cs="Calibri"/>
                <w:sz w:val="20"/>
                <w:szCs w:val="20"/>
              </w:rPr>
              <w:t>8%</w:t>
            </w:r>
          </w:p>
        </w:tc>
      </w:tr>
      <w:tr w:rsidR="00E13125" w:rsidRPr="0078056B" w14:paraId="64B56988" w14:textId="77777777" w:rsidTr="000A186C">
        <w:trPr>
          <w:trHeight w:val="283"/>
        </w:trPr>
        <w:tc>
          <w:tcPr>
            <w:tcW w:w="634" w:type="pct"/>
            <w:vMerge/>
            <w:tcBorders>
              <w:bottom w:val="single" w:sz="4" w:space="0" w:color="06357A"/>
            </w:tcBorders>
            <w:shd w:val="clear" w:color="auto" w:fill="auto"/>
            <w:vAlign w:val="center"/>
          </w:tcPr>
          <w:p w14:paraId="1CDFA77F" w14:textId="77777777" w:rsidR="00E13125" w:rsidRPr="0078056B" w:rsidRDefault="00E13125" w:rsidP="000A186C">
            <w:pPr>
              <w:keepNext/>
              <w:spacing w:before="0" w:after="0"/>
              <w:ind w:left="57" w:right="57"/>
              <w:jc w:val="center"/>
              <w:rPr>
                <w:sz w:val="20"/>
                <w:szCs w:val="20"/>
              </w:rPr>
            </w:pPr>
          </w:p>
        </w:tc>
        <w:tc>
          <w:tcPr>
            <w:tcW w:w="2332" w:type="pct"/>
            <w:tcBorders>
              <w:bottom w:val="single" w:sz="4" w:space="0" w:color="06357A"/>
            </w:tcBorders>
            <w:shd w:val="clear" w:color="auto" w:fill="auto"/>
            <w:vAlign w:val="bottom"/>
          </w:tcPr>
          <w:p w14:paraId="4B296869" w14:textId="77777777" w:rsidR="00E13125" w:rsidRPr="0078056B" w:rsidRDefault="00E13125" w:rsidP="000A186C">
            <w:pPr>
              <w:keepNext/>
              <w:spacing w:before="0" w:after="0"/>
              <w:ind w:left="57" w:right="57"/>
              <w:jc w:val="left"/>
              <w:rPr>
                <w:rFonts w:asciiTheme="minorHAnsi" w:hAnsiTheme="minorHAnsi" w:cstheme="minorHAnsi"/>
                <w:sz w:val="20"/>
                <w:szCs w:val="20"/>
              </w:rPr>
            </w:pPr>
            <w:r w:rsidRPr="0078056B">
              <w:rPr>
                <w:rFonts w:cs="Calibri"/>
                <w:color w:val="000000"/>
                <w:sz w:val="20"/>
                <w:szCs w:val="20"/>
              </w:rPr>
              <w:t>Non-tuition fee income</w:t>
            </w:r>
          </w:p>
        </w:tc>
        <w:tc>
          <w:tcPr>
            <w:tcW w:w="1017" w:type="pct"/>
            <w:tcBorders>
              <w:bottom w:val="single" w:sz="4" w:space="0" w:color="06357A"/>
            </w:tcBorders>
            <w:shd w:val="clear" w:color="auto" w:fill="auto"/>
            <w:vAlign w:val="center"/>
          </w:tcPr>
          <w:p w14:paraId="0E97639B"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cs="Calibri"/>
                <w:sz w:val="20"/>
                <w:szCs w:val="20"/>
              </w:rPr>
              <w:t xml:space="preserve">£327m </w:t>
            </w:r>
          </w:p>
        </w:tc>
        <w:tc>
          <w:tcPr>
            <w:tcW w:w="1017" w:type="pct"/>
            <w:tcBorders>
              <w:bottom w:val="single" w:sz="4" w:space="0" w:color="06357A"/>
              <w:right w:val="nil"/>
            </w:tcBorders>
            <w:shd w:val="clear" w:color="auto" w:fill="auto"/>
            <w:vAlign w:val="center"/>
          </w:tcPr>
          <w:p w14:paraId="60D4F485"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cs="Calibri"/>
                <w:sz w:val="20"/>
                <w:szCs w:val="20"/>
              </w:rPr>
              <w:t>7%</w:t>
            </w:r>
          </w:p>
        </w:tc>
      </w:tr>
      <w:tr w:rsidR="00E13125" w:rsidRPr="0078056B" w14:paraId="19F35050" w14:textId="77777777" w:rsidTr="000A186C">
        <w:trPr>
          <w:trHeight w:val="283"/>
        </w:trPr>
        <w:tc>
          <w:tcPr>
            <w:tcW w:w="634" w:type="pct"/>
            <w:vMerge w:val="restart"/>
            <w:tcBorders>
              <w:top w:val="single" w:sz="4" w:space="0" w:color="06357A"/>
            </w:tcBorders>
            <w:shd w:val="clear" w:color="auto" w:fill="auto"/>
            <w:vAlign w:val="center"/>
          </w:tcPr>
          <w:p w14:paraId="1E9E70BB" w14:textId="77777777" w:rsidR="00E13125" w:rsidRPr="0078056B" w:rsidRDefault="00E13125" w:rsidP="000A186C">
            <w:pPr>
              <w:keepNext/>
              <w:spacing w:before="0" w:after="0"/>
              <w:ind w:left="57" w:right="57"/>
              <w:jc w:val="center"/>
              <w:rPr>
                <w:sz w:val="20"/>
                <w:szCs w:val="20"/>
              </w:rPr>
            </w:pPr>
            <w:r w:rsidRPr="0078056B">
              <w:rPr>
                <w:noProof/>
                <w:sz w:val="20"/>
                <w:szCs w:val="20"/>
                <w:lang w:eastAsia="en-GB"/>
              </w:rPr>
              <w:drawing>
                <wp:inline distT="0" distB="0" distL="0" distR="0" wp14:anchorId="3BB1FB27" wp14:editId="35FCE9ED">
                  <wp:extent cx="406080" cy="432000"/>
                  <wp:effectExtent l="0" t="0" r="0" b="6350"/>
                  <wp:docPr id="2050149489" name="Picture 41380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07989" name="Picture 413807989"/>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406080" cy="432000"/>
                          </a:xfrm>
                          <a:prstGeom prst="rect">
                            <a:avLst/>
                          </a:prstGeom>
                        </pic:spPr>
                      </pic:pic>
                    </a:graphicData>
                  </a:graphic>
                </wp:inline>
              </w:drawing>
            </w:r>
          </w:p>
        </w:tc>
        <w:tc>
          <w:tcPr>
            <w:tcW w:w="2332" w:type="pct"/>
            <w:tcBorders>
              <w:top w:val="single" w:sz="4" w:space="0" w:color="06357A"/>
              <w:bottom w:val="single" w:sz="4" w:space="0" w:color="06357A"/>
            </w:tcBorders>
            <w:shd w:val="clear" w:color="auto" w:fill="06357A" w:themeFill="text2"/>
            <w:vAlign w:val="bottom"/>
          </w:tcPr>
          <w:p w14:paraId="3F57861B" w14:textId="77777777" w:rsidR="00E13125" w:rsidRPr="0078056B" w:rsidRDefault="00E13125" w:rsidP="000A186C">
            <w:pPr>
              <w:keepNext/>
              <w:spacing w:before="0" w:after="0"/>
              <w:ind w:left="57" w:right="57"/>
              <w:jc w:val="left"/>
              <w:rPr>
                <w:rFonts w:asciiTheme="minorHAnsi" w:hAnsiTheme="minorHAnsi" w:cstheme="minorHAnsi"/>
                <w:b/>
                <w:color w:val="FFFFFF" w:themeColor="background1"/>
                <w:sz w:val="20"/>
                <w:szCs w:val="20"/>
              </w:rPr>
            </w:pPr>
            <w:r w:rsidRPr="0078056B">
              <w:rPr>
                <w:rFonts w:cs="Calibri"/>
                <w:b/>
                <w:bCs/>
                <w:color w:val="FFFFFF"/>
                <w:sz w:val="20"/>
                <w:szCs w:val="20"/>
              </w:rPr>
              <w:t>Impact of the University's spending</w:t>
            </w:r>
          </w:p>
        </w:tc>
        <w:tc>
          <w:tcPr>
            <w:tcW w:w="1017" w:type="pct"/>
            <w:tcBorders>
              <w:top w:val="single" w:sz="4" w:space="0" w:color="06357A"/>
              <w:bottom w:val="single" w:sz="4" w:space="0" w:color="06357A"/>
            </w:tcBorders>
            <w:shd w:val="clear" w:color="auto" w:fill="06357A" w:themeFill="text2"/>
            <w:vAlign w:val="center"/>
          </w:tcPr>
          <w:p w14:paraId="1BC0A149" w14:textId="77777777" w:rsidR="00E13125" w:rsidRPr="0078056B" w:rsidRDefault="00E13125" w:rsidP="000A186C">
            <w:pPr>
              <w:keepNext/>
              <w:spacing w:before="0" w:after="0"/>
              <w:ind w:left="57" w:right="57"/>
              <w:jc w:val="center"/>
              <w:rPr>
                <w:rFonts w:asciiTheme="minorHAnsi" w:hAnsiTheme="minorHAnsi" w:cstheme="minorHAnsi"/>
                <w:b/>
                <w:color w:val="FFFFFF" w:themeColor="background1"/>
                <w:sz w:val="20"/>
                <w:szCs w:val="20"/>
              </w:rPr>
            </w:pPr>
            <w:r w:rsidRPr="0078056B">
              <w:rPr>
                <w:rFonts w:cs="Calibri"/>
                <w:b/>
                <w:bCs/>
                <w:color w:val="FFFFFF"/>
                <w:sz w:val="20"/>
                <w:szCs w:val="20"/>
              </w:rPr>
              <w:t xml:space="preserve">£908m </w:t>
            </w:r>
          </w:p>
        </w:tc>
        <w:tc>
          <w:tcPr>
            <w:tcW w:w="1017" w:type="pct"/>
            <w:tcBorders>
              <w:top w:val="single" w:sz="4" w:space="0" w:color="06357A"/>
              <w:bottom w:val="single" w:sz="4" w:space="0" w:color="06357A"/>
              <w:right w:val="nil"/>
            </w:tcBorders>
            <w:shd w:val="clear" w:color="auto" w:fill="06357A" w:themeFill="text2"/>
            <w:vAlign w:val="center"/>
          </w:tcPr>
          <w:p w14:paraId="47F84170" w14:textId="77777777" w:rsidR="00E13125" w:rsidRPr="0078056B" w:rsidRDefault="00E13125" w:rsidP="000A186C">
            <w:pPr>
              <w:keepNext/>
              <w:spacing w:before="0" w:after="0"/>
              <w:ind w:left="57" w:right="57"/>
              <w:jc w:val="center"/>
              <w:rPr>
                <w:rFonts w:asciiTheme="minorHAnsi" w:hAnsiTheme="minorHAnsi" w:cstheme="minorHAnsi"/>
                <w:color w:val="FFFFFF" w:themeColor="background1"/>
                <w:sz w:val="20"/>
                <w:szCs w:val="20"/>
              </w:rPr>
            </w:pPr>
            <w:r w:rsidRPr="0078056B">
              <w:rPr>
                <w:rFonts w:cs="Calibri"/>
                <w:b/>
                <w:bCs/>
                <w:color w:val="FFFFFF"/>
                <w:sz w:val="20"/>
                <w:szCs w:val="20"/>
              </w:rPr>
              <w:t>21%</w:t>
            </w:r>
          </w:p>
        </w:tc>
      </w:tr>
      <w:tr w:rsidR="00E13125" w:rsidRPr="0078056B" w14:paraId="5471741A" w14:textId="77777777" w:rsidTr="000A186C">
        <w:trPr>
          <w:trHeight w:val="283"/>
        </w:trPr>
        <w:tc>
          <w:tcPr>
            <w:tcW w:w="634" w:type="pct"/>
            <w:vMerge/>
            <w:shd w:val="clear" w:color="auto" w:fill="auto"/>
            <w:vAlign w:val="center"/>
          </w:tcPr>
          <w:p w14:paraId="265CD2BF" w14:textId="77777777" w:rsidR="00E13125" w:rsidRPr="0078056B" w:rsidRDefault="00E13125" w:rsidP="000A186C">
            <w:pPr>
              <w:keepNext/>
              <w:spacing w:before="0" w:after="0"/>
              <w:ind w:left="57" w:right="57"/>
              <w:jc w:val="center"/>
              <w:rPr>
                <w:sz w:val="20"/>
                <w:szCs w:val="20"/>
              </w:rPr>
            </w:pPr>
          </w:p>
        </w:tc>
        <w:tc>
          <w:tcPr>
            <w:tcW w:w="2332" w:type="pct"/>
            <w:tcBorders>
              <w:top w:val="single" w:sz="4" w:space="0" w:color="06357A"/>
              <w:bottom w:val="single" w:sz="4" w:space="0" w:color="BFBFBF" w:themeColor="background1" w:themeShade="BF"/>
            </w:tcBorders>
            <w:shd w:val="clear" w:color="auto" w:fill="auto"/>
            <w:vAlign w:val="bottom"/>
          </w:tcPr>
          <w:p w14:paraId="520DC061" w14:textId="77777777" w:rsidR="00E13125" w:rsidRPr="0078056B" w:rsidRDefault="00E13125" w:rsidP="000A186C">
            <w:pPr>
              <w:keepNext/>
              <w:spacing w:before="0" w:after="0"/>
              <w:ind w:left="57" w:right="57"/>
              <w:jc w:val="left"/>
              <w:rPr>
                <w:rFonts w:asciiTheme="minorHAnsi" w:hAnsiTheme="minorHAnsi" w:cstheme="minorHAnsi"/>
                <w:sz w:val="20"/>
                <w:szCs w:val="20"/>
              </w:rPr>
            </w:pPr>
            <w:r w:rsidRPr="0078056B">
              <w:rPr>
                <w:rFonts w:cs="Calibri"/>
                <w:color w:val="000000"/>
                <w:sz w:val="20"/>
                <w:szCs w:val="20"/>
              </w:rPr>
              <w:t>Direct impact</w:t>
            </w:r>
          </w:p>
        </w:tc>
        <w:tc>
          <w:tcPr>
            <w:tcW w:w="1017" w:type="pct"/>
            <w:tcBorders>
              <w:top w:val="single" w:sz="4" w:space="0" w:color="06357A"/>
              <w:bottom w:val="single" w:sz="4" w:space="0" w:color="BFBFBF" w:themeColor="background1" w:themeShade="BF"/>
            </w:tcBorders>
            <w:shd w:val="clear" w:color="auto" w:fill="auto"/>
            <w:vAlign w:val="center"/>
          </w:tcPr>
          <w:p w14:paraId="749A1EA7"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cs="Calibri"/>
                <w:sz w:val="20"/>
                <w:szCs w:val="20"/>
              </w:rPr>
              <w:t xml:space="preserve">£398m </w:t>
            </w:r>
          </w:p>
        </w:tc>
        <w:tc>
          <w:tcPr>
            <w:tcW w:w="1017" w:type="pct"/>
            <w:tcBorders>
              <w:top w:val="single" w:sz="4" w:space="0" w:color="06357A"/>
              <w:bottom w:val="single" w:sz="4" w:space="0" w:color="BFBFBF" w:themeColor="background1" w:themeShade="BF"/>
              <w:right w:val="nil"/>
            </w:tcBorders>
            <w:shd w:val="clear" w:color="auto" w:fill="auto"/>
            <w:vAlign w:val="center"/>
          </w:tcPr>
          <w:p w14:paraId="5796EF91"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cs="Calibri"/>
                <w:sz w:val="20"/>
                <w:szCs w:val="20"/>
              </w:rPr>
              <w:t>9%</w:t>
            </w:r>
          </w:p>
        </w:tc>
      </w:tr>
      <w:tr w:rsidR="00E13125" w:rsidRPr="0078056B" w14:paraId="3531A27E" w14:textId="77777777" w:rsidTr="00C0122A">
        <w:trPr>
          <w:trHeight w:val="283"/>
        </w:trPr>
        <w:tc>
          <w:tcPr>
            <w:tcW w:w="634" w:type="pct"/>
            <w:vMerge/>
            <w:tcBorders>
              <w:bottom w:val="single" w:sz="4" w:space="0" w:color="06357A"/>
            </w:tcBorders>
            <w:shd w:val="clear" w:color="auto" w:fill="auto"/>
            <w:vAlign w:val="center"/>
          </w:tcPr>
          <w:p w14:paraId="1F7FEEE7" w14:textId="77777777" w:rsidR="00E13125" w:rsidRPr="0078056B" w:rsidRDefault="00E13125" w:rsidP="000A186C">
            <w:pPr>
              <w:keepNext/>
              <w:spacing w:before="0" w:after="0"/>
              <w:ind w:left="57" w:right="57"/>
              <w:jc w:val="center"/>
              <w:rPr>
                <w:sz w:val="20"/>
                <w:szCs w:val="20"/>
              </w:rPr>
            </w:pPr>
          </w:p>
        </w:tc>
        <w:tc>
          <w:tcPr>
            <w:tcW w:w="2332" w:type="pct"/>
            <w:tcBorders>
              <w:bottom w:val="single" w:sz="4" w:space="0" w:color="06357A"/>
            </w:tcBorders>
            <w:shd w:val="clear" w:color="auto" w:fill="auto"/>
            <w:vAlign w:val="bottom"/>
          </w:tcPr>
          <w:p w14:paraId="09FCC526" w14:textId="77777777" w:rsidR="00E13125" w:rsidRPr="0078056B" w:rsidRDefault="00E13125" w:rsidP="000A186C">
            <w:pPr>
              <w:keepNext/>
              <w:spacing w:before="0" w:after="0"/>
              <w:ind w:left="57" w:right="57"/>
              <w:jc w:val="left"/>
              <w:rPr>
                <w:rFonts w:asciiTheme="minorHAnsi" w:hAnsiTheme="minorHAnsi" w:cstheme="minorHAnsi"/>
                <w:sz w:val="20"/>
                <w:szCs w:val="20"/>
              </w:rPr>
            </w:pPr>
            <w:r w:rsidRPr="0078056B">
              <w:rPr>
                <w:rFonts w:cs="Calibri"/>
                <w:color w:val="000000"/>
                <w:sz w:val="20"/>
                <w:szCs w:val="20"/>
              </w:rPr>
              <w:t>Indirect and induced impact</w:t>
            </w:r>
          </w:p>
        </w:tc>
        <w:tc>
          <w:tcPr>
            <w:tcW w:w="1017" w:type="pct"/>
            <w:tcBorders>
              <w:bottom w:val="single" w:sz="4" w:space="0" w:color="06357A"/>
            </w:tcBorders>
            <w:shd w:val="clear" w:color="auto" w:fill="auto"/>
            <w:vAlign w:val="center"/>
          </w:tcPr>
          <w:p w14:paraId="4124033E"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cs="Calibri"/>
                <w:sz w:val="20"/>
                <w:szCs w:val="20"/>
              </w:rPr>
              <w:t xml:space="preserve">£510m </w:t>
            </w:r>
          </w:p>
        </w:tc>
        <w:tc>
          <w:tcPr>
            <w:tcW w:w="1017" w:type="pct"/>
            <w:tcBorders>
              <w:bottom w:val="single" w:sz="4" w:space="0" w:color="06357A"/>
              <w:right w:val="nil"/>
            </w:tcBorders>
            <w:shd w:val="clear" w:color="auto" w:fill="auto"/>
            <w:vAlign w:val="center"/>
          </w:tcPr>
          <w:p w14:paraId="1D9D4375"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cs="Calibri"/>
                <w:sz w:val="20"/>
                <w:szCs w:val="20"/>
              </w:rPr>
              <w:t>12%</w:t>
            </w:r>
          </w:p>
        </w:tc>
      </w:tr>
      <w:tr w:rsidR="00E13125" w:rsidRPr="0078056B" w14:paraId="307E54E2" w14:textId="77777777" w:rsidTr="00C0122A">
        <w:trPr>
          <w:trHeight w:val="283"/>
        </w:trPr>
        <w:tc>
          <w:tcPr>
            <w:tcW w:w="634" w:type="pct"/>
            <w:vMerge w:val="restart"/>
            <w:shd w:val="clear" w:color="auto" w:fill="auto"/>
            <w:vAlign w:val="center"/>
          </w:tcPr>
          <w:p w14:paraId="4C337E16" w14:textId="77777777" w:rsidR="00E13125" w:rsidRPr="0078056B" w:rsidRDefault="00E13125" w:rsidP="000A186C">
            <w:pPr>
              <w:keepNext/>
              <w:spacing w:before="0" w:after="0"/>
              <w:ind w:left="57" w:right="57"/>
              <w:jc w:val="center"/>
              <w:rPr>
                <w:sz w:val="20"/>
                <w:szCs w:val="20"/>
              </w:rPr>
            </w:pPr>
            <w:r w:rsidRPr="0078056B">
              <w:rPr>
                <w:noProof/>
                <w:sz w:val="20"/>
                <w:szCs w:val="20"/>
              </w:rPr>
              <w:drawing>
                <wp:inline distT="0" distB="0" distL="0" distR="0" wp14:anchorId="42A6EC02" wp14:editId="18B8EA70">
                  <wp:extent cx="540000" cy="540000"/>
                  <wp:effectExtent l="0" t="0" r="0" b="0"/>
                  <wp:docPr id="1634273828" name="Graphic 2" descr="Marker">
                    <a:extLst xmlns:a="http://schemas.openxmlformats.org/drawingml/2006/main">
                      <a:ext uri="{FF2B5EF4-FFF2-40B4-BE49-F238E27FC236}">
                        <a16:creationId xmlns:a16="http://schemas.microsoft.com/office/drawing/2014/main" id="{8F7911A5-1FED-40F7-98D2-147DE9CF2E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descr="Marker">
                            <a:extLst>
                              <a:ext uri="{FF2B5EF4-FFF2-40B4-BE49-F238E27FC236}">
                                <a16:creationId xmlns:a16="http://schemas.microsoft.com/office/drawing/2014/main" id="{8F7911A5-1FED-40F7-98D2-147DE9CF2EB8}"/>
                              </a:ext>
                            </a:extLst>
                          </pic:cNvPr>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40000" cy="540000"/>
                          </a:xfrm>
                          <a:prstGeom prst="rect">
                            <a:avLst/>
                          </a:prstGeom>
                        </pic:spPr>
                      </pic:pic>
                    </a:graphicData>
                  </a:graphic>
                </wp:inline>
              </w:drawing>
            </w:r>
          </w:p>
        </w:tc>
        <w:tc>
          <w:tcPr>
            <w:tcW w:w="2332" w:type="pct"/>
            <w:tcBorders>
              <w:top w:val="single" w:sz="4" w:space="0" w:color="06357A"/>
              <w:bottom w:val="single" w:sz="4" w:space="0" w:color="06357A"/>
            </w:tcBorders>
            <w:shd w:val="clear" w:color="auto" w:fill="06357A" w:themeFill="text2"/>
            <w:vAlign w:val="bottom"/>
          </w:tcPr>
          <w:p w14:paraId="6E78E250" w14:textId="77777777" w:rsidR="00E13125" w:rsidRPr="0078056B" w:rsidRDefault="00E13125" w:rsidP="000A186C">
            <w:pPr>
              <w:keepNext/>
              <w:spacing w:before="0" w:after="0"/>
              <w:ind w:left="57" w:right="57"/>
              <w:jc w:val="left"/>
              <w:rPr>
                <w:rFonts w:asciiTheme="minorHAnsi" w:hAnsiTheme="minorHAnsi" w:cstheme="minorHAnsi"/>
                <w:sz w:val="20"/>
                <w:szCs w:val="20"/>
              </w:rPr>
            </w:pPr>
            <w:r w:rsidRPr="0078056B">
              <w:rPr>
                <w:rFonts w:cs="Calibri"/>
                <w:b/>
                <w:bCs/>
                <w:color w:val="FFFFFF"/>
                <w:sz w:val="20"/>
                <w:szCs w:val="20"/>
              </w:rPr>
              <w:t>Impact of tourism</w:t>
            </w:r>
          </w:p>
        </w:tc>
        <w:tc>
          <w:tcPr>
            <w:tcW w:w="1017" w:type="pct"/>
            <w:tcBorders>
              <w:top w:val="single" w:sz="4" w:space="0" w:color="06357A"/>
              <w:bottom w:val="single" w:sz="4" w:space="0" w:color="06357A"/>
            </w:tcBorders>
            <w:shd w:val="clear" w:color="auto" w:fill="06357A" w:themeFill="text2"/>
            <w:vAlign w:val="center"/>
          </w:tcPr>
          <w:p w14:paraId="2E8F0C7A" w14:textId="77777777" w:rsidR="00E13125" w:rsidRPr="0078056B" w:rsidRDefault="00E13125" w:rsidP="000A186C">
            <w:pPr>
              <w:keepNext/>
              <w:spacing w:before="0" w:after="0"/>
              <w:ind w:left="57" w:right="57"/>
              <w:jc w:val="center"/>
              <w:rPr>
                <w:rFonts w:cs="Calibri"/>
                <w:color w:val="000000"/>
                <w:sz w:val="20"/>
                <w:szCs w:val="20"/>
              </w:rPr>
            </w:pPr>
            <w:r w:rsidRPr="0078056B">
              <w:rPr>
                <w:rFonts w:cs="Calibri"/>
                <w:b/>
                <w:bCs/>
                <w:color w:val="FFFFFF"/>
                <w:sz w:val="20"/>
                <w:szCs w:val="20"/>
              </w:rPr>
              <w:t xml:space="preserve">£46m </w:t>
            </w:r>
          </w:p>
        </w:tc>
        <w:tc>
          <w:tcPr>
            <w:tcW w:w="1017" w:type="pct"/>
            <w:tcBorders>
              <w:top w:val="single" w:sz="4" w:space="0" w:color="06357A"/>
              <w:bottom w:val="single" w:sz="4" w:space="0" w:color="06357A"/>
              <w:right w:val="nil"/>
            </w:tcBorders>
            <w:shd w:val="clear" w:color="auto" w:fill="06357A" w:themeFill="text2"/>
            <w:vAlign w:val="center"/>
          </w:tcPr>
          <w:p w14:paraId="40DE7013" w14:textId="77777777" w:rsidR="00E13125" w:rsidRPr="0078056B" w:rsidRDefault="00E13125" w:rsidP="000A186C">
            <w:pPr>
              <w:keepNext/>
              <w:spacing w:before="0" w:after="0"/>
              <w:ind w:left="57" w:right="57"/>
              <w:jc w:val="center"/>
              <w:rPr>
                <w:rFonts w:cs="Calibri"/>
                <w:color w:val="000000"/>
                <w:sz w:val="20"/>
                <w:szCs w:val="20"/>
              </w:rPr>
            </w:pPr>
            <w:r w:rsidRPr="0078056B">
              <w:rPr>
                <w:rFonts w:cs="Calibri"/>
                <w:b/>
                <w:bCs/>
                <w:color w:val="FFFFFF"/>
                <w:sz w:val="20"/>
                <w:szCs w:val="20"/>
              </w:rPr>
              <w:t>1%</w:t>
            </w:r>
          </w:p>
        </w:tc>
      </w:tr>
      <w:tr w:rsidR="00E13125" w:rsidRPr="0078056B" w14:paraId="1C1E8D5D" w14:textId="77777777" w:rsidTr="00C0122A">
        <w:trPr>
          <w:trHeight w:val="283"/>
        </w:trPr>
        <w:tc>
          <w:tcPr>
            <w:tcW w:w="634" w:type="pct"/>
            <w:vMerge/>
            <w:shd w:val="clear" w:color="auto" w:fill="auto"/>
            <w:vAlign w:val="center"/>
          </w:tcPr>
          <w:p w14:paraId="798B1C9E" w14:textId="77777777" w:rsidR="00E13125" w:rsidRPr="0078056B" w:rsidRDefault="00E13125" w:rsidP="000A186C">
            <w:pPr>
              <w:keepNext/>
              <w:spacing w:before="0" w:after="0"/>
              <w:ind w:left="57" w:right="57"/>
              <w:jc w:val="center"/>
              <w:rPr>
                <w:sz w:val="20"/>
                <w:szCs w:val="20"/>
              </w:rPr>
            </w:pPr>
          </w:p>
        </w:tc>
        <w:tc>
          <w:tcPr>
            <w:tcW w:w="2332" w:type="pct"/>
            <w:tcBorders>
              <w:top w:val="single" w:sz="4" w:space="0" w:color="06357A"/>
              <w:bottom w:val="single" w:sz="4" w:space="0" w:color="BFBFBF"/>
            </w:tcBorders>
            <w:shd w:val="clear" w:color="auto" w:fill="auto"/>
            <w:vAlign w:val="bottom"/>
          </w:tcPr>
          <w:p w14:paraId="68D5D447" w14:textId="77777777" w:rsidR="00E13125" w:rsidRPr="0078056B" w:rsidRDefault="00E13125" w:rsidP="000A186C">
            <w:pPr>
              <w:keepNext/>
              <w:spacing w:before="0" w:after="0"/>
              <w:ind w:left="57" w:right="57"/>
              <w:jc w:val="left"/>
              <w:rPr>
                <w:rFonts w:asciiTheme="minorHAnsi" w:hAnsiTheme="minorHAnsi" w:cstheme="minorHAnsi"/>
                <w:sz w:val="20"/>
                <w:szCs w:val="20"/>
              </w:rPr>
            </w:pPr>
            <w:r w:rsidRPr="0078056B">
              <w:rPr>
                <w:rFonts w:cs="Calibri"/>
                <w:color w:val="000000"/>
                <w:sz w:val="20"/>
                <w:szCs w:val="20"/>
              </w:rPr>
              <w:t>Direct impact</w:t>
            </w:r>
          </w:p>
        </w:tc>
        <w:tc>
          <w:tcPr>
            <w:tcW w:w="1017" w:type="pct"/>
            <w:tcBorders>
              <w:top w:val="single" w:sz="4" w:space="0" w:color="06357A"/>
              <w:bottom w:val="single" w:sz="4" w:space="0" w:color="BFBFBF"/>
            </w:tcBorders>
            <w:shd w:val="clear" w:color="auto" w:fill="auto"/>
            <w:vAlign w:val="center"/>
          </w:tcPr>
          <w:p w14:paraId="6E3DA3CC" w14:textId="77777777" w:rsidR="00E13125" w:rsidRPr="0078056B" w:rsidRDefault="00E13125" w:rsidP="000A186C">
            <w:pPr>
              <w:keepNext/>
              <w:spacing w:before="0" w:after="0"/>
              <w:ind w:left="57" w:right="57"/>
              <w:jc w:val="center"/>
              <w:rPr>
                <w:rFonts w:cs="Calibri"/>
                <w:color w:val="000000"/>
                <w:sz w:val="20"/>
                <w:szCs w:val="20"/>
              </w:rPr>
            </w:pPr>
            <w:r w:rsidRPr="0078056B">
              <w:rPr>
                <w:rFonts w:cs="Calibri"/>
                <w:color w:val="000000"/>
                <w:sz w:val="20"/>
                <w:szCs w:val="20"/>
              </w:rPr>
              <w:t xml:space="preserve">£19m </w:t>
            </w:r>
          </w:p>
        </w:tc>
        <w:tc>
          <w:tcPr>
            <w:tcW w:w="1017" w:type="pct"/>
            <w:tcBorders>
              <w:top w:val="single" w:sz="4" w:space="0" w:color="06357A"/>
              <w:bottom w:val="single" w:sz="4" w:space="0" w:color="BFBFBF"/>
              <w:right w:val="nil"/>
            </w:tcBorders>
            <w:shd w:val="clear" w:color="auto" w:fill="auto"/>
            <w:vAlign w:val="center"/>
          </w:tcPr>
          <w:p w14:paraId="4DC1BA8D" w14:textId="77777777" w:rsidR="00E13125" w:rsidRPr="0078056B" w:rsidRDefault="00E13125" w:rsidP="000A186C">
            <w:pPr>
              <w:keepNext/>
              <w:spacing w:before="0" w:after="0"/>
              <w:ind w:left="57" w:right="57"/>
              <w:jc w:val="center"/>
              <w:rPr>
                <w:rFonts w:cs="Calibri"/>
                <w:color w:val="000000"/>
                <w:sz w:val="20"/>
                <w:szCs w:val="20"/>
              </w:rPr>
            </w:pPr>
            <w:r w:rsidRPr="0078056B">
              <w:rPr>
                <w:rFonts w:cs="Calibri"/>
                <w:sz w:val="20"/>
                <w:szCs w:val="20"/>
              </w:rPr>
              <w:t>0%</w:t>
            </w:r>
          </w:p>
        </w:tc>
      </w:tr>
      <w:tr w:rsidR="00E13125" w:rsidRPr="0078056B" w14:paraId="67B55871" w14:textId="77777777" w:rsidTr="00C0122A">
        <w:trPr>
          <w:trHeight w:val="283"/>
        </w:trPr>
        <w:tc>
          <w:tcPr>
            <w:tcW w:w="634" w:type="pct"/>
            <w:vMerge/>
            <w:tcBorders>
              <w:bottom w:val="single" w:sz="4" w:space="0" w:color="06357A"/>
            </w:tcBorders>
            <w:shd w:val="clear" w:color="auto" w:fill="auto"/>
            <w:vAlign w:val="center"/>
          </w:tcPr>
          <w:p w14:paraId="5B21EFF7" w14:textId="77777777" w:rsidR="00E13125" w:rsidRPr="0078056B" w:rsidRDefault="00E13125" w:rsidP="000A186C">
            <w:pPr>
              <w:keepNext/>
              <w:spacing w:before="0" w:after="0"/>
              <w:ind w:left="57" w:right="57"/>
              <w:jc w:val="center"/>
              <w:rPr>
                <w:sz w:val="20"/>
                <w:szCs w:val="20"/>
              </w:rPr>
            </w:pPr>
          </w:p>
        </w:tc>
        <w:tc>
          <w:tcPr>
            <w:tcW w:w="2332" w:type="pct"/>
            <w:tcBorders>
              <w:top w:val="single" w:sz="4" w:space="0" w:color="BFBFBF"/>
              <w:bottom w:val="single" w:sz="4" w:space="0" w:color="BFBFBF"/>
            </w:tcBorders>
            <w:shd w:val="clear" w:color="auto" w:fill="auto"/>
            <w:vAlign w:val="bottom"/>
          </w:tcPr>
          <w:p w14:paraId="3FFFC600" w14:textId="77777777" w:rsidR="00E13125" w:rsidRPr="0078056B" w:rsidRDefault="00E13125" w:rsidP="000A186C">
            <w:pPr>
              <w:keepNext/>
              <w:spacing w:before="0" w:after="0"/>
              <w:ind w:left="57" w:right="57"/>
              <w:jc w:val="left"/>
              <w:rPr>
                <w:rFonts w:asciiTheme="minorHAnsi" w:hAnsiTheme="minorHAnsi" w:cstheme="minorHAnsi"/>
                <w:sz w:val="20"/>
                <w:szCs w:val="20"/>
              </w:rPr>
            </w:pPr>
            <w:r w:rsidRPr="0078056B">
              <w:rPr>
                <w:rFonts w:cs="Calibri"/>
                <w:color w:val="000000"/>
                <w:sz w:val="20"/>
                <w:szCs w:val="20"/>
              </w:rPr>
              <w:t>Indirect and induced impact</w:t>
            </w:r>
          </w:p>
        </w:tc>
        <w:tc>
          <w:tcPr>
            <w:tcW w:w="1017" w:type="pct"/>
            <w:tcBorders>
              <w:top w:val="single" w:sz="4" w:space="0" w:color="BFBFBF"/>
              <w:bottom w:val="single" w:sz="4" w:space="0" w:color="BFBFBF"/>
            </w:tcBorders>
            <w:shd w:val="clear" w:color="auto" w:fill="auto"/>
            <w:vAlign w:val="center"/>
          </w:tcPr>
          <w:p w14:paraId="525BBDB9" w14:textId="77777777" w:rsidR="00E13125" w:rsidRPr="0078056B" w:rsidRDefault="00E13125" w:rsidP="000A186C">
            <w:pPr>
              <w:keepNext/>
              <w:spacing w:before="0" w:after="0"/>
              <w:ind w:left="57" w:right="57"/>
              <w:jc w:val="center"/>
              <w:rPr>
                <w:rFonts w:cs="Calibri"/>
                <w:color w:val="000000"/>
                <w:sz w:val="20"/>
                <w:szCs w:val="20"/>
              </w:rPr>
            </w:pPr>
            <w:r w:rsidRPr="0078056B">
              <w:rPr>
                <w:rFonts w:cs="Calibri"/>
                <w:color w:val="000000"/>
                <w:sz w:val="20"/>
                <w:szCs w:val="20"/>
              </w:rPr>
              <w:t xml:space="preserve">£26m </w:t>
            </w:r>
          </w:p>
        </w:tc>
        <w:tc>
          <w:tcPr>
            <w:tcW w:w="1017" w:type="pct"/>
            <w:tcBorders>
              <w:top w:val="single" w:sz="4" w:space="0" w:color="BFBFBF"/>
              <w:bottom w:val="single" w:sz="4" w:space="0" w:color="BFBFBF"/>
              <w:right w:val="nil"/>
            </w:tcBorders>
            <w:shd w:val="clear" w:color="auto" w:fill="auto"/>
            <w:vAlign w:val="center"/>
          </w:tcPr>
          <w:p w14:paraId="248A463D" w14:textId="77777777" w:rsidR="00E13125" w:rsidRPr="0078056B" w:rsidRDefault="00E13125" w:rsidP="000A186C">
            <w:pPr>
              <w:keepNext/>
              <w:spacing w:before="0" w:after="0"/>
              <w:ind w:left="57" w:right="57"/>
              <w:jc w:val="center"/>
              <w:rPr>
                <w:rFonts w:cs="Calibri"/>
                <w:color w:val="000000"/>
                <w:sz w:val="20"/>
                <w:szCs w:val="20"/>
              </w:rPr>
            </w:pPr>
            <w:r w:rsidRPr="0078056B">
              <w:rPr>
                <w:rFonts w:cs="Calibri"/>
                <w:sz w:val="20"/>
                <w:szCs w:val="20"/>
              </w:rPr>
              <w:t>1%</w:t>
            </w:r>
          </w:p>
        </w:tc>
      </w:tr>
      <w:tr w:rsidR="00E13125" w:rsidRPr="0078056B" w14:paraId="335EBA6D" w14:textId="77777777" w:rsidTr="00C0122A">
        <w:trPr>
          <w:trHeight w:val="283"/>
        </w:trPr>
        <w:tc>
          <w:tcPr>
            <w:tcW w:w="634" w:type="pct"/>
            <w:tcBorders>
              <w:top w:val="nil"/>
              <w:bottom w:val="nil"/>
              <w:right w:val="nil"/>
            </w:tcBorders>
            <w:shd w:val="clear" w:color="auto" w:fill="000000" w:themeFill="text1"/>
            <w:vAlign w:val="center"/>
          </w:tcPr>
          <w:p w14:paraId="330ECF6D" w14:textId="77777777" w:rsidR="00E13125" w:rsidRPr="0078056B" w:rsidRDefault="00E13125" w:rsidP="000A186C">
            <w:pPr>
              <w:keepNext/>
              <w:spacing w:before="0" w:after="0"/>
              <w:ind w:left="57" w:right="57"/>
              <w:jc w:val="center"/>
              <w:rPr>
                <w:b/>
                <w:color w:val="FFFFFF" w:themeColor="background1"/>
                <w:sz w:val="20"/>
                <w:szCs w:val="20"/>
              </w:rPr>
            </w:pPr>
          </w:p>
        </w:tc>
        <w:tc>
          <w:tcPr>
            <w:tcW w:w="2332" w:type="pct"/>
            <w:tcBorders>
              <w:top w:val="single" w:sz="4" w:space="0" w:color="BFBFBF"/>
              <w:left w:val="nil"/>
              <w:bottom w:val="nil"/>
              <w:right w:val="nil"/>
            </w:tcBorders>
            <w:shd w:val="clear" w:color="auto" w:fill="000000" w:themeFill="text1"/>
            <w:vAlign w:val="center"/>
          </w:tcPr>
          <w:p w14:paraId="5A386369" w14:textId="77777777" w:rsidR="00E13125" w:rsidRPr="0078056B" w:rsidRDefault="00E13125" w:rsidP="000A186C">
            <w:pPr>
              <w:keepNext/>
              <w:spacing w:before="0" w:after="0"/>
              <w:ind w:left="57" w:right="57"/>
              <w:jc w:val="left"/>
              <w:rPr>
                <w:rFonts w:asciiTheme="minorHAnsi" w:hAnsiTheme="minorHAnsi" w:cstheme="minorHAnsi"/>
                <w:b/>
                <w:color w:val="FFFFFF" w:themeColor="background1"/>
                <w:sz w:val="20"/>
                <w:szCs w:val="20"/>
              </w:rPr>
            </w:pPr>
            <w:r w:rsidRPr="0078056B">
              <w:rPr>
                <w:rFonts w:cs="Calibri"/>
                <w:b/>
                <w:bCs/>
                <w:color w:val="FFFFFF"/>
                <w:sz w:val="20"/>
                <w:szCs w:val="20"/>
              </w:rPr>
              <w:t>Total economic impact</w:t>
            </w:r>
          </w:p>
        </w:tc>
        <w:tc>
          <w:tcPr>
            <w:tcW w:w="1017" w:type="pct"/>
            <w:tcBorders>
              <w:top w:val="single" w:sz="4" w:space="0" w:color="BFBFBF"/>
              <w:left w:val="nil"/>
              <w:bottom w:val="nil"/>
              <w:right w:val="nil"/>
            </w:tcBorders>
            <w:shd w:val="clear" w:color="auto" w:fill="000000" w:themeFill="text1"/>
            <w:vAlign w:val="center"/>
          </w:tcPr>
          <w:p w14:paraId="404A92AE"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cs="Calibri"/>
                <w:b/>
                <w:bCs/>
                <w:color w:val="FFFFFF"/>
                <w:sz w:val="20"/>
                <w:szCs w:val="20"/>
              </w:rPr>
              <w:t xml:space="preserve">£4,388m </w:t>
            </w:r>
          </w:p>
        </w:tc>
        <w:tc>
          <w:tcPr>
            <w:tcW w:w="1017" w:type="pct"/>
            <w:tcBorders>
              <w:top w:val="single" w:sz="4" w:space="0" w:color="BFBFBF"/>
              <w:left w:val="nil"/>
              <w:bottom w:val="nil"/>
              <w:right w:val="nil"/>
            </w:tcBorders>
            <w:shd w:val="clear" w:color="auto" w:fill="000000" w:themeFill="text1"/>
            <w:vAlign w:val="center"/>
          </w:tcPr>
          <w:p w14:paraId="07E9E765" w14:textId="77777777" w:rsidR="00E13125" w:rsidRPr="0078056B" w:rsidRDefault="00E13125" w:rsidP="000A186C">
            <w:pPr>
              <w:keepNext/>
              <w:spacing w:before="0" w:after="0"/>
              <w:ind w:left="57" w:right="57"/>
              <w:jc w:val="center"/>
              <w:rPr>
                <w:rFonts w:asciiTheme="minorHAnsi" w:hAnsiTheme="minorHAnsi" w:cstheme="minorHAnsi"/>
                <w:sz w:val="20"/>
                <w:szCs w:val="20"/>
              </w:rPr>
            </w:pPr>
            <w:r w:rsidRPr="0078056B">
              <w:rPr>
                <w:rFonts w:cs="Calibri"/>
                <w:b/>
                <w:bCs/>
                <w:color w:val="FFFFFF"/>
                <w:sz w:val="20"/>
                <w:szCs w:val="20"/>
              </w:rPr>
              <w:t>100%</w:t>
            </w:r>
          </w:p>
        </w:tc>
      </w:tr>
    </w:tbl>
    <w:p w14:paraId="5422ABEE" w14:textId="77777777" w:rsidR="00E13125" w:rsidRPr="0078056B" w:rsidRDefault="00E13125" w:rsidP="00E13125">
      <w:pPr>
        <w:pStyle w:val="TableNote"/>
        <w:rPr>
          <w:b/>
          <w:i/>
        </w:rPr>
      </w:pPr>
      <w:r w:rsidRPr="0078056B">
        <w:t xml:space="preserve">Note: All estimates are presented in 2021-22 prices, rounded to the nearest £1m, and may not add up precisely to the totals indicated. The percentage figures in the brackets represent the proportion of total impact in that region associated with the strand/sub-strand of analysis. </w:t>
      </w:r>
      <w:r w:rsidRPr="0078056B">
        <w:rPr>
          <w:b/>
          <w:i/>
        </w:rPr>
        <w:t>Source: London Economics' analysis</w:t>
      </w:r>
    </w:p>
    <w:p w14:paraId="512ABC7A" w14:textId="5FEDA2C9" w:rsidR="00E13125" w:rsidRPr="0078056B" w:rsidRDefault="00E13125" w:rsidP="00E13125">
      <w:pPr>
        <w:rPr>
          <w:rFonts w:asciiTheme="minorHAnsi" w:hAnsiTheme="minorHAnsi"/>
        </w:rPr>
      </w:pPr>
      <w:r w:rsidRPr="0078056B">
        <w:lastRenderedPageBreak/>
        <w:t xml:space="preserve">Compared to the University’s total </w:t>
      </w:r>
      <w:r w:rsidR="00D56DE9" w:rsidRPr="0078056B">
        <w:t xml:space="preserve">relevant </w:t>
      </w:r>
      <w:r w:rsidRPr="0078056B">
        <w:t xml:space="preserve">operational costs of approximately </w:t>
      </w:r>
      <w:r w:rsidRPr="0078056B">
        <w:rPr>
          <w:rFonts w:asciiTheme="minorHAnsi" w:hAnsiTheme="minorHAnsi"/>
          <w:b/>
          <w:bCs/>
          <w:color w:val="06357A" w:themeColor="accent1"/>
        </w:rPr>
        <w:t>£769 million</w:t>
      </w:r>
      <w:r w:rsidRPr="0078056B">
        <w:t xml:space="preserve"> in 2021-22</w:t>
      </w:r>
      <w:r w:rsidRPr="0078056B">
        <w:rPr>
          <w:rStyle w:val="FootnoteReference"/>
        </w:rPr>
        <w:footnoteReference w:id="97"/>
      </w:r>
      <w:r w:rsidRPr="0078056B">
        <w:t xml:space="preserve">, the total impact of the University of Birmingham’s activities on the UK economy was estimated at </w:t>
      </w:r>
      <w:r w:rsidRPr="0078056B">
        <w:rPr>
          <w:b/>
          <w:bCs/>
          <w:color w:val="06357A"/>
        </w:rPr>
        <w:t>£4.4 billion</w:t>
      </w:r>
      <w:r w:rsidRPr="0078056B">
        <w:t xml:space="preserve">, which corresponds to a </w:t>
      </w:r>
      <w:r w:rsidRPr="0078056B">
        <w:rPr>
          <w:b/>
          <w:bCs/>
          <w:color w:val="06357A"/>
        </w:rPr>
        <w:t>benefit to cost ratio of approximately</w:t>
      </w:r>
      <w:r w:rsidRPr="0078056B">
        <w:rPr>
          <w:color w:val="06357A"/>
        </w:rPr>
        <w:t xml:space="preserve"> </w:t>
      </w:r>
      <w:r w:rsidRPr="0078056B">
        <w:rPr>
          <w:rFonts w:asciiTheme="minorHAnsi" w:hAnsiTheme="minorHAnsi"/>
          <w:b/>
          <w:bCs/>
          <w:color w:val="06357A"/>
        </w:rPr>
        <w:t>5.7:1</w:t>
      </w:r>
      <w:r w:rsidRPr="0078056B">
        <w:rPr>
          <w:rFonts w:asciiTheme="minorHAnsi" w:hAnsiTheme="minorHAnsi"/>
          <w:color w:val="000000" w:themeColor="text1"/>
        </w:rPr>
        <w:t>.</w:t>
      </w:r>
    </w:p>
    <w:p w14:paraId="6F8D6730" w14:textId="77777777" w:rsidR="00E13125" w:rsidRPr="0078056B" w:rsidRDefault="00E13125" w:rsidP="00E13125">
      <w:pPr>
        <w:pStyle w:val="Heading2"/>
      </w:pPr>
      <w:bookmarkStart w:id="412" w:name="_Ref146792031"/>
      <w:bookmarkStart w:id="413" w:name="_Toc161676193"/>
      <w:bookmarkStart w:id="414" w:name="_Toc168652147"/>
      <w:r w:rsidRPr="0078056B">
        <w:t>Total impact by region and sector (where available)</w:t>
      </w:r>
      <w:bookmarkEnd w:id="412"/>
      <w:bookmarkEnd w:id="413"/>
      <w:bookmarkEnd w:id="414"/>
    </w:p>
    <w:p w14:paraId="1EBC9899" w14:textId="77777777" w:rsidR="00E13125" w:rsidRPr="0078056B" w:rsidRDefault="00E13125" w:rsidP="00E13125">
      <w:r w:rsidRPr="0078056B">
        <w:t xml:space="preserve">In addition to the total impact on the UK economy as a whole, it was possible to disaggregate </w:t>
      </w:r>
      <w:r w:rsidRPr="0078056B">
        <w:rPr>
          <w:i/>
          <w:iCs/>
        </w:rPr>
        <w:t>some</w:t>
      </w:r>
      <w:r w:rsidRPr="0078056B">
        <w:t xml:space="preserve"> strands of the University’s economic impact by sector and region (and estimate the impacts in terms of economic output </w:t>
      </w:r>
      <w:r w:rsidRPr="0078056B">
        <w:rPr>
          <w:i/>
          <w:iCs/>
        </w:rPr>
        <w:t>as well as</w:t>
      </w:r>
      <w:r w:rsidRPr="0078056B">
        <w:t xml:space="preserve"> GVA and FTE employment). The strands of impact for which this disaggregation was achievable include: </w:t>
      </w:r>
    </w:p>
    <w:p w14:paraId="4436D84F" w14:textId="0A8349A2" w:rsidR="00E13125" w:rsidRPr="0078056B" w:rsidRDefault="00E13125" w:rsidP="003A6119">
      <w:pPr>
        <w:pStyle w:val="MinorBullet1"/>
        <w:numPr>
          <w:ilvl w:val="0"/>
          <w:numId w:val="21"/>
        </w:numPr>
      </w:pPr>
      <w:r w:rsidRPr="0078056B">
        <w:t xml:space="preserve">The direct, indirect and induced impact of the University’s </w:t>
      </w:r>
      <w:r w:rsidRPr="0078056B">
        <w:rPr>
          <w:b/>
          <w:bCs/>
          <w:color w:val="06357A"/>
        </w:rPr>
        <w:t>research activities</w:t>
      </w:r>
      <w:r w:rsidRPr="0078056B">
        <w:rPr>
          <w:color w:val="06357A"/>
        </w:rPr>
        <w:t xml:space="preserve"> </w:t>
      </w:r>
      <w:r w:rsidRPr="0078056B">
        <w:t xml:space="preserve">(estimated at </w:t>
      </w:r>
      <w:r w:rsidRPr="0078056B">
        <w:rPr>
          <w:b/>
          <w:bCs/>
          <w:color w:val="06357A"/>
        </w:rPr>
        <w:t>£192 million</w:t>
      </w:r>
      <w:r w:rsidRPr="0078056B">
        <w:t xml:space="preserve">, see Section </w:t>
      </w:r>
      <w:r w:rsidR="00BF08CC" w:rsidRPr="0078056B">
        <w:fldChar w:fldCharType="begin"/>
      </w:r>
      <w:r w:rsidR="00BF08CC" w:rsidRPr="0078056B">
        <w:instrText xml:space="preserve"> REF _Ref162268747 \r \h  \* MERGEFORMAT </w:instrText>
      </w:r>
      <w:r w:rsidR="00BF08CC" w:rsidRPr="0078056B">
        <w:fldChar w:fldCharType="separate"/>
      </w:r>
      <w:r w:rsidR="00E33157">
        <w:t>2.1</w:t>
      </w:r>
      <w:r w:rsidR="00BF08CC" w:rsidRPr="0078056B">
        <w:fldChar w:fldCharType="end"/>
      </w:r>
      <w:r w:rsidRPr="0078056B">
        <w:t>)</w:t>
      </w:r>
      <w:r w:rsidRPr="0078056B">
        <w:rPr>
          <w:rStyle w:val="FootnoteReference"/>
        </w:rPr>
        <w:footnoteReference w:id="98"/>
      </w:r>
      <w:r w:rsidRPr="0078056B">
        <w:t>;</w:t>
      </w:r>
    </w:p>
    <w:p w14:paraId="0715276B" w14:textId="1A38C435" w:rsidR="00E13125" w:rsidRPr="0078056B" w:rsidRDefault="00E13125" w:rsidP="003A6119">
      <w:pPr>
        <w:pStyle w:val="MinorBullet1"/>
        <w:numPr>
          <w:ilvl w:val="0"/>
          <w:numId w:val="21"/>
        </w:numPr>
      </w:pPr>
      <w:r w:rsidRPr="0078056B">
        <w:t xml:space="preserve">The impact of the University’s </w:t>
      </w:r>
      <w:r w:rsidRPr="0078056B">
        <w:rPr>
          <w:b/>
          <w:bCs/>
          <w:color w:val="06357A"/>
        </w:rPr>
        <w:t>knowledge exchange activities</w:t>
      </w:r>
      <w:r w:rsidRPr="0078056B">
        <w:rPr>
          <w:color w:val="06357A"/>
        </w:rPr>
        <w:t xml:space="preserve"> </w:t>
      </w:r>
      <w:r w:rsidRPr="0078056B">
        <w:t>(estimated at</w:t>
      </w:r>
      <w:r w:rsidRPr="0078056B">
        <w:rPr>
          <w:color w:val="06357A"/>
        </w:rPr>
        <w:t xml:space="preserve"> </w:t>
      </w:r>
      <w:r w:rsidRPr="0078056B">
        <w:rPr>
          <w:b/>
          <w:bCs/>
          <w:color w:val="06357A"/>
        </w:rPr>
        <w:t>£348 million</w:t>
      </w:r>
      <w:r w:rsidRPr="0078056B">
        <w:t xml:space="preserve">, see Section </w:t>
      </w:r>
      <w:r w:rsidR="000D6329">
        <w:fldChar w:fldCharType="begin"/>
      </w:r>
      <w:r w:rsidR="000D6329">
        <w:instrText xml:space="preserve"> REF _Ref162533067 \r \h </w:instrText>
      </w:r>
      <w:r w:rsidR="000D6329">
        <w:fldChar w:fldCharType="separate"/>
      </w:r>
      <w:r w:rsidR="00E33157">
        <w:t>2.2</w:t>
      </w:r>
      <w:r w:rsidR="000D6329">
        <w:fldChar w:fldCharType="end"/>
      </w:r>
      <w:r w:rsidRPr="0078056B">
        <w:t>);</w:t>
      </w:r>
    </w:p>
    <w:p w14:paraId="5195E9BE" w14:textId="3E5A4331" w:rsidR="00E13125" w:rsidRPr="0078056B" w:rsidRDefault="00E13125" w:rsidP="003A6119">
      <w:pPr>
        <w:pStyle w:val="MinorBullet1"/>
        <w:numPr>
          <w:ilvl w:val="0"/>
          <w:numId w:val="21"/>
        </w:numPr>
      </w:pPr>
      <w:r w:rsidRPr="0078056B">
        <w:t xml:space="preserve">The impact of the University’s </w:t>
      </w:r>
      <w:r w:rsidRPr="0078056B">
        <w:rPr>
          <w:b/>
          <w:bCs/>
          <w:color w:val="06357A"/>
        </w:rPr>
        <w:t>educational exports</w:t>
      </w:r>
      <w:r w:rsidRPr="0078056B">
        <w:rPr>
          <w:color w:val="06357A"/>
        </w:rPr>
        <w:t xml:space="preserve"> </w:t>
      </w:r>
      <w:r w:rsidRPr="0078056B">
        <w:t>(</w:t>
      </w:r>
      <w:r w:rsidRPr="0078056B">
        <w:rPr>
          <w:b/>
          <w:bCs/>
          <w:color w:val="06357A"/>
        </w:rPr>
        <w:t>£690 million</w:t>
      </w:r>
      <w:r w:rsidRPr="0078056B">
        <w:t xml:space="preserve">, see Section </w:t>
      </w:r>
      <w:r w:rsidR="00BF08CC" w:rsidRPr="0078056B">
        <w:fldChar w:fldCharType="begin"/>
      </w:r>
      <w:r w:rsidR="00BF08CC" w:rsidRPr="0078056B">
        <w:instrText xml:space="preserve"> REF _Ref162268806 \r \h </w:instrText>
      </w:r>
      <w:r w:rsidR="0078056B">
        <w:instrText xml:space="preserve"> \* MERGEFORMAT </w:instrText>
      </w:r>
      <w:r w:rsidR="00BF08CC" w:rsidRPr="0078056B">
        <w:fldChar w:fldCharType="separate"/>
      </w:r>
      <w:r w:rsidR="00E33157">
        <w:t>4</w:t>
      </w:r>
      <w:r w:rsidR="00BF08CC" w:rsidRPr="0078056B">
        <w:fldChar w:fldCharType="end"/>
      </w:r>
      <w:r w:rsidRPr="0078056B">
        <w:t>); and</w:t>
      </w:r>
    </w:p>
    <w:p w14:paraId="7F350EDD" w14:textId="0439A2B9" w:rsidR="00E13125" w:rsidRPr="0078056B" w:rsidRDefault="00E13125" w:rsidP="003A6119">
      <w:pPr>
        <w:pStyle w:val="MinorBullet1"/>
        <w:numPr>
          <w:ilvl w:val="0"/>
          <w:numId w:val="21"/>
        </w:numPr>
      </w:pPr>
      <w:r w:rsidRPr="0078056B">
        <w:t xml:space="preserve">The impact associated with the </w:t>
      </w:r>
      <w:r w:rsidRPr="0078056B">
        <w:rPr>
          <w:b/>
          <w:bCs/>
          <w:color w:val="06357A"/>
        </w:rPr>
        <w:t>operating and capital</w:t>
      </w:r>
      <w:r w:rsidRPr="0078056B">
        <w:rPr>
          <w:color w:val="06357A"/>
        </w:rPr>
        <w:t xml:space="preserve"> </w:t>
      </w:r>
      <w:r w:rsidRPr="0078056B">
        <w:rPr>
          <w:b/>
          <w:bCs/>
          <w:color w:val="06357A"/>
        </w:rPr>
        <w:t xml:space="preserve">expenditure of the University </w:t>
      </w:r>
      <w:r w:rsidRPr="0078056B">
        <w:t>(</w:t>
      </w:r>
      <w:r w:rsidRPr="0078056B">
        <w:rPr>
          <w:b/>
          <w:bCs/>
          <w:color w:val="06357A"/>
        </w:rPr>
        <w:t>£908 million</w:t>
      </w:r>
      <w:r w:rsidRPr="0078056B">
        <w:t xml:space="preserve">, see Section </w:t>
      </w:r>
      <w:r w:rsidR="00BF08CC" w:rsidRPr="0078056B">
        <w:fldChar w:fldCharType="begin"/>
      </w:r>
      <w:r w:rsidR="00BF08CC" w:rsidRPr="0078056B">
        <w:instrText xml:space="preserve"> REF _Ref162251984 \r \h </w:instrText>
      </w:r>
      <w:r w:rsidR="0078056B">
        <w:instrText xml:space="preserve"> \* MERGEFORMAT </w:instrText>
      </w:r>
      <w:r w:rsidR="00BF08CC" w:rsidRPr="0078056B">
        <w:fldChar w:fldCharType="separate"/>
      </w:r>
      <w:r w:rsidR="00E33157">
        <w:t>5</w:t>
      </w:r>
      <w:r w:rsidR="00BF08CC" w:rsidRPr="0078056B">
        <w:fldChar w:fldCharType="end"/>
      </w:r>
      <w:r w:rsidRPr="0078056B">
        <w:t>); and</w:t>
      </w:r>
    </w:p>
    <w:p w14:paraId="31882341" w14:textId="33B00525" w:rsidR="00E13125" w:rsidRPr="0078056B" w:rsidRDefault="00E13125" w:rsidP="003A6119">
      <w:pPr>
        <w:pStyle w:val="MinorBullet1"/>
        <w:numPr>
          <w:ilvl w:val="0"/>
          <w:numId w:val="21"/>
        </w:numPr>
      </w:pPr>
      <w:r w:rsidRPr="0078056B">
        <w:t xml:space="preserve">The impact associated with the </w:t>
      </w:r>
      <w:r w:rsidRPr="0078056B">
        <w:rPr>
          <w:b/>
          <w:bCs/>
          <w:color w:val="06357A"/>
        </w:rPr>
        <w:t>tourism</w:t>
      </w:r>
      <w:r w:rsidRPr="0078056B">
        <w:t xml:space="preserve"> activities associated with the University </w:t>
      </w:r>
      <w:r w:rsidRPr="0078056B">
        <w:rPr>
          <w:color w:val="06357A"/>
        </w:rPr>
        <w:t>(</w:t>
      </w:r>
      <w:r w:rsidRPr="0078056B">
        <w:rPr>
          <w:b/>
          <w:bCs/>
          <w:color w:val="06357A"/>
        </w:rPr>
        <w:t>£46 million</w:t>
      </w:r>
      <w:r w:rsidRPr="0078056B">
        <w:t xml:space="preserve">, see Section </w:t>
      </w:r>
      <w:r w:rsidR="00B7023C" w:rsidRPr="0078056B">
        <w:fldChar w:fldCharType="begin"/>
      </w:r>
      <w:r w:rsidR="00B7023C" w:rsidRPr="0078056B">
        <w:instrText xml:space="preserve"> REF _Ref162535019 \r \h </w:instrText>
      </w:r>
      <w:r w:rsidR="0078056B">
        <w:instrText xml:space="preserve"> \* MERGEFORMAT </w:instrText>
      </w:r>
      <w:r w:rsidR="00B7023C" w:rsidRPr="0078056B">
        <w:fldChar w:fldCharType="separate"/>
      </w:r>
      <w:r w:rsidR="00E33157">
        <w:t>6</w:t>
      </w:r>
      <w:r w:rsidR="00B7023C" w:rsidRPr="0078056B">
        <w:fldChar w:fldCharType="end"/>
      </w:r>
      <w:r w:rsidRPr="0078056B">
        <w:t>).</w:t>
      </w:r>
    </w:p>
    <w:p w14:paraId="4EBD4EE7" w14:textId="207AFA76" w:rsidR="00E13125" w:rsidRPr="0078056B" w:rsidRDefault="00E13125" w:rsidP="00E13125">
      <w:r w:rsidRPr="0078056B">
        <w:t xml:space="preserve">Hence, approximately </w:t>
      </w:r>
      <w:r w:rsidRPr="0078056B">
        <w:rPr>
          <w:b/>
          <w:bCs/>
          <w:color w:val="06357A"/>
        </w:rPr>
        <w:t>£2.2 billion</w:t>
      </w:r>
      <w:r w:rsidRPr="0078056B">
        <w:rPr>
          <w:color w:val="06357A"/>
        </w:rPr>
        <w:t xml:space="preserve"> </w:t>
      </w:r>
      <w:r w:rsidRPr="0078056B">
        <w:t>(</w:t>
      </w:r>
      <w:r w:rsidRPr="0078056B">
        <w:rPr>
          <w:b/>
          <w:bCs/>
          <w:color w:val="06357A"/>
        </w:rPr>
        <w:t>50%</w:t>
      </w:r>
      <w:r w:rsidRPr="0078056B">
        <w:t xml:space="preserve">) of the University of Birmingham’s total impact of </w:t>
      </w:r>
      <w:r w:rsidRPr="0078056B">
        <w:rPr>
          <w:b/>
          <w:bCs/>
          <w:color w:val="06357A"/>
        </w:rPr>
        <w:t>£4.4 billion</w:t>
      </w:r>
      <w:r w:rsidRPr="0078056B">
        <w:rPr>
          <w:b/>
          <w:bCs/>
          <w:color w:val="06357A" w:themeColor="accent1"/>
        </w:rPr>
        <w:t xml:space="preserve"> </w:t>
      </w:r>
      <w:r w:rsidRPr="0078056B">
        <w:t>can be disaggregated in this way</w:t>
      </w:r>
      <w:r w:rsidRPr="0078056B">
        <w:rPr>
          <w:rStyle w:val="FootnoteReference"/>
        </w:rPr>
        <w:footnoteReference w:id="99"/>
      </w:r>
      <w:r w:rsidRPr="0078056B">
        <w:t xml:space="preserve">. </w:t>
      </w:r>
    </w:p>
    <w:p w14:paraId="4F88C909" w14:textId="6EEB825C" w:rsidR="00E13125" w:rsidRPr="0078056B" w:rsidRDefault="00E13125" w:rsidP="00E13125">
      <w:pPr>
        <w:rPr>
          <w:color w:val="000000" w:themeColor="text1"/>
        </w:rPr>
      </w:pPr>
      <w:r w:rsidRPr="0078056B">
        <w:t xml:space="preserve">In terms of the breakdown by region, the analysis indicates that of this total of </w:t>
      </w:r>
      <w:r w:rsidRPr="0078056B">
        <w:rPr>
          <w:b/>
          <w:bCs/>
          <w:color w:val="06357A"/>
        </w:rPr>
        <w:t>£2.2 billion</w:t>
      </w:r>
      <w:r w:rsidRPr="0078056B">
        <w:rPr>
          <w:color w:val="000000" w:themeColor="text1"/>
        </w:rPr>
        <w:t>,</w:t>
      </w:r>
      <w:r w:rsidR="00355605" w:rsidRPr="0078056B">
        <w:rPr>
          <w:color w:val="000000" w:themeColor="text1"/>
        </w:rPr>
        <w:t xml:space="preserve"> approximately</w:t>
      </w:r>
      <w:r w:rsidRPr="0078056B">
        <w:t xml:space="preserve"> </w:t>
      </w:r>
      <w:r w:rsidRPr="0078056B">
        <w:rPr>
          <w:b/>
          <w:bCs/>
          <w:color w:val="06357A"/>
        </w:rPr>
        <w:t>£1.4 billion</w:t>
      </w:r>
      <w:r w:rsidRPr="0078056B">
        <w:rPr>
          <w:color w:val="06357A"/>
        </w:rPr>
        <w:t xml:space="preserve"> </w:t>
      </w:r>
      <w:r w:rsidRPr="0078056B">
        <w:t>(</w:t>
      </w:r>
      <w:r w:rsidRPr="0078056B">
        <w:rPr>
          <w:b/>
          <w:bCs/>
          <w:color w:val="06357A"/>
        </w:rPr>
        <w:t>63%</w:t>
      </w:r>
      <w:r w:rsidRPr="0078056B">
        <w:t xml:space="preserve">) occurred in the </w:t>
      </w:r>
      <w:r w:rsidRPr="0078056B">
        <w:rPr>
          <w:b/>
          <w:bCs/>
          <w:color w:val="06357A"/>
        </w:rPr>
        <w:t>West Midlands</w:t>
      </w:r>
      <w:r w:rsidRPr="0078056B">
        <w:t xml:space="preserve">, with </w:t>
      </w:r>
      <w:r w:rsidRPr="0078056B">
        <w:rPr>
          <w:b/>
          <w:bCs/>
          <w:color w:val="06357A"/>
        </w:rPr>
        <w:t>£809 million</w:t>
      </w:r>
      <w:r w:rsidRPr="0078056B">
        <w:rPr>
          <w:color w:val="06357A"/>
        </w:rPr>
        <w:t xml:space="preserve"> </w:t>
      </w:r>
      <w:r w:rsidRPr="0078056B">
        <w:t>(</w:t>
      </w:r>
      <w:r w:rsidRPr="0078056B">
        <w:rPr>
          <w:b/>
          <w:bCs/>
          <w:color w:val="06357A"/>
        </w:rPr>
        <w:t>37%</w:t>
      </w:r>
      <w:r w:rsidRPr="0078056B">
        <w:t>)</w:t>
      </w:r>
      <w:r w:rsidRPr="0078056B">
        <w:rPr>
          <w:color w:val="000000" w:themeColor="text1"/>
        </w:rPr>
        <w:t xml:space="preserve"> </w:t>
      </w:r>
      <w:r w:rsidRPr="0078056B">
        <w:t xml:space="preserve">occurring in </w:t>
      </w:r>
      <w:r w:rsidRPr="0078056B">
        <w:rPr>
          <w:b/>
          <w:bCs/>
          <w:color w:val="06357A"/>
        </w:rPr>
        <w:t>other regions</w:t>
      </w:r>
      <w:r w:rsidRPr="0078056B">
        <w:rPr>
          <w:color w:val="06357A"/>
        </w:rPr>
        <w:t xml:space="preserve"> </w:t>
      </w:r>
      <w:r w:rsidRPr="0078056B">
        <w:t>across the UK</w:t>
      </w:r>
      <w:r w:rsidR="00053963" w:rsidRPr="0078056B">
        <w:t xml:space="preserve"> (see </w:t>
      </w:r>
      <w:r w:rsidR="00053963" w:rsidRPr="0078056B">
        <w:fldChar w:fldCharType="begin"/>
      </w:r>
      <w:r w:rsidR="00053963" w:rsidRPr="0078056B">
        <w:instrText xml:space="preserve"> REF _Ref162269792 \r \h  \* MERGEFORMAT </w:instrText>
      </w:r>
      <w:r w:rsidR="00053963" w:rsidRPr="0078056B">
        <w:fldChar w:fldCharType="separate"/>
      </w:r>
      <w:r w:rsidR="00E33157">
        <w:t>Figure 39</w:t>
      </w:r>
      <w:r w:rsidR="00053963" w:rsidRPr="0078056B">
        <w:fldChar w:fldCharType="end"/>
      </w:r>
      <w:r w:rsidR="00053963" w:rsidRPr="0078056B">
        <w:t>)</w:t>
      </w:r>
      <w:r w:rsidRPr="0078056B">
        <w:rPr>
          <w:color w:val="000000" w:themeColor="text1"/>
        </w:rPr>
        <w:t>.</w:t>
      </w:r>
    </w:p>
    <w:p w14:paraId="4D95454C" w14:textId="620BF4A0" w:rsidR="00E13125" w:rsidRPr="0078056B" w:rsidRDefault="00E13125" w:rsidP="00E13125">
      <w:r w:rsidRPr="0078056B">
        <w:t xml:space="preserve">In terms of sector, the University’s activities resulted in particularly large impacts within the </w:t>
      </w:r>
      <w:r w:rsidRPr="0078056B">
        <w:rPr>
          <w:b/>
          <w:bCs/>
          <w:color w:val="06357A"/>
        </w:rPr>
        <w:t>government, health, and education</w:t>
      </w:r>
      <w:r w:rsidRPr="0078056B">
        <w:rPr>
          <w:color w:val="06357A"/>
        </w:rPr>
        <w:t xml:space="preserve"> </w:t>
      </w:r>
      <w:r w:rsidRPr="0078056B">
        <w:rPr>
          <w:b/>
          <w:bCs/>
          <w:color w:val="06357A"/>
        </w:rPr>
        <w:t>sector</w:t>
      </w:r>
      <w:r w:rsidRPr="0078056B">
        <w:rPr>
          <w:color w:val="06357A"/>
        </w:rPr>
        <w:t xml:space="preserve"> (</w:t>
      </w:r>
      <w:r w:rsidRPr="0078056B">
        <w:rPr>
          <w:b/>
          <w:bCs/>
          <w:color w:val="06357A"/>
        </w:rPr>
        <w:t>£902 million</w:t>
      </w:r>
      <w:r w:rsidRPr="0078056B">
        <w:t xml:space="preserve">, </w:t>
      </w:r>
      <w:r w:rsidRPr="0078056B">
        <w:rPr>
          <w:b/>
          <w:bCs/>
          <w:color w:val="06357A"/>
        </w:rPr>
        <w:t>41%</w:t>
      </w:r>
      <w:r w:rsidRPr="0078056B">
        <w:t xml:space="preserve">), the </w:t>
      </w:r>
      <w:r w:rsidRPr="0078056B">
        <w:rPr>
          <w:b/>
          <w:bCs/>
          <w:color w:val="06357A"/>
        </w:rPr>
        <w:t>distribution, transport, hotel, and restaurant sector</w:t>
      </w:r>
      <w:r w:rsidRPr="0078056B">
        <w:t xml:space="preserve"> (</w:t>
      </w:r>
      <w:r w:rsidRPr="0078056B">
        <w:rPr>
          <w:b/>
          <w:bCs/>
          <w:color w:val="06357A"/>
        </w:rPr>
        <w:t>£332 million</w:t>
      </w:r>
      <w:r w:rsidRPr="0078056B">
        <w:t xml:space="preserve">, </w:t>
      </w:r>
      <w:r w:rsidRPr="0078056B">
        <w:rPr>
          <w:b/>
          <w:bCs/>
          <w:color w:val="06357A"/>
        </w:rPr>
        <w:t>15%</w:t>
      </w:r>
      <w:r w:rsidRPr="0078056B">
        <w:t xml:space="preserve">), </w:t>
      </w:r>
      <w:r w:rsidRPr="0078056B">
        <w:rPr>
          <w:b/>
          <w:bCs/>
          <w:color w:val="06357A"/>
        </w:rPr>
        <w:t>production</w:t>
      </w:r>
      <w:r w:rsidRPr="0078056B">
        <w:rPr>
          <w:color w:val="06357A"/>
        </w:rPr>
        <w:t xml:space="preserve"> </w:t>
      </w:r>
      <w:r w:rsidRPr="0078056B">
        <w:rPr>
          <w:b/>
          <w:bCs/>
          <w:color w:val="06357A"/>
        </w:rPr>
        <w:t>sector</w:t>
      </w:r>
      <w:r w:rsidRPr="0078056B">
        <w:rPr>
          <w:color w:val="06357A"/>
        </w:rPr>
        <w:t xml:space="preserve"> </w:t>
      </w:r>
      <w:r w:rsidRPr="0078056B">
        <w:t>(</w:t>
      </w:r>
      <w:r w:rsidRPr="0078056B">
        <w:rPr>
          <w:b/>
          <w:bCs/>
          <w:color w:val="06357A"/>
        </w:rPr>
        <w:t>£275 million</w:t>
      </w:r>
      <w:r w:rsidRPr="0078056B">
        <w:t xml:space="preserve">, </w:t>
      </w:r>
      <w:r w:rsidRPr="0078056B">
        <w:rPr>
          <w:b/>
          <w:bCs/>
          <w:color w:val="06357A"/>
        </w:rPr>
        <w:t>13%</w:t>
      </w:r>
      <w:r w:rsidRPr="0078056B">
        <w:t xml:space="preserve">), and the </w:t>
      </w:r>
      <w:r w:rsidRPr="0078056B">
        <w:rPr>
          <w:b/>
          <w:bCs/>
          <w:color w:val="06357A"/>
        </w:rPr>
        <w:t>real estate sector</w:t>
      </w:r>
      <w:r w:rsidRPr="0078056B">
        <w:rPr>
          <w:color w:val="06357A"/>
        </w:rPr>
        <w:t xml:space="preserve"> </w:t>
      </w:r>
      <w:r w:rsidRPr="0078056B">
        <w:t>(</w:t>
      </w:r>
      <w:r w:rsidRPr="0078056B">
        <w:rPr>
          <w:b/>
          <w:bCs/>
          <w:color w:val="06357A"/>
        </w:rPr>
        <w:t>£215 million</w:t>
      </w:r>
      <w:r w:rsidRPr="0078056B">
        <w:t xml:space="preserve">, </w:t>
      </w:r>
      <w:r w:rsidRPr="0078056B">
        <w:rPr>
          <w:b/>
          <w:bCs/>
          <w:color w:val="06357A"/>
        </w:rPr>
        <w:t>10%</w:t>
      </w:r>
      <w:r w:rsidRPr="0078056B">
        <w:t>)</w:t>
      </w:r>
      <w:r w:rsidR="00053963" w:rsidRPr="0078056B">
        <w:t xml:space="preserve"> (see </w:t>
      </w:r>
      <w:r w:rsidR="00053963" w:rsidRPr="0078056B">
        <w:fldChar w:fldCharType="begin"/>
      </w:r>
      <w:r w:rsidR="00053963" w:rsidRPr="0078056B">
        <w:instrText xml:space="preserve"> REF _Ref162269820 \r \h  \* MERGEFORMAT </w:instrText>
      </w:r>
      <w:r w:rsidR="00053963" w:rsidRPr="0078056B">
        <w:fldChar w:fldCharType="separate"/>
      </w:r>
      <w:r w:rsidR="00E33157">
        <w:t>Figure 40</w:t>
      </w:r>
      <w:r w:rsidR="00053963" w:rsidRPr="0078056B">
        <w:fldChar w:fldCharType="end"/>
      </w:r>
      <w:r w:rsidR="00053963" w:rsidRPr="0078056B">
        <w:t>)</w:t>
      </w:r>
      <w:r w:rsidRPr="0078056B">
        <w:t>.</w:t>
      </w:r>
    </w:p>
    <w:p w14:paraId="133E5FFE" w14:textId="24B99FB4" w:rsidR="00E13125" w:rsidRPr="0078056B" w:rsidRDefault="00E13125" w:rsidP="00E13125">
      <w:r w:rsidRPr="0078056B">
        <w:t xml:space="preserve">In terms of the number of FTE jobs supported, the results indicate that the total impact generated by the University’s activities supported a total of </w:t>
      </w:r>
      <w:r w:rsidRPr="0078056B">
        <w:rPr>
          <w:b/>
          <w:bCs/>
          <w:color w:val="06357A"/>
        </w:rPr>
        <w:t>19,885</w:t>
      </w:r>
      <w:r w:rsidRPr="0078056B">
        <w:rPr>
          <w:color w:val="06357A"/>
        </w:rPr>
        <w:t xml:space="preserve"> </w:t>
      </w:r>
      <w:r w:rsidRPr="0078056B">
        <w:t xml:space="preserve">FTE jobs across the UK economy in the 2021-22 academic year, of which </w:t>
      </w:r>
      <w:r w:rsidRPr="0078056B">
        <w:rPr>
          <w:b/>
          <w:bCs/>
          <w:color w:val="06357A"/>
        </w:rPr>
        <w:t xml:space="preserve">13,295 </w:t>
      </w:r>
      <w:r w:rsidRPr="0078056B">
        <w:t xml:space="preserve">were located in the </w:t>
      </w:r>
      <w:r w:rsidRPr="0078056B">
        <w:rPr>
          <w:b/>
          <w:bCs/>
          <w:color w:val="06357A"/>
        </w:rPr>
        <w:t>West Midlands</w:t>
      </w:r>
      <w:r w:rsidRPr="0078056B">
        <w:t xml:space="preserve">. In addition, the impact in terms of gross value added was estimated at </w:t>
      </w:r>
      <w:r w:rsidRPr="0078056B">
        <w:rPr>
          <w:b/>
          <w:bCs/>
          <w:color w:val="06357A"/>
        </w:rPr>
        <w:t>£1.3 billion</w:t>
      </w:r>
      <w:r w:rsidRPr="0078056B">
        <w:rPr>
          <w:color w:val="06357A"/>
        </w:rPr>
        <w:t xml:space="preserve"> </w:t>
      </w:r>
      <w:r w:rsidRPr="0078056B">
        <w:t xml:space="preserve">across the UK economy as a whole, of which </w:t>
      </w:r>
      <w:r w:rsidRPr="0078056B">
        <w:rPr>
          <w:b/>
          <w:bCs/>
          <w:color w:val="06357A"/>
        </w:rPr>
        <w:t>£864 million</w:t>
      </w:r>
      <w:r w:rsidRPr="0078056B">
        <w:rPr>
          <w:color w:val="06357A"/>
        </w:rPr>
        <w:t xml:space="preserve"> </w:t>
      </w:r>
      <w:r w:rsidRPr="0078056B">
        <w:t xml:space="preserve">was generated within the </w:t>
      </w:r>
      <w:r w:rsidRPr="0078056B">
        <w:rPr>
          <w:b/>
          <w:bCs/>
          <w:color w:val="06357A"/>
        </w:rPr>
        <w:t>West Midlands</w:t>
      </w:r>
      <w:r w:rsidRPr="0078056B">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DB3849" w:rsidRPr="0078056B" w14:paraId="6ACEBF9B" w14:textId="77777777" w:rsidTr="009649AA">
        <w:trPr>
          <w:cantSplit/>
        </w:trPr>
        <w:tc>
          <w:tcPr>
            <w:tcW w:w="0" w:type="auto"/>
          </w:tcPr>
          <w:p w14:paraId="20EE2359" w14:textId="3EBEC60A" w:rsidR="00DB3849" w:rsidRPr="0078056B" w:rsidRDefault="00DB3849" w:rsidP="00DB3849">
            <w:pPr>
              <w:pStyle w:val="FigureTitle"/>
              <w:numPr>
                <w:ilvl w:val="0"/>
                <w:numId w:val="32"/>
              </w:numPr>
            </w:pPr>
            <w:bookmarkStart w:id="415" w:name="_Ref162269792"/>
            <w:bookmarkStart w:id="416" w:name="_Toc168652220"/>
            <w:r w:rsidRPr="0078056B">
              <w:lastRenderedPageBreak/>
              <w:t xml:space="preserve">Total </w:t>
            </w:r>
            <w:r w:rsidR="00CB3752" w:rsidRPr="0078056B">
              <w:t xml:space="preserve">identifiable </w:t>
            </w:r>
            <w:r w:rsidRPr="0078056B">
              <w:t>economic impact associated with the University’s activities in 2021-22, by region</w:t>
            </w:r>
            <w:bookmarkEnd w:id="415"/>
            <w:bookmarkEnd w:id="416"/>
          </w:p>
        </w:tc>
      </w:tr>
      <w:tr w:rsidR="00DB3849" w:rsidRPr="0078056B" w14:paraId="578D244D" w14:textId="77777777" w:rsidTr="009649AA">
        <w:trPr>
          <w:cantSplit/>
        </w:trPr>
        <w:tc>
          <w:tcPr>
            <w:tcW w:w="0" w:type="auto"/>
          </w:tcPr>
          <w:p w14:paraId="189998F1" w14:textId="1F3514A7" w:rsidR="00DB3849" w:rsidRPr="0078056B" w:rsidRDefault="00EF5D25" w:rsidP="00EF5D25">
            <w:pPr>
              <w:pStyle w:val="PlaceholderText"/>
              <w:jc w:val="center"/>
            </w:pPr>
            <w:r w:rsidRPr="0078056B">
              <w:rPr>
                <w:noProof/>
              </w:rPr>
              <w:drawing>
                <wp:inline distT="0" distB="0" distL="0" distR="0" wp14:anchorId="526604D0" wp14:editId="7E841DAC">
                  <wp:extent cx="5274860" cy="6091485"/>
                  <wp:effectExtent l="0" t="0" r="0" b="0"/>
                  <wp:docPr id="1708296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296610" name=""/>
                          <pic:cNvPicPr/>
                        </pic:nvPicPr>
                        <pic:blipFill rotWithShape="1">
                          <a:blip r:embed="rId158" cstate="print">
                            <a:extLst>
                              <a:ext uri="{28A0092B-C50C-407E-A947-70E740481C1C}">
                                <a14:useLocalDpi xmlns:a14="http://schemas.microsoft.com/office/drawing/2010/main" val="0"/>
                              </a:ext>
                            </a:extLst>
                          </a:blip>
                          <a:srcRect t="4808"/>
                          <a:stretch/>
                        </pic:blipFill>
                        <pic:spPr bwMode="auto">
                          <a:xfrm>
                            <a:off x="0" y="0"/>
                            <a:ext cx="5278268" cy="6095421"/>
                          </a:xfrm>
                          <a:prstGeom prst="rect">
                            <a:avLst/>
                          </a:prstGeom>
                          <a:ln>
                            <a:noFill/>
                          </a:ln>
                          <a:extLst>
                            <a:ext uri="{53640926-AAD7-44D8-BBD7-CCE9431645EC}">
                              <a14:shadowObscured xmlns:a14="http://schemas.microsoft.com/office/drawing/2010/main"/>
                            </a:ext>
                          </a:extLst>
                        </pic:spPr>
                      </pic:pic>
                    </a:graphicData>
                  </a:graphic>
                </wp:inline>
              </w:drawing>
            </w:r>
          </w:p>
        </w:tc>
      </w:tr>
      <w:tr w:rsidR="00DB3849" w:rsidRPr="0078056B" w14:paraId="3042EA8C" w14:textId="77777777" w:rsidTr="009649AA">
        <w:trPr>
          <w:cantSplit/>
        </w:trPr>
        <w:tc>
          <w:tcPr>
            <w:tcW w:w="0" w:type="auto"/>
          </w:tcPr>
          <w:p w14:paraId="5E925E92" w14:textId="484754C3" w:rsidR="00DB3849" w:rsidRPr="0078056B" w:rsidRDefault="00DB3849" w:rsidP="00DB3849">
            <w:pPr>
              <w:pStyle w:val="TableNote"/>
            </w:pPr>
            <w:r w:rsidRPr="0078056B">
              <w:t>Note: Monetary estimates are presented in 2021-22 prices, discounted to reflect net present values (where applicable), rounded to the nearest £1 million, and may not add up precisely to the totals indicated. Employment estimates are rounded to the nearest 5, and again may not add up precisely to the totals indicated.</w:t>
            </w:r>
            <w:r w:rsidR="008776AF" w:rsidRPr="0078056B">
              <w:t xml:space="preserve"> The map only contains the </w:t>
            </w:r>
            <w:r w:rsidR="008776AF" w:rsidRPr="0078056B">
              <w:rPr>
                <w:b/>
                <w:bCs/>
                <w:color w:val="06357A" w:themeColor="text2"/>
              </w:rPr>
              <w:t xml:space="preserve">£2.2 billion </w:t>
            </w:r>
            <w:r w:rsidR="008776AF" w:rsidRPr="0078056B">
              <w:t>(of the University’s total</w:t>
            </w:r>
            <w:r w:rsidR="008776AF" w:rsidRPr="0078056B">
              <w:rPr>
                <w:b/>
                <w:bCs/>
              </w:rPr>
              <w:t xml:space="preserve"> </w:t>
            </w:r>
            <w:r w:rsidR="008776AF" w:rsidRPr="0078056B">
              <w:rPr>
                <w:b/>
                <w:bCs/>
                <w:color w:val="06357A" w:themeColor="text2"/>
              </w:rPr>
              <w:t>£4.4 billion</w:t>
            </w:r>
            <w:r w:rsidR="008776AF" w:rsidRPr="0078056B">
              <w:t>)</w:t>
            </w:r>
            <w:r w:rsidR="008776AF" w:rsidRPr="0078056B">
              <w:rPr>
                <w:b/>
                <w:bCs/>
              </w:rPr>
              <w:t xml:space="preserve"> </w:t>
            </w:r>
            <w:r w:rsidR="008776AF" w:rsidRPr="0078056B">
              <w:t>of economic impact that can be attributed to a region.</w:t>
            </w:r>
            <w:r w:rsidRPr="0078056B">
              <w:t xml:space="preserve"> </w:t>
            </w:r>
            <w:r w:rsidRPr="0078056B">
              <w:rPr>
                <w:b/>
                <w:bCs/>
                <w:i/>
                <w:iCs/>
              </w:rPr>
              <w:t>Source: London Economics’ analysis</w:t>
            </w:r>
          </w:p>
        </w:tc>
      </w:tr>
      <w:tr w:rsidR="00EF5D25" w:rsidRPr="0078056B" w14:paraId="71BD4FE9" w14:textId="77777777" w:rsidTr="00C042A1">
        <w:trPr>
          <w:cantSplit/>
        </w:trPr>
        <w:tc>
          <w:tcPr>
            <w:tcW w:w="0" w:type="auto"/>
          </w:tcPr>
          <w:p w14:paraId="5B554823" w14:textId="74B33960" w:rsidR="00EF5D25" w:rsidRPr="0078056B" w:rsidRDefault="00EF5D25" w:rsidP="00EF5D25">
            <w:pPr>
              <w:pStyle w:val="FigureTitle"/>
              <w:numPr>
                <w:ilvl w:val="0"/>
                <w:numId w:val="32"/>
              </w:numPr>
            </w:pPr>
            <w:bookmarkStart w:id="417" w:name="_Ref162269820"/>
            <w:bookmarkStart w:id="418" w:name="_Toc168652221"/>
            <w:r w:rsidRPr="0078056B">
              <w:lastRenderedPageBreak/>
              <w:t xml:space="preserve">Total </w:t>
            </w:r>
            <w:r w:rsidR="00291881" w:rsidRPr="0078056B">
              <w:t xml:space="preserve">identifiable </w:t>
            </w:r>
            <w:r w:rsidRPr="0078056B">
              <w:t>economic impact associated with the University’s activities in 2021-22, by sector</w:t>
            </w:r>
            <w:bookmarkEnd w:id="417"/>
            <w:bookmarkEnd w:id="418"/>
          </w:p>
        </w:tc>
      </w:tr>
      <w:tr w:rsidR="00EF5D25" w:rsidRPr="0078056B" w14:paraId="1A69DE08" w14:textId="77777777" w:rsidTr="00C042A1">
        <w:trPr>
          <w:cantSplit/>
        </w:trPr>
        <w:tc>
          <w:tcPr>
            <w:tcW w:w="0" w:type="auto"/>
          </w:tcPr>
          <w:p w14:paraId="52BD4C94" w14:textId="77777777" w:rsidR="00EF5D25" w:rsidRPr="0078056B" w:rsidRDefault="00EF5D25" w:rsidP="00C042A1">
            <w:pPr>
              <w:pStyle w:val="PlaceholderText"/>
              <w:jc w:val="center"/>
            </w:pPr>
            <w:r w:rsidRPr="0078056B">
              <w:rPr>
                <w:noProof/>
                <w:lang w:eastAsia="en-GB"/>
              </w:rPr>
              <w:drawing>
                <wp:inline distT="0" distB="0" distL="0" distR="0" wp14:anchorId="65CAA28D" wp14:editId="1DA1EA38">
                  <wp:extent cx="5039999" cy="1797073"/>
                  <wp:effectExtent l="0" t="0" r="0" b="0"/>
                  <wp:docPr id="329126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26348" name="Picture 1"/>
                          <pic:cNvPicPr/>
                        </pic:nvPicPr>
                        <pic:blipFill>
                          <a:blip r:embed="rId159">
                            <a:extLst>
                              <a:ext uri="{28A0092B-C50C-407E-A947-70E740481C1C}">
                                <a14:useLocalDpi xmlns:a14="http://schemas.microsoft.com/office/drawing/2010/main" val="0"/>
                              </a:ext>
                              <a:ext uri="{96DAC541-7B7A-43D3-8B79-37D633B846F1}">
                                <asvg:svgBlip xmlns:asvg="http://schemas.microsoft.com/office/drawing/2016/SVG/main" r:embed="rId160"/>
                              </a:ext>
                            </a:extLst>
                          </a:blip>
                          <a:stretch>
                            <a:fillRect/>
                          </a:stretch>
                        </pic:blipFill>
                        <pic:spPr>
                          <a:xfrm>
                            <a:off x="0" y="0"/>
                            <a:ext cx="5039999" cy="1797073"/>
                          </a:xfrm>
                          <a:prstGeom prst="rect">
                            <a:avLst/>
                          </a:prstGeom>
                        </pic:spPr>
                      </pic:pic>
                    </a:graphicData>
                  </a:graphic>
                </wp:inline>
              </w:drawing>
            </w:r>
          </w:p>
          <w:p w14:paraId="31B799BB" w14:textId="77777777" w:rsidR="00EF5D25" w:rsidRPr="0078056B" w:rsidRDefault="00EF5D25" w:rsidP="00C042A1">
            <w:pPr>
              <w:pStyle w:val="PlaceholderText"/>
              <w:jc w:val="center"/>
            </w:pPr>
            <w:r w:rsidRPr="0078056B">
              <w:rPr>
                <w:noProof/>
                <w:lang w:eastAsia="en-GB"/>
              </w:rPr>
              <w:drawing>
                <wp:inline distT="0" distB="0" distL="0" distR="0" wp14:anchorId="1D54EFB2" wp14:editId="43942FC8">
                  <wp:extent cx="5039999" cy="1797073"/>
                  <wp:effectExtent l="0" t="0" r="8255" b="0"/>
                  <wp:docPr id="1852879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79401" name="Picture 1"/>
                          <pic:cNvPicPr/>
                        </pic:nvPicPr>
                        <pic:blipFill>
                          <a:blip r:embed="rId161">
                            <a:extLst>
                              <a:ext uri="{28A0092B-C50C-407E-A947-70E740481C1C}">
                                <a14:useLocalDpi xmlns:a14="http://schemas.microsoft.com/office/drawing/2010/main" val="0"/>
                              </a:ext>
                              <a:ext uri="{96DAC541-7B7A-43D3-8B79-37D633B846F1}">
                                <asvg:svgBlip xmlns:asvg="http://schemas.microsoft.com/office/drawing/2016/SVG/main" r:embed="rId162"/>
                              </a:ext>
                            </a:extLst>
                          </a:blip>
                          <a:stretch>
                            <a:fillRect/>
                          </a:stretch>
                        </pic:blipFill>
                        <pic:spPr>
                          <a:xfrm>
                            <a:off x="0" y="0"/>
                            <a:ext cx="5039999" cy="1797073"/>
                          </a:xfrm>
                          <a:prstGeom prst="rect">
                            <a:avLst/>
                          </a:prstGeom>
                        </pic:spPr>
                      </pic:pic>
                    </a:graphicData>
                  </a:graphic>
                </wp:inline>
              </w:drawing>
            </w:r>
          </w:p>
          <w:p w14:paraId="06AF9EC0" w14:textId="2FE3BAF7" w:rsidR="00EF5D25" w:rsidRPr="0078056B" w:rsidRDefault="00EF5D25" w:rsidP="00C042A1">
            <w:pPr>
              <w:pStyle w:val="PlaceholderText"/>
              <w:jc w:val="center"/>
            </w:pPr>
            <w:r w:rsidRPr="0078056B">
              <w:rPr>
                <w:noProof/>
                <w:lang w:eastAsia="en-GB"/>
              </w:rPr>
              <w:drawing>
                <wp:inline distT="0" distB="0" distL="0" distR="0" wp14:anchorId="4E885EA3" wp14:editId="6E3B29FE">
                  <wp:extent cx="5040000" cy="1802926"/>
                  <wp:effectExtent l="0" t="0" r="8255" b="6985"/>
                  <wp:docPr id="1746243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43532" name="Picture 1"/>
                          <pic:cNvPicPr/>
                        </pic:nvPicPr>
                        <pic:blipFill>
                          <a:blip r:embed="rId163">
                            <a:extLst>
                              <a:ext uri="{28A0092B-C50C-407E-A947-70E740481C1C}">
                                <a14:useLocalDpi xmlns:a14="http://schemas.microsoft.com/office/drawing/2010/main" val="0"/>
                              </a:ext>
                              <a:ext uri="{96DAC541-7B7A-43D3-8B79-37D633B846F1}">
                                <asvg:svgBlip xmlns:asvg="http://schemas.microsoft.com/office/drawing/2016/SVG/main" r:embed="rId164"/>
                              </a:ext>
                            </a:extLst>
                          </a:blip>
                          <a:stretch>
                            <a:fillRect/>
                          </a:stretch>
                        </pic:blipFill>
                        <pic:spPr>
                          <a:xfrm>
                            <a:off x="0" y="0"/>
                            <a:ext cx="5040000" cy="1802926"/>
                          </a:xfrm>
                          <a:prstGeom prst="rect">
                            <a:avLst/>
                          </a:prstGeom>
                        </pic:spPr>
                      </pic:pic>
                    </a:graphicData>
                  </a:graphic>
                </wp:inline>
              </w:drawing>
            </w:r>
          </w:p>
        </w:tc>
      </w:tr>
      <w:tr w:rsidR="00EF5D25" w:rsidRPr="0078056B" w14:paraId="06A2052B" w14:textId="77777777" w:rsidTr="00C042A1">
        <w:trPr>
          <w:cantSplit/>
        </w:trPr>
        <w:tc>
          <w:tcPr>
            <w:tcW w:w="0" w:type="auto"/>
          </w:tcPr>
          <w:p w14:paraId="6A7787CF" w14:textId="2DE84100" w:rsidR="00EF5D25" w:rsidRPr="0078056B" w:rsidRDefault="00EF5D25" w:rsidP="00C042A1">
            <w:pPr>
              <w:pStyle w:val="TableNote"/>
            </w:pPr>
            <w:r w:rsidRPr="0078056B">
              <w:t>Note: Monetary estimates are presented in 2021-22 prices, discounted to reflect net present values (where applicable), rounded to the nearest £1 million, and may not add up precisely to the totals indicated. Employment estimates are rounded to the nearest 5, and again may not add up precisely to the totals indicated.</w:t>
            </w:r>
            <w:r w:rsidR="008776AF" w:rsidRPr="0078056B">
              <w:t xml:space="preserve"> The map only contains the </w:t>
            </w:r>
            <w:r w:rsidR="008776AF" w:rsidRPr="0078056B">
              <w:rPr>
                <w:b/>
                <w:bCs/>
                <w:color w:val="06357A" w:themeColor="text2"/>
              </w:rPr>
              <w:t xml:space="preserve">£2.2 billion </w:t>
            </w:r>
            <w:r w:rsidR="008776AF" w:rsidRPr="0078056B">
              <w:t>(of the University’s total</w:t>
            </w:r>
            <w:r w:rsidR="008776AF" w:rsidRPr="0078056B">
              <w:rPr>
                <w:b/>
                <w:bCs/>
              </w:rPr>
              <w:t xml:space="preserve"> </w:t>
            </w:r>
            <w:r w:rsidR="008776AF" w:rsidRPr="0078056B">
              <w:rPr>
                <w:b/>
                <w:bCs/>
                <w:color w:val="06357A" w:themeColor="text2"/>
              </w:rPr>
              <w:t>£4.4 billion</w:t>
            </w:r>
            <w:r w:rsidR="008776AF" w:rsidRPr="0078056B">
              <w:t>)</w:t>
            </w:r>
            <w:r w:rsidR="008776AF" w:rsidRPr="0078056B">
              <w:rPr>
                <w:b/>
                <w:bCs/>
              </w:rPr>
              <w:t xml:space="preserve"> </w:t>
            </w:r>
            <w:r w:rsidR="008776AF" w:rsidRPr="0078056B">
              <w:t>of economic impact that can be attributed to a sector.</w:t>
            </w:r>
            <w:r w:rsidRPr="0078056B">
              <w:t xml:space="preserve"> </w:t>
            </w:r>
            <w:r w:rsidRPr="0078056B">
              <w:rPr>
                <w:b/>
                <w:bCs/>
                <w:i/>
                <w:iCs/>
              </w:rPr>
              <w:t>Source: London Economics’ analysis</w:t>
            </w:r>
          </w:p>
        </w:tc>
      </w:tr>
    </w:tbl>
    <w:p w14:paraId="72904514" w14:textId="77A3433F" w:rsidR="00EF5D25" w:rsidRPr="0078056B" w:rsidRDefault="00EF5D25" w:rsidP="00E13125">
      <w:pPr>
        <w:sectPr w:rsidR="00EF5D25" w:rsidRPr="0078056B" w:rsidSect="00E13125">
          <w:headerReference w:type="even" r:id="rId165"/>
          <w:headerReference w:type="default" r:id="rId166"/>
          <w:footerReference w:type="even" r:id="rId167"/>
          <w:footerReference w:type="default" r:id="rId168"/>
          <w:headerReference w:type="first" r:id="rId169"/>
          <w:footerReference w:type="first" r:id="rId170"/>
          <w:pgSz w:w="11906" w:h="16838"/>
          <w:pgMar w:top="1418" w:right="1531" w:bottom="1418" w:left="1531" w:header="709" w:footer="850" w:gutter="0"/>
          <w:cols w:space="708"/>
          <w:docGrid w:linePitch="360"/>
        </w:sectPr>
      </w:pPr>
    </w:p>
    <w:p w14:paraId="7FD41067" w14:textId="77777777" w:rsidR="005C1288" w:rsidRPr="0078056B" w:rsidRDefault="005C1288" w:rsidP="005C2C97">
      <w:pPr>
        <w:pStyle w:val="Heading1NoNumb"/>
      </w:pPr>
      <w:bookmarkStart w:id="419" w:name="_Toc405977085"/>
      <w:bookmarkStart w:id="420" w:name="_Toc168652148"/>
      <w:bookmarkEnd w:id="408"/>
      <w:r w:rsidRPr="0078056B">
        <w:rPr>
          <w:rStyle w:val="HeaderRepeat"/>
        </w:rPr>
        <w:lastRenderedPageBreak/>
        <w:t>Index of Tables, Figures and Boxes</w:t>
      </w:r>
      <w:bookmarkEnd w:id="419"/>
      <w:bookmarkEnd w:id="420"/>
    </w:p>
    <w:p w14:paraId="05864219" w14:textId="77777777" w:rsidR="005C1288" w:rsidRPr="0078056B" w:rsidRDefault="005C1288" w:rsidP="00BD0D2D">
      <w:pPr>
        <w:pStyle w:val="Heading3NoNumb"/>
      </w:pPr>
      <w:r w:rsidRPr="0078056B">
        <w:t>Tables</w:t>
      </w:r>
    </w:p>
    <w:p w14:paraId="386985D6" w14:textId="68EF713B" w:rsidR="00684C9F" w:rsidRDefault="000D319B">
      <w:pPr>
        <w:pStyle w:val="TOC8"/>
        <w:rPr>
          <w:rFonts w:asciiTheme="minorHAnsi" w:eastAsiaTheme="minorEastAsia" w:hAnsiTheme="minorHAnsi"/>
          <w:noProof/>
          <w:kern w:val="2"/>
          <w:sz w:val="24"/>
          <w:szCs w:val="24"/>
          <w:lang w:eastAsia="en-GB"/>
          <w14:ligatures w14:val="standardContextual"/>
        </w:rPr>
      </w:pPr>
      <w:r w:rsidRPr="0078056B">
        <w:fldChar w:fldCharType="begin"/>
      </w:r>
      <w:r w:rsidR="005C1288" w:rsidRPr="0078056B">
        <w:instrText xml:space="preserve">TOC \h \z \t "Table Title, </w:instrText>
      </w:r>
      <w:r w:rsidR="000E1A46" w:rsidRPr="0078056B">
        <w:instrText>8</w:instrText>
      </w:r>
      <w:r w:rsidR="005C1288" w:rsidRPr="0078056B">
        <w:instrText>"</w:instrText>
      </w:r>
      <w:r w:rsidRPr="0078056B">
        <w:fldChar w:fldCharType="separate"/>
      </w:r>
      <w:hyperlink w:anchor="_Toc168652156" w:history="1">
        <w:r w:rsidR="00684C9F" w:rsidRPr="00F67256">
          <w:rPr>
            <w:rStyle w:val="Hyperlink"/>
            <w:noProof/>
          </w:rPr>
          <w:t>Table 1</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Total economic impact of the University of Birmingham’s activities in the UK in 2021-22 (£m and % of total)</w:t>
        </w:r>
        <w:r w:rsidR="00684C9F">
          <w:rPr>
            <w:noProof/>
            <w:webHidden/>
          </w:rPr>
          <w:tab/>
        </w:r>
        <w:r w:rsidR="00684C9F">
          <w:rPr>
            <w:noProof/>
            <w:webHidden/>
          </w:rPr>
          <w:fldChar w:fldCharType="begin"/>
        </w:r>
        <w:r w:rsidR="00684C9F">
          <w:rPr>
            <w:noProof/>
            <w:webHidden/>
          </w:rPr>
          <w:instrText xml:space="preserve"> PAGEREF _Toc168652156 \h </w:instrText>
        </w:r>
        <w:r w:rsidR="00684C9F">
          <w:rPr>
            <w:noProof/>
            <w:webHidden/>
          </w:rPr>
        </w:r>
        <w:r w:rsidR="00684C9F">
          <w:rPr>
            <w:noProof/>
            <w:webHidden/>
          </w:rPr>
          <w:fldChar w:fldCharType="separate"/>
        </w:r>
        <w:r w:rsidR="00E33157">
          <w:rPr>
            <w:noProof/>
            <w:webHidden/>
          </w:rPr>
          <w:t>iii</w:t>
        </w:r>
        <w:r w:rsidR="00684C9F">
          <w:rPr>
            <w:noProof/>
            <w:webHidden/>
          </w:rPr>
          <w:fldChar w:fldCharType="end"/>
        </w:r>
      </w:hyperlink>
    </w:p>
    <w:p w14:paraId="43402E7F" w14:textId="25BC3D4F"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57" w:history="1">
        <w:r w:rsidR="00684C9F" w:rsidRPr="00F67256">
          <w:rPr>
            <w:rStyle w:val="Hyperlink"/>
            <w:noProof/>
          </w:rPr>
          <w:t>Table 2</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Aggregate impact of the University of Birmingham’s teaching and learning activities associated with the 2021-22 cohort (£m), by type of impact, domicile, and level of study</w:t>
        </w:r>
        <w:r w:rsidR="00684C9F">
          <w:rPr>
            <w:noProof/>
            <w:webHidden/>
          </w:rPr>
          <w:tab/>
        </w:r>
        <w:r w:rsidR="00684C9F">
          <w:rPr>
            <w:noProof/>
            <w:webHidden/>
          </w:rPr>
          <w:fldChar w:fldCharType="begin"/>
        </w:r>
        <w:r w:rsidR="00684C9F">
          <w:rPr>
            <w:noProof/>
            <w:webHidden/>
          </w:rPr>
          <w:instrText xml:space="preserve"> PAGEREF _Toc168652157 \h </w:instrText>
        </w:r>
        <w:r w:rsidR="00684C9F">
          <w:rPr>
            <w:noProof/>
            <w:webHidden/>
          </w:rPr>
        </w:r>
        <w:r w:rsidR="00684C9F">
          <w:rPr>
            <w:noProof/>
            <w:webHidden/>
          </w:rPr>
          <w:fldChar w:fldCharType="separate"/>
        </w:r>
        <w:r w:rsidR="00E33157">
          <w:rPr>
            <w:noProof/>
            <w:webHidden/>
          </w:rPr>
          <w:t>vi</w:t>
        </w:r>
        <w:r w:rsidR="00684C9F">
          <w:rPr>
            <w:noProof/>
            <w:webHidden/>
          </w:rPr>
          <w:fldChar w:fldCharType="end"/>
        </w:r>
      </w:hyperlink>
    </w:p>
    <w:p w14:paraId="10448A1E" w14:textId="35964847"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58" w:history="1">
        <w:r w:rsidR="00684C9F" w:rsidRPr="00F67256">
          <w:rPr>
            <w:rStyle w:val="Hyperlink"/>
            <w:noProof/>
          </w:rPr>
          <w:t>Table 3</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Economic multipliers associated with the University of Birmingham’s research activities</w:t>
        </w:r>
        <w:r w:rsidR="00684C9F">
          <w:rPr>
            <w:noProof/>
            <w:webHidden/>
          </w:rPr>
          <w:tab/>
        </w:r>
        <w:r w:rsidR="00684C9F">
          <w:rPr>
            <w:noProof/>
            <w:webHidden/>
          </w:rPr>
          <w:fldChar w:fldCharType="begin"/>
        </w:r>
        <w:r w:rsidR="00684C9F">
          <w:rPr>
            <w:noProof/>
            <w:webHidden/>
          </w:rPr>
          <w:instrText xml:space="preserve"> PAGEREF _Toc168652158 \h </w:instrText>
        </w:r>
        <w:r w:rsidR="00684C9F">
          <w:rPr>
            <w:noProof/>
            <w:webHidden/>
          </w:rPr>
        </w:r>
        <w:r w:rsidR="00684C9F">
          <w:rPr>
            <w:noProof/>
            <w:webHidden/>
          </w:rPr>
          <w:fldChar w:fldCharType="separate"/>
        </w:r>
        <w:r w:rsidR="00E33157">
          <w:rPr>
            <w:noProof/>
            <w:webHidden/>
          </w:rPr>
          <w:t>6</w:t>
        </w:r>
        <w:r w:rsidR="00684C9F">
          <w:rPr>
            <w:noProof/>
            <w:webHidden/>
          </w:rPr>
          <w:fldChar w:fldCharType="end"/>
        </w:r>
      </w:hyperlink>
    </w:p>
    <w:p w14:paraId="30735B6B" w14:textId="2BE69A99"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59" w:history="1">
        <w:r w:rsidR="00684C9F" w:rsidRPr="00F67256">
          <w:rPr>
            <w:rStyle w:val="Hyperlink"/>
            <w:noProof/>
          </w:rPr>
          <w:t>Table 4</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Economic impact associated with the University of Birmingham’s spinout companies in 2021-22</w:t>
        </w:r>
        <w:r w:rsidR="00684C9F">
          <w:rPr>
            <w:noProof/>
            <w:webHidden/>
          </w:rPr>
          <w:tab/>
        </w:r>
        <w:r w:rsidR="00684C9F">
          <w:rPr>
            <w:noProof/>
            <w:webHidden/>
          </w:rPr>
          <w:fldChar w:fldCharType="begin"/>
        </w:r>
        <w:r w:rsidR="00684C9F">
          <w:rPr>
            <w:noProof/>
            <w:webHidden/>
          </w:rPr>
          <w:instrText xml:space="preserve"> PAGEREF _Toc168652159 \h </w:instrText>
        </w:r>
        <w:r w:rsidR="00684C9F">
          <w:rPr>
            <w:noProof/>
            <w:webHidden/>
          </w:rPr>
        </w:r>
        <w:r w:rsidR="00684C9F">
          <w:rPr>
            <w:noProof/>
            <w:webHidden/>
          </w:rPr>
          <w:fldChar w:fldCharType="separate"/>
        </w:r>
        <w:r w:rsidR="00E33157">
          <w:rPr>
            <w:noProof/>
            <w:webHidden/>
          </w:rPr>
          <w:t>11</w:t>
        </w:r>
        <w:r w:rsidR="00684C9F">
          <w:rPr>
            <w:noProof/>
            <w:webHidden/>
          </w:rPr>
          <w:fldChar w:fldCharType="end"/>
        </w:r>
      </w:hyperlink>
    </w:p>
    <w:p w14:paraId="5486EC64" w14:textId="5F9EACFF"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60" w:history="1">
        <w:r w:rsidR="00684C9F" w:rsidRPr="00F67256">
          <w:rPr>
            <w:rStyle w:val="Hyperlink"/>
            <w:noProof/>
          </w:rPr>
          <w:t>Table 5</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Economic impact associated with the University of Birmingham’s start-ups in 2021-22</w:t>
        </w:r>
        <w:r w:rsidR="00684C9F">
          <w:rPr>
            <w:noProof/>
            <w:webHidden/>
          </w:rPr>
          <w:tab/>
        </w:r>
        <w:r w:rsidR="00684C9F">
          <w:rPr>
            <w:noProof/>
            <w:webHidden/>
          </w:rPr>
          <w:fldChar w:fldCharType="begin"/>
        </w:r>
        <w:r w:rsidR="00684C9F">
          <w:rPr>
            <w:noProof/>
            <w:webHidden/>
          </w:rPr>
          <w:instrText xml:space="preserve"> PAGEREF _Toc168652160 \h </w:instrText>
        </w:r>
        <w:r w:rsidR="00684C9F">
          <w:rPr>
            <w:noProof/>
            <w:webHidden/>
          </w:rPr>
        </w:r>
        <w:r w:rsidR="00684C9F">
          <w:rPr>
            <w:noProof/>
            <w:webHidden/>
          </w:rPr>
          <w:fldChar w:fldCharType="separate"/>
        </w:r>
        <w:r w:rsidR="00E33157">
          <w:rPr>
            <w:noProof/>
            <w:webHidden/>
          </w:rPr>
          <w:t>11</w:t>
        </w:r>
        <w:r w:rsidR="00684C9F">
          <w:rPr>
            <w:noProof/>
            <w:webHidden/>
          </w:rPr>
          <w:fldChar w:fldCharType="end"/>
        </w:r>
      </w:hyperlink>
    </w:p>
    <w:p w14:paraId="57278DF8" w14:textId="21ECC455"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61" w:history="1">
        <w:r w:rsidR="00684C9F" w:rsidRPr="00F67256">
          <w:rPr>
            <w:rStyle w:val="Hyperlink"/>
            <w:noProof/>
          </w:rPr>
          <w:t>Table 6</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Economic impact associated with the University of Birmingham’s wider knowledge exchange activities in 2021-22</w:t>
        </w:r>
        <w:r w:rsidR="00684C9F">
          <w:rPr>
            <w:noProof/>
            <w:webHidden/>
          </w:rPr>
          <w:tab/>
        </w:r>
        <w:r w:rsidR="00684C9F">
          <w:rPr>
            <w:noProof/>
            <w:webHidden/>
          </w:rPr>
          <w:fldChar w:fldCharType="begin"/>
        </w:r>
        <w:r w:rsidR="00684C9F">
          <w:rPr>
            <w:noProof/>
            <w:webHidden/>
          </w:rPr>
          <w:instrText xml:space="preserve"> PAGEREF _Toc168652161 \h </w:instrText>
        </w:r>
        <w:r w:rsidR="00684C9F">
          <w:rPr>
            <w:noProof/>
            <w:webHidden/>
          </w:rPr>
        </w:r>
        <w:r w:rsidR="00684C9F">
          <w:rPr>
            <w:noProof/>
            <w:webHidden/>
          </w:rPr>
          <w:fldChar w:fldCharType="separate"/>
        </w:r>
        <w:r w:rsidR="00E33157">
          <w:rPr>
            <w:noProof/>
            <w:webHidden/>
          </w:rPr>
          <w:t>12</w:t>
        </w:r>
        <w:r w:rsidR="00684C9F">
          <w:rPr>
            <w:noProof/>
            <w:webHidden/>
          </w:rPr>
          <w:fldChar w:fldCharType="end"/>
        </w:r>
      </w:hyperlink>
    </w:p>
    <w:p w14:paraId="237E548A" w14:textId="69D097D8"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62" w:history="1">
        <w:r w:rsidR="00684C9F" w:rsidRPr="00F67256">
          <w:rPr>
            <w:rStyle w:val="Hyperlink"/>
            <w:noProof/>
          </w:rPr>
          <w:t>Table 7</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UK domiciled students in the 2021-22 cohort of University of Birmingham students, by level of study, mode, and domicile</w:t>
        </w:r>
        <w:r w:rsidR="00684C9F">
          <w:rPr>
            <w:noProof/>
            <w:webHidden/>
          </w:rPr>
          <w:tab/>
        </w:r>
        <w:r w:rsidR="00684C9F">
          <w:rPr>
            <w:noProof/>
            <w:webHidden/>
          </w:rPr>
          <w:fldChar w:fldCharType="begin"/>
        </w:r>
        <w:r w:rsidR="00684C9F">
          <w:rPr>
            <w:noProof/>
            <w:webHidden/>
          </w:rPr>
          <w:instrText xml:space="preserve"> PAGEREF _Toc168652162 \h </w:instrText>
        </w:r>
        <w:r w:rsidR="00684C9F">
          <w:rPr>
            <w:noProof/>
            <w:webHidden/>
          </w:rPr>
        </w:r>
        <w:r w:rsidR="00684C9F">
          <w:rPr>
            <w:noProof/>
            <w:webHidden/>
          </w:rPr>
          <w:fldChar w:fldCharType="separate"/>
        </w:r>
        <w:r w:rsidR="00E33157">
          <w:rPr>
            <w:noProof/>
            <w:webHidden/>
          </w:rPr>
          <w:t>17</w:t>
        </w:r>
        <w:r w:rsidR="00684C9F">
          <w:rPr>
            <w:noProof/>
            <w:webHidden/>
          </w:rPr>
          <w:fldChar w:fldCharType="end"/>
        </w:r>
      </w:hyperlink>
    </w:p>
    <w:p w14:paraId="407DE5C2" w14:textId="704AF605"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63" w:history="1">
        <w:r w:rsidR="00684C9F" w:rsidRPr="00F67256">
          <w:rPr>
            <w:rStyle w:val="Hyperlink"/>
            <w:noProof/>
          </w:rPr>
          <w:t>Table 8</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Net graduate premium and net Exchequer benefit per UK domiciled student at the University of Birmingham, by study level and mode</w:t>
        </w:r>
        <w:r w:rsidR="00684C9F">
          <w:rPr>
            <w:noProof/>
            <w:webHidden/>
          </w:rPr>
          <w:tab/>
        </w:r>
        <w:r w:rsidR="00684C9F">
          <w:rPr>
            <w:noProof/>
            <w:webHidden/>
          </w:rPr>
          <w:fldChar w:fldCharType="begin"/>
        </w:r>
        <w:r w:rsidR="00684C9F">
          <w:rPr>
            <w:noProof/>
            <w:webHidden/>
          </w:rPr>
          <w:instrText xml:space="preserve"> PAGEREF _Toc168652163 \h </w:instrText>
        </w:r>
        <w:r w:rsidR="00684C9F">
          <w:rPr>
            <w:noProof/>
            <w:webHidden/>
          </w:rPr>
        </w:r>
        <w:r w:rsidR="00684C9F">
          <w:rPr>
            <w:noProof/>
            <w:webHidden/>
          </w:rPr>
          <w:fldChar w:fldCharType="separate"/>
        </w:r>
        <w:r w:rsidR="00E33157">
          <w:rPr>
            <w:noProof/>
            <w:webHidden/>
          </w:rPr>
          <w:t>21</w:t>
        </w:r>
        <w:r w:rsidR="00684C9F">
          <w:rPr>
            <w:noProof/>
            <w:webHidden/>
          </w:rPr>
          <w:fldChar w:fldCharType="end"/>
        </w:r>
      </w:hyperlink>
    </w:p>
    <w:p w14:paraId="38E42316" w14:textId="05A3D2E4"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64" w:history="1">
        <w:r w:rsidR="00684C9F" w:rsidRPr="00F67256">
          <w:rPr>
            <w:rStyle w:val="Hyperlink"/>
            <w:noProof/>
          </w:rPr>
          <w:t>Table 9</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Aggregate impact of the University of Birmingham’s teaching and learning activities associated with the 2021-22 cohort (£m), by type of impact, domicile, and level of study</w:t>
        </w:r>
        <w:r w:rsidR="00684C9F">
          <w:rPr>
            <w:noProof/>
            <w:webHidden/>
          </w:rPr>
          <w:tab/>
        </w:r>
        <w:r w:rsidR="00684C9F">
          <w:rPr>
            <w:noProof/>
            <w:webHidden/>
          </w:rPr>
          <w:fldChar w:fldCharType="begin"/>
        </w:r>
        <w:r w:rsidR="00684C9F">
          <w:rPr>
            <w:noProof/>
            <w:webHidden/>
          </w:rPr>
          <w:instrText xml:space="preserve"> PAGEREF _Toc168652164 \h </w:instrText>
        </w:r>
        <w:r w:rsidR="00684C9F">
          <w:rPr>
            <w:noProof/>
            <w:webHidden/>
          </w:rPr>
        </w:r>
        <w:r w:rsidR="00684C9F">
          <w:rPr>
            <w:noProof/>
            <w:webHidden/>
          </w:rPr>
          <w:fldChar w:fldCharType="separate"/>
        </w:r>
        <w:r w:rsidR="00E33157">
          <w:rPr>
            <w:noProof/>
            <w:webHidden/>
          </w:rPr>
          <w:t>23</w:t>
        </w:r>
        <w:r w:rsidR="00684C9F">
          <w:rPr>
            <w:noProof/>
            <w:webHidden/>
          </w:rPr>
          <w:fldChar w:fldCharType="end"/>
        </w:r>
      </w:hyperlink>
    </w:p>
    <w:p w14:paraId="2322D424" w14:textId="00100F3E"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65" w:history="1">
        <w:r w:rsidR="00684C9F" w:rsidRPr="00F67256">
          <w:rPr>
            <w:rStyle w:val="Hyperlink"/>
            <w:noProof/>
          </w:rPr>
          <w:t>Table 10</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Economic multipliers associated with the income from international student entrants in the 2021-22 cohort of University of Birmingham students</w:t>
        </w:r>
        <w:r w:rsidR="00684C9F">
          <w:rPr>
            <w:noProof/>
            <w:webHidden/>
          </w:rPr>
          <w:tab/>
        </w:r>
        <w:r w:rsidR="00684C9F">
          <w:rPr>
            <w:noProof/>
            <w:webHidden/>
          </w:rPr>
          <w:fldChar w:fldCharType="begin"/>
        </w:r>
        <w:r w:rsidR="00684C9F">
          <w:rPr>
            <w:noProof/>
            <w:webHidden/>
          </w:rPr>
          <w:instrText xml:space="preserve"> PAGEREF _Toc168652165 \h </w:instrText>
        </w:r>
        <w:r w:rsidR="00684C9F">
          <w:rPr>
            <w:noProof/>
            <w:webHidden/>
          </w:rPr>
        </w:r>
        <w:r w:rsidR="00684C9F">
          <w:rPr>
            <w:noProof/>
            <w:webHidden/>
          </w:rPr>
          <w:fldChar w:fldCharType="separate"/>
        </w:r>
        <w:r w:rsidR="00E33157">
          <w:rPr>
            <w:noProof/>
            <w:webHidden/>
          </w:rPr>
          <w:t>35</w:t>
        </w:r>
        <w:r w:rsidR="00684C9F">
          <w:rPr>
            <w:noProof/>
            <w:webHidden/>
          </w:rPr>
          <w:fldChar w:fldCharType="end"/>
        </w:r>
      </w:hyperlink>
    </w:p>
    <w:p w14:paraId="0A31380E" w14:textId="4D02AEF8"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66" w:history="1">
        <w:r w:rsidR="00684C9F" w:rsidRPr="00F67256">
          <w:rPr>
            <w:rStyle w:val="Hyperlink"/>
            <w:noProof/>
          </w:rPr>
          <w:t>Table 11</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Total number of visits to Birmingham and University-related visits by overseas overnight visitors in 2021-22</w:t>
        </w:r>
        <w:r w:rsidR="00684C9F">
          <w:rPr>
            <w:noProof/>
            <w:webHidden/>
          </w:rPr>
          <w:tab/>
        </w:r>
        <w:r w:rsidR="00684C9F">
          <w:rPr>
            <w:noProof/>
            <w:webHidden/>
          </w:rPr>
          <w:fldChar w:fldCharType="begin"/>
        </w:r>
        <w:r w:rsidR="00684C9F">
          <w:rPr>
            <w:noProof/>
            <w:webHidden/>
          </w:rPr>
          <w:instrText xml:space="preserve"> PAGEREF _Toc168652166 \h </w:instrText>
        </w:r>
        <w:r w:rsidR="00684C9F">
          <w:rPr>
            <w:noProof/>
            <w:webHidden/>
          </w:rPr>
        </w:r>
        <w:r w:rsidR="00684C9F">
          <w:rPr>
            <w:noProof/>
            <w:webHidden/>
          </w:rPr>
          <w:fldChar w:fldCharType="separate"/>
        </w:r>
        <w:r w:rsidR="00E33157">
          <w:rPr>
            <w:noProof/>
            <w:webHidden/>
          </w:rPr>
          <w:t>46</w:t>
        </w:r>
        <w:r w:rsidR="00684C9F">
          <w:rPr>
            <w:noProof/>
            <w:webHidden/>
          </w:rPr>
          <w:fldChar w:fldCharType="end"/>
        </w:r>
      </w:hyperlink>
    </w:p>
    <w:p w14:paraId="1D4035CC" w14:textId="2BACD777"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67" w:history="1">
        <w:r w:rsidR="00684C9F" w:rsidRPr="00F67256">
          <w:rPr>
            <w:rStyle w:val="Hyperlink"/>
            <w:noProof/>
          </w:rPr>
          <w:t>Table 12</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Economic multipliers associated with tourism expenditures related to the University of Birmingham</w:t>
        </w:r>
        <w:r w:rsidR="00684C9F">
          <w:rPr>
            <w:noProof/>
            <w:webHidden/>
          </w:rPr>
          <w:tab/>
        </w:r>
        <w:r w:rsidR="00684C9F">
          <w:rPr>
            <w:noProof/>
            <w:webHidden/>
          </w:rPr>
          <w:fldChar w:fldCharType="begin"/>
        </w:r>
        <w:r w:rsidR="00684C9F">
          <w:rPr>
            <w:noProof/>
            <w:webHidden/>
          </w:rPr>
          <w:instrText xml:space="preserve"> PAGEREF _Toc168652167 \h </w:instrText>
        </w:r>
        <w:r w:rsidR="00684C9F">
          <w:rPr>
            <w:noProof/>
            <w:webHidden/>
          </w:rPr>
        </w:r>
        <w:r w:rsidR="00684C9F">
          <w:rPr>
            <w:noProof/>
            <w:webHidden/>
          </w:rPr>
          <w:fldChar w:fldCharType="separate"/>
        </w:r>
        <w:r w:rsidR="00E33157">
          <w:rPr>
            <w:noProof/>
            <w:webHidden/>
          </w:rPr>
          <w:t>46</w:t>
        </w:r>
        <w:r w:rsidR="00684C9F">
          <w:rPr>
            <w:noProof/>
            <w:webHidden/>
          </w:rPr>
          <w:fldChar w:fldCharType="end"/>
        </w:r>
      </w:hyperlink>
    </w:p>
    <w:p w14:paraId="435C9C3D" w14:textId="4F320225"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68" w:history="1">
        <w:r w:rsidR="00684C9F" w:rsidRPr="00F67256">
          <w:rPr>
            <w:rStyle w:val="Hyperlink"/>
            <w:noProof/>
          </w:rPr>
          <w:t>Table 13</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Total economic impact of the University of Birmingham’s activities in the UK in 2021-22 (£m and % of total)</w:t>
        </w:r>
        <w:r w:rsidR="00684C9F">
          <w:rPr>
            <w:noProof/>
            <w:webHidden/>
          </w:rPr>
          <w:tab/>
        </w:r>
        <w:r w:rsidR="00684C9F">
          <w:rPr>
            <w:noProof/>
            <w:webHidden/>
          </w:rPr>
          <w:fldChar w:fldCharType="begin"/>
        </w:r>
        <w:r w:rsidR="00684C9F">
          <w:rPr>
            <w:noProof/>
            <w:webHidden/>
          </w:rPr>
          <w:instrText xml:space="preserve"> PAGEREF _Toc168652168 \h </w:instrText>
        </w:r>
        <w:r w:rsidR="00684C9F">
          <w:rPr>
            <w:noProof/>
            <w:webHidden/>
          </w:rPr>
        </w:r>
        <w:r w:rsidR="00684C9F">
          <w:rPr>
            <w:noProof/>
            <w:webHidden/>
          </w:rPr>
          <w:fldChar w:fldCharType="separate"/>
        </w:r>
        <w:r w:rsidR="00E33157">
          <w:rPr>
            <w:noProof/>
            <w:webHidden/>
          </w:rPr>
          <w:t>57</w:t>
        </w:r>
        <w:r w:rsidR="00684C9F">
          <w:rPr>
            <w:noProof/>
            <w:webHidden/>
          </w:rPr>
          <w:fldChar w:fldCharType="end"/>
        </w:r>
      </w:hyperlink>
    </w:p>
    <w:p w14:paraId="52E2B4CA" w14:textId="449B9227"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69" w:history="1">
        <w:r w:rsidR="00684C9F" w:rsidRPr="00F67256">
          <w:rPr>
            <w:rStyle w:val="Hyperlink"/>
            <w:noProof/>
          </w:rPr>
          <w:t>Table 14</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Industry grouping used as part of the multi-regional Input-Output analysis</w:t>
        </w:r>
        <w:r w:rsidR="00684C9F">
          <w:rPr>
            <w:noProof/>
            <w:webHidden/>
          </w:rPr>
          <w:tab/>
        </w:r>
        <w:r w:rsidR="00684C9F">
          <w:rPr>
            <w:noProof/>
            <w:webHidden/>
          </w:rPr>
          <w:fldChar w:fldCharType="begin"/>
        </w:r>
        <w:r w:rsidR="00684C9F">
          <w:rPr>
            <w:noProof/>
            <w:webHidden/>
          </w:rPr>
          <w:instrText xml:space="preserve"> PAGEREF _Toc168652169 \h </w:instrText>
        </w:r>
        <w:r w:rsidR="00684C9F">
          <w:rPr>
            <w:noProof/>
            <w:webHidden/>
          </w:rPr>
        </w:r>
        <w:r w:rsidR="00684C9F">
          <w:rPr>
            <w:noProof/>
            <w:webHidden/>
          </w:rPr>
          <w:fldChar w:fldCharType="separate"/>
        </w:r>
        <w:r w:rsidR="00E33157">
          <w:rPr>
            <w:noProof/>
            <w:webHidden/>
          </w:rPr>
          <w:t>71</w:t>
        </w:r>
        <w:r w:rsidR="00684C9F">
          <w:rPr>
            <w:noProof/>
            <w:webHidden/>
          </w:rPr>
          <w:fldChar w:fldCharType="end"/>
        </w:r>
      </w:hyperlink>
    </w:p>
    <w:p w14:paraId="5E3E810C" w14:textId="60D9CBE0"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70" w:history="1">
        <w:r w:rsidR="00684C9F" w:rsidRPr="00F67256">
          <w:rPr>
            <w:rStyle w:val="Hyperlink"/>
            <w:noProof/>
          </w:rPr>
          <w:t>Table 15</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Assumed completion rates of University of Birmingham student entrants</w:t>
        </w:r>
        <w:r w:rsidR="00684C9F">
          <w:rPr>
            <w:noProof/>
            <w:webHidden/>
          </w:rPr>
          <w:tab/>
        </w:r>
        <w:r w:rsidR="00684C9F">
          <w:rPr>
            <w:noProof/>
            <w:webHidden/>
          </w:rPr>
          <w:fldChar w:fldCharType="begin"/>
        </w:r>
        <w:r w:rsidR="00684C9F">
          <w:rPr>
            <w:noProof/>
            <w:webHidden/>
          </w:rPr>
          <w:instrText xml:space="preserve"> PAGEREF _Toc168652170 \h </w:instrText>
        </w:r>
        <w:r w:rsidR="00684C9F">
          <w:rPr>
            <w:noProof/>
            <w:webHidden/>
          </w:rPr>
        </w:r>
        <w:r w:rsidR="00684C9F">
          <w:rPr>
            <w:noProof/>
            <w:webHidden/>
          </w:rPr>
          <w:fldChar w:fldCharType="separate"/>
        </w:r>
        <w:r w:rsidR="00E33157">
          <w:rPr>
            <w:noProof/>
            <w:webHidden/>
          </w:rPr>
          <w:t>80</w:t>
        </w:r>
        <w:r w:rsidR="00684C9F">
          <w:rPr>
            <w:noProof/>
            <w:webHidden/>
          </w:rPr>
          <w:fldChar w:fldCharType="end"/>
        </w:r>
      </w:hyperlink>
    </w:p>
    <w:p w14:paraId="1EE99722" w14:textId="2D5C677E"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71" w:history="1">
        <w:r w:rsidR="00684C9F" w:rsidRPr="00F67256">
          <w:rPr>
            <w:rStyle w:val="Hyperlink"/>
            <w:noProof/>
          </w:rPr>
          <w:t>Table 16</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Treatment and comparison groups used to assess the marginal earnings and employment returns to higher education qualifications</w:t>
        </w:r>
        <w:r w:rsidR="00684C9F">
          <w:rPr>
            <w:noProof/>
            <w:webHidden/>
          </w:rPr>
          <w:tab/>
        </w:r>
        <w:r w:rsidR="00684C9F">
          <w:rPr>
            <w:noProof/>
            <w:webHidden/>
          </w:rPr>
          <w:fldChar w:fldCharType="begin"/>
        </w:r>
        <w:r w:rsidR="00684C9F">
          <w:rPr>
            <w:noProof/>
            <w:webHidden/>
          </w:rPr>
          <w:instrText xml:space="preserve"> PAGEREF _Toc168652171 \h </w:instrText>
        </w:r>
        <w:r w:rsidR="00684C9F">
          <w:rPr>
            <w:noProof/>
            <w:webHidden/>
          </w:rPr>
        </w:r>
        <w:r w:rsidR="00684C9F">
          <w:rPr>
            <w:noProof/>
            <w:webHidden/>
          </w:rPr>
          <w:fldChar w:fldCharType="separate"/>
        </w:r>
        <w:r w:rsidR="00E33157">
          <w:rPr>
            <w:noProof/>
            <w:webHidden/>
          </w:rPr>
          <w:t>83</w:t>
        </w:r>
        <w:r w:rsidR="00684C9F">
          <w:rPr>
            <w:noProof/>
            <w:webHidden/>
          </w:rPr>
          <w:fldChar w:fldCharType="end"/>
        </w:r>
      </w:hyperlink>
    </w:p>
    <w:p w14:paraId="0257AACD" w14:textId="59D728C6"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72" w:history="1">
        <w:r w:rsidR="00684C9F" w:rsidRPr="00F67256">
          <w:rPr>
            <w:rStyle w:val="Hyperlink"/>
            <w:noProof/>
          </w:rPr>
          <w:t>Table 17</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Marginal earnings returns to higher education qualifications (weighted across subjects), in % (following exponentiation), by gender and age band</w:t>
        </w:r>
        <w:r w:rsidR="00684C9F">
          <w:rPr>
            <w:noProof/>
            <w:webHidden/>
          </w:rPr>
          <w:tab/>
        </w:r>
        <w:r w:rsidR="00684C9F">
          <w:rPr>
            <w:noProof/>
            <w:webHidden/>
          </w:rPr>
          <w:fldChar w:fldCharType="begin"/>
        </w:r>
        <w:r w:rsidR="00684C9F">
          <w:rPr>
            <w:noProof/>
            <w:webHidden/>
          </w:rPr>
          <w:instrText xml:space="preserve"> PAGEREF _Toc168652172 \h </w:instrText>
        </w:r>
        <w:r w:rsidR="00684C9F">
          <w:rPr>
            <w:noProof/>
            <w:webHidden/>
          </w:rPr>
        </w:r>
        <w:r w:rsidR="00684C9F">
          <w:rPr>
            <w:noProof/>
            <w:webHidden/>
          </w:rPr>
          <w:fldChar w:fldCharType="separate"/>
        </w:r>
        <w:r w:rsidR="00E33157">
          <w:rPr>
            <w:noProof/>
            <w:webHidden/>
          </w:rPr>
          <w:t>85</w:t>
        </w:r>
        <w:r w:rsidR="00684C9F">
          <w:rPr>
            <w:noProof/>
            <w:webHidden/>
          </w:rPr>
          <w:fldChar w:fldCharType="end"/>
        </w:r>
      </w:hyperlink>
    </w:p>
    <w:p w14:paraId="78403DD5" w14:textId="07E1A16D"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73" w:history="1">
        <w:r w:rsidR="00684C9F" w:rsidRPr="00F67256">
          <w:rPr>
            <w:rStyle w:val="Hyperlink"/>
            <w:noProof/>
          </w:rPr>
          <w:t>Table 18</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Marginal employment returns to higher education qualifications (weighted across subjects), in percentage points, by gender and age band</w:t>
        </w:r>
        <w:r w:rsidR="00684C9F">
          <w:rPr>
            <w:noProof/>
            <w:webHidden/>
          </w:rPr>
          <w:tab/>
        </w:r>
        <w:r w:rsidR="00684C9F">
          <w:rPr>
            <w:noProof/>
            <w:webHidden/>
          </w:rPr>
          <w:fldChar w:fldCharType="begin"/>
        </w:r>
        <w:r w:rsidR="00684C9F">
          <w:rPr>
            <w:noProof/>
            <w:webHidden/>
          </w:rPr>
          <w:instrText xml:space="preserve"> PAGEREF _Toc168652173 \h </w:instrText>
        </w:r>
        <w:r w:rsidR="00684C9F">
          <w:rPr>
            <w:noProof/>
            <w:webHidden/>
          </w:rPr>
        </w:r>
        <w:r w:rsidR="00684C9F">
          <w:rPr>
            <w:noProof/>
            <w:webHidden/>
          </w:rPr>
          <w:fldChar w:fldCharType="separate"/>
        </w:r>
        <w:r w:rsidR="00E33157">
          <w:rPr>
            <w:noProof/>
            <w:webHidden/>
          </w:rPr>
          <w:t>87</w:t>
        </w:r>
        <w:r w:rsidR="00684C9F">
          <w:rPr>
            <w:noProof/>
            <w:webHidden/>
          </w:rPr>
          <w:fldChar w:fldCharType="end"/>
        </w:r>
      </w:hyperlink>
    </w:p>
    <w:p w14:paraId="5390F989" w14:textId="278BD1DA"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74" w:history="1">
        <w:r w:rsidR="00684C9F" w:rsidRPr="00F67256">
          <w:rPr>
            <w:rStyle w:val="Hyperlink"/>
            <w:noProof/>
          </w:rPr>
          <w:t>Table 19</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Average age at enrolment, study duration, and age at completion for students in the 2021-22 University of Birmingham cohort</w:t>
        </w:r>
        <w:r w:rsidR="00684C9F">
          <w:rPr>
            <w:noProof/>
            <w:webHidden/>
          </w:rPr>
          <w:tab/>
        </w:r>
        <w:r w:rsidR="00684C9F">
          <w:rPr>
            <w:noProof/>
            <w:webHidden/>
          </w:rPr>
          <w:fldChar w:fldCharType="begin"/>
        </w:r>
        <w:r w:rsidR="00684C9F">
          <w:rPr>
            <w:noProof/>
            <w:webHidden/>
          </w:rPr>
          <w:instrText xml:space="preserve"> PAGEREF _Toc168652174 \h </w:instrText>
        </w:r>
        <w:r w:rsidR="00684C9F">
          <w:rPr>
            <w:noProof/>
            <w:webHidden/>
          </w:rPr>
        </w:r>
        <w:r w:rsidR="00684C9F">
          <w:rPr>
            <w:noProof/>
            <w:webHidden/>
          </w:rPr>
          <w:fldChar w:fldCharType="separate"/>
        </w:r>
        <w:r w:rsidR="00E33157">
          <w:rPr>
            <w:noProof/>
            <w:webHidden/>
          </w:rPr>
          <w:t>88</w:t>
        </w:r>
        <w:r w:rsidR="00684C9F">
          <w:rPr>
            <w:noProof/>
            <w:webHidden/>
          </w:rPr>
          <w:fldChar w:fldCharType="end"/>
        </w:r>
      </w:hyperlink>
    </w:p>
    <w:p w14:paraId="7BC1CF90" w14:textId="6DFFBC41"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75" w:history="1">
        <w:r w:rsidR="00684C9F" w:rsidRPr="00F67256">
          <w:rPr>
            <w:rStyle w:val="Hyperlink"/>
            <w:noProof/>
          </w:rPr>
          <w:t>Table 20</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Assumed age decay adjustment factors for students in the 2021-22 University of Birmingham cohort</w:t>
        </w:r>
        <w:r w:rsidR="00684C9F">
          <w:rPr>
            <w:noProof/>
            <w:webHidden/>
          </w:rPr>
          <w:tab/>
        </w:r>
        <w:r w:rsidR="00684C9F">
          <w:rPr>
            <w:noProof/>
            <w:webHidden/>
          </w:rPr>
          <w:fldChar w:fldCharType="begin"/>
        </w:r>
        <w:r w:rsidR="00684C9F">
          <w:rPr>
            <w:noProof/>
            <w:webHidden/>
          </w:rPr>
          <w:instrText xml:space="preserve"> PAGEREF _Toc168652175 \h </w:instrText>
        </w:r>
        <w:r w:rsidR="00684C9F">
          <w:rPr>
            <w:noProof/>
            <w:webHidden/>
          </w:rPr>
        </w:r>
        <w:r w:rsidR="00684C9F">
          <w:rPr>
            <w:noProof/>
            <w:webHidden/>
          </w:rPr>
          <w:fldChar w:fldCharType="separate"/>
        </w:r>
        <w:r w:rsidR="00E33157">
          <w:rPr>
            <w:noProof/>
            <w:webHidden/>
          </w:rPr>
          <w:t>90</w:t>
        </w:r>
        <w:r w:rsidR="00684C9F">
          <w:rPr>
            <w:noProof/>
            <w:webHidden/>
          </w:rPr>
          <w:fldChar w:fldCharType="end"/>
        </w:r>
      </w:hyperlink>
    </w:p>
    <w:p w14:paraId="5544BC80" w14:textId="40084036"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76" w:history="1">
        <w:r w:rsidR="00684C9F" w:rsidRPr="00F67256">
          <w:rPr>
            <w:rStyle w:val="Hyperlink"/>
            <w:noProof/>
          </w:rPr>
          <w:t>Table 21</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Gross graduate premiums and Exchequer benefits per student associated with HE qualification attainment at the University of Birmingham, by study mode, level, gender, and prior attainment</w:t>
        </w:r>
        <w:r w:rsidR="00684C9F">
          <w:rPr>
            <w:noProof/>
            <w:webHidden/>
          </w:rPr>
          <w:tab/>
        </w:r>
        <w:r w:rsidR="00684C9F">
          <w:rPr>
            <w:noProof/>
            <w:webHidden/>
          </w:rPr>
          <w:fldChar w:fldCharType="begin"/>
        </w:r>
        <w:r w:rsidR="00684C9F">
          <w:rPr>
            <w:noProof/>
            <w:webHidden/>
          </w:rPr>
          <w:instrText xml:space="preserve"> PAGEREF _Toc168652176 \h </w:instrText>
        </w:r>
        <w:r w:rsidR="00684C9F">
          <w:rPr>
            <w:noProof/>
            <w:webHidden/>
          </w:rPr>
        </w:r>
        <w:r w:rsidR="00684C9F">
          <w:rPr>
            <w:noProof/>
            <w:webHidden/>
          </w:rPr>
          <w:fldChar w:fldCharType="separate"/>
        </w:r>
        <w:r w:rsidR="00E33157">
          <w:rPr>
            <w:noProof/>
            <w:webHidden/>
          </w:rPr>
          <w:t>94</w:t>
        </w:r>
        <w:r w:rsidR="00684C9F">
          <w:rPr>
            <w:noProof/>
            <w:webHidden/>
          </w:rPr>
          <w:fldChar w:fldCharType="end"/>
        </w:r>
      </w:hyperlink>
    </w:p>
    <w:p w14:paraId="490057A3" w14:textId="299F19AC"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77" w:history="1">
        <w:r w:rsidR="00684C9F" w:rsidRPr="00F67256">
          <w:rPr>
            <w:rStyle w:val="Hyperlink"/>
            <w:noProof/>
          </w:rPr>
          <w:t>Table 22</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Net graduate premiums and Exchequer benefits per student associated with HE qualification attainment at the University of Birmingham, by study mode, level, gender, and prior attainment</w:t>
        </w:r>
        <w:r w:rsidR="00684C9F">
          <w:rPr>
            <w:noProof/>
            <w:webHidden/>
          </w:rPr>
          <w:tab/>
        </w:r>
        <w:r w:rsidR="00684C9F">
          <w:rPr>
            <w:noProof/>
            <w:webHidden/>
          </w:rPr>
          <w:fldChar w:fldCharType="begin"/>
        </w:r>
        <w:r w:rsidR="00684C9F">
          <w:rPr>
            <w:noProof/>
            <w:webHidden/>
          </w:rPr>
          <w:instrText xml:space="preserve"> PAGEREF _Toc168652177 \h </w:instrText>
        </w:r>
        <w:r w:rsidR="00684C9F">
          <w:rPr>
            <w:noProof/>
            <w:webHidden/>
          </w:rPr>
        </w:r>
        <w:r w:rsidR="00684C9F">
          <w:rPr>
            <w:noProof/>
            <w:webHidden/>
          </w:rPr>
          <w:fldChar w:fldCharType="separate"/>
        </w:r>
        <w:r w:rsidR="00E33157">
          <w:rPr>
            <w:noProof/>
            <w:webHidden/>
          </w:rPr>
          <w:t>95</w:t>
        </w:r>
        <w:r w:rsidR="00684C9F">
          <w:rPr>
            <w:noProof/>
            <w:webHidden/>
          </w:rPr>
          <w:fldChar w:fldCharType="end"/>
        </w:r>
      </w:hyperlink>
    </w:p>
    <w:p w14:paraId="2D2ED997" w14:textId="7A83CDE3"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78" w:history="1">
        <w:r w:rsidR="00684C9F" w:rsidRPr="00F67256">
          <w:rPr>
            <w:rStyle w:val="Hyperlink"/>
            <w:noProof/>
          </w:rPr>
          <w:t>Table 23</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Non-UK domiciled students in the 2021-22 cohort of University of Birmingham students, by level of study, mode of study and domicile</w:t>
        </w:r>
        <w:r w:rsidR="00684C9F">
          <w:rPr>
            <w:noProof/>
            <w:webHidden/>
          </w:rPr>
          <w:tab/>
        </w:r>
        <w:r w:rsidR="00684C9F">
          <w:rPr>
            <w:noProof/>
            <w:webHidden/>
          </w:rPr>
          <w:fldChar w:fldCharType="begin"/>
        </w:r>
        <w:r w:rsidR="00684C9F">
          <w:rPr>
            <w:noProof/>
            <w:webHidden/>
          </w:rPr>
          <w:instrText xml:space="preserve"> PAGEREF _Toc168652178 \h </w:instrText>
        </w:r>
        <w:r w:rsidR="00684C9F">
          <w:rPr>
            <w:noProof/>
            <w:webHidden/>
          </w:rPr>
        </w:r>
        <w:r w:rsidR="00684C9F">
          <w:rPr>
            <w:noProof/>
            <w:webHidden/>
          </w:rPr>
          <w:fldChar w:fldCharType="separate"/>
        </w:r>
        <w:r w:rsidR="00E33157">
          <w:rPr>
            <w:noProof/>
            <w:webHidden/>
          </w:rPr>
          <w:t>97</w:t>
        </w:r>
        <w:r w:rsidR="00684C9F">
          <w:rPr>
            <w:noProof/>
            <w:webHidden/>
          </w:rPr>
          <w:fldChar w:fldCharType="end"/>
        </w:r>
      </w:hyperlink>
    </w:p>
    <w:p w14:paraId="795E335E" w14:textId="67464AB3"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79" w:history="1">
        <w:r w:rsidR="00684C9F" w:rsidRPr="00F67256">
          <w:rPr>
            <w:rStyle w:val="Hyperlink"/>
            <w:noProof/>
          </w:rPr>
          <w:t>Table 24</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Net tuition fee income per international student in the 2021-22 cohort of University of Birmingham students, by level of study, mode</w:t>
        </w:r>
        <w:r w:rsidR="00684C9F">
          <w:rPr>
            <w:noProof/>
            <w:webHidden/>
          </w:rPr>
          <w:tab/>
        </w:r>
        <w:r w:rsidR="00684C9F">
          <w:rPr>
            <w:noProof/>
            <w:webHidden/>
          </w:rPr>
          <w:fldChar w:fldCharType="begin"/>
        </w:r>
        <w:r w:rsidR="00684C9F">
          <w:rPr>
            <w:noProof/>
            <w:webHidden/>
          </w:rPr>
          <w:instrText xml:space="preserve"> PAGEREF _Toc168652179 \h </w:instrText>
        </w:r>
        <w:r w:rsidR="00684C9F">
          <w:rPr>
            <w:noProof/>
            <w:webHidden/>
          </w:rPr>
        </w:r>
        <w:r w:rsidR="00684C9F">
          <w:rPr>
            <w:noProof/>
            <w:webHidden/>
          </w:rPr>
          <w:fldChar w:fldCharType="separate"/>
        </w:r>
        <w:r w:rsidR="00E33157">
          <w:rPr>
            <w:noProof/>
            <w:webHidden/>
          </w:rPr>
          <w:t>98</w:t>
        </w:r>
        <w:r w:rsidR="00684C9F">
          <w:rPr>
            <w:noProof/>
            <w:webHidden/>
          </w:rPr>
          <w:fldChar w:fldCharType="end"/>
        </w:r>
      </w:hyperlink>
    </w:p>
    <w:p w14:paraId="2DE5A239" w14:textId="0E19BF01"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80" w:history="1">
        <w:r w:rsidR="00684C9F" w:rsidRPr="00F67256">
          <w:rPr>
            <w:rStyle w:val="Hyperlink"/>
            <w:noProof/>
          </w:rPr>
          <w:t>Table 25</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Assumed average stay durations (in weeks per year) for non-UK domiciled students, by study level and study mode</w:t>
        </w:r>
        <w:r w:rsidR="00684C9F">
          <w:rPr>
            <w:noProof/>
            <w:webHidden/>
          </w:rPr>
          <w:tab/>
        </w:r>
        <w:r w:rsidR="00684C9F">
          <w:rPr>
            <w:noProof/>
            <w:webHidden/>
          </w:rPr>
          <w:fldChar w:fldCharType="begin"/>
        </w:r>
        <w:r w:rsidR="00684C9F">
          <w:rPr>
            <w:noProof/>
            <w:webHidden/>
          </w:rPr>
          <w:instrText xml:space="preserve"> PAGEREF _Toc168652180 \h </w:instrText>
        </w:r>
        <w:r w:rsidR="00684C9F">
          <w:rPr>
            <w:noProof/>
            <w:webHidden/>
          </w:rPr>
        </w:r>
        <w:r w:rsidR="00684C9F">
          <w:rPr>
            <w:noProof/>
            <w:webHidden/>
          </w:rPr>
          <w:fldChar w:fldCharType="separate"/>
        </w:r>
        <w:r w:rsidR="00E33157">
          <w:rPr>
            <w:noProof/>
            <w:webHidden/>
          </w:rPr>
          <w:t>98</w:t>
        </w:r>
        <w:r w:rsidR="00684C9F">
          <w:rPr>
            <w:noProof/>
            <w:webHidden/>
          </w:rPr>
          <w:fldChar w:fldCharType="end"/>
        </w:r>
      </w:hyperlink>
    </w:p>
    <w:p w14:paraId="5D8D2EF6" w14:textId="6BD7BAD2"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81" w:history="1">
        <w:r w:rsidR="00684C9F" w:rsidRPr="00F67256">
          <w:rPr>
            <w:rStyle w:val="Hyperlink"/>
            <w:noProof/>
          </w:rPr>
          <w:t>Table 26</w:t>
        </w:r>
        <w:r w:rsidR="00684C9F">
          <w:rPr>
            <w:rFonts w:asciiTheme="minorHAnsi" w:eastAsiaTheme="minorEastAsia" w:hAnsiTheme="minorHAnsi"/>
            <w:noProof/>
            <w:kern w:val="2"/>
            <w:sz w:val="24"/>
            <w:szCs w:val="24"/>
            <w:lang w:eastAsia="en-GB"/>
            <w14:ligatures w14:val="standardContextual"/>
          </w:rPr>
          <w:tab/>
        </w:r>
        <w:r w:rsidR="00684C9F" w:rsidRPr="00F67256">
          <w:rPr>
            <w:rStyle w:val="Hyperlink"/>
            <w:noProof/>
          </w:rPr>
          <w:t>Non-fee income per international student in the 2021-22 cohort of University of Birmingham students, be level of study, mode, and domicile</w:t>
        </w:r>
        <w:r w:rsidR="00684C9F">
          <w:rPr>
            <w:noProof/>
            <w:webHidden/>
          </w:rPr>
          <w:tab/>
        </w:r>
        <w:r w:rsidR="00684C9F">
          <w:rPr>
            <w:noProof/>
            <w:webHidden/>
          </w:rPr>
          <w:fldChar w:fldCharType="begin"/>
        </w:r>
        <w:r w:rsidR="00684C9F">
          <w:rPr>
            <w:noProof/>
            <w:webHidden/>
          </w:rPr>
          <w:instrText xml:space="preserve"> PAGEREF _Toc168652181 \h </w:instrText>
        </w:r>
        <w:r w:rsidR="00684C9F">
          <w:rPr>
            <w:noProof/>
            <w:webHidden/>
          </w:rPr>
        </w:r>
        <w:r w:rsidR="00684C9F">
          <w:rPr>
            <w:noProof/>
            <w:webHidden/>
          </w:rPr>
          <w:fldChar w:fldCharType="separate"/>
        </w:r>
        <w:r w:rsidR="00E33157">
          <w:rPr>
            <w:noProof/>
            <w:webHidden/>
          </w:rPr>
          <w:t>99</w:t>
        </w:r>
        <w:r w:rsidR="00684C9F">
          <w:rPr>
            <w:noProof/>
            <w:webHidden/>
          </w:rPr>
          <w:fldChar w:fldCharType="end"/>
        </w:r>
      </w:hyperlink>
    </w:p>
    <w:p w14:paraId="0AA2642B" w14:textId="0C4F6D6F" w:rsidR="005C1288" w:rsidRPr="0078056B" w:rsidRDefault="000D319B" w:rsidP="00BD0D2D">
      <w:r w:rsidRPr="0078056B">
        <w:fldChar w:fldCharType="end"/>
      </w:r>
    </w:p>
    <w:p w14:paraId="12E98A1C" w14:textId="77777777" w:rsidR="005C1288" w:rsidRPr="0078056B" w:rsidRDefault="005C1288" w:rsidP="00BD0D2D">
      <w:pPr>
        <w:pStyle w:val="Heading3NoNumb"/>
      </w:pPr>
      <w:r w:rsidRPr="0078056B">
        <w:t>Figures</w:t>
      </w:r>
    </w:p>
    <w:p w14:paraId="32C7DA31" w14:textId="46102C0B" w:rsidR="00684C9F" w:rsidRDefault="000D319B">
      <w:pPr>
        <w:pStyle w:val="TOC8"/>
        <w:rPr>
          <w:rFonts w:asciiTheme="minorHAnsi" w:eastAsiaTheme="minorEastAsia" w:hAnsiTheme="minorHAnsi"/>
          <w:noProof/>
          <w:kern w:val="2"/>
          <w:sz w:val="24"/>
          <w:szCs w:val="24"/>
          <w:lang w:eastAsia="en-GB"/>
          <w14:ligatures w14:val="standardContextual"/>
        </w:rPr>
      </w:pPr>
      <w:r w:rsidRPr="0078056B">
        <w:fldChar w:fldCharType="begin"/>
      </w:r>
      <w:r w:rsidR="005C1288" w:rsidRPr="0078056B">
        <w:instrText xml:space="preserve">TOC \h \z \t "Figure Title, </w:instrText>
      </w:r>
      <w:r w:rsidR="000E1A46" w:rsidRPr="0078056B">
        <w:instrText>8</w:instrText>
      </w:r>
      <w:r w:rsidR="005C1288" w:rsidRPr="0078056B">
        <w:instrText>"</w:instrText>
      </w:r>
      <w:r w:rsidRPr="0078056B">
        <w:fldChar w:fldCharType="separate"/>
      </w:r>
      <w:hyperlink w:anchor="_Toc168652182" w:history="1">
        <w:r w:rsidR="00684C9F" w:rsidRPr="0024313C">
          <w:rPr>
            <w:rStyle w:val="Hyperlink"/>
            <w:noProof/>
          </w:rPr>
          <w:t>Figure 1</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Total economic impact of the University of Birmingham’s research and knowledge exchange activities in 2021-22, £m</w:t>
        </w:r>
        <w:r w:rsidR="00684C9F">
          <w:rPr>
            <w:noProof/>
            <w:webHidden/>
          </w:rPr>
          <w:tab/>
        </w:r>
        <w:r w:rsidR="00684C9F">
          <w:rPr>
            <w:noProof/>
            <w:webHidden/>
          </w:rPr>
          <w:fldChar w:fldCharType="begin"/>
        </w:r>
        <w:r w:rsidR="00684C9F">
          <w:rPr>
            <w:noProof/>
            <w:webHidden/>
          </w:rPr>
          <w:instrText xml:space="preserve"> PAGEREF _Toc168652182 \h </w:instrText>
        </w:r>
        <w:r w:rsidR="00684C9F">
          <w:rPr>
            <w:noProof/>
            <w:webHidden/>
          </w:rPr>
        </w:r>
        <w:r w:rsidR="00684C9F">
          <w:rPr>
            <w:noProof/>
            <w:webHidden/>
          </w:rPr>
          <w:fldChar w:fldCharType="separate"/>
        </w:r>
        <w:r w:rsidR="00E33157">
          <w:rPr>
            <w:noProof/>
            <w:webHidden/>
          </w:rPr>
          <w:t>v</w:t>
        </w:r>
        <w:r w:rsidR="00684C9F">
          <w:rPr>
            <w:noProof/>
            <w:webHidden/>
          </w:rPr>
          <w:fldChar w:fldCharType="end"/>
        </w:r>
      </w:hyperlink>
    </w:p>
    <w:p w14:paraId="380A4DD6" w14:textId="5B09CE7A"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83" w:history="1">
        <w:r w:rsidR="00684C9F" w:rsidRPr="0024313C">
          <w:rPr>
            <w:rStyle w:val="Hyperlink"/>
            <w:noProof/>
          </w:rPr>
          <w:t>Figure 2</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Impact of the University of Birmingham’s educational exports associated with international students in the 2021-22 cohort (£m), by domicile and type of income</w:t>
        </w:r>
        <w:r w:rsidR="00684C9F">
          <w:rPr>
            <w:noProof/>
            <w:webHidden/>
          </w:rPr>
          <w:tab/>
        </w:r>
        <w:r w:rsidR="00684C9F">
          <w:rPr>
            <w:noProof/>
            <w:webHidden/>
          </w:rPr>
          <w:fldChar w:fldCharType="begin"/>
        </w:r>
        <w:r w:rsidR="00684C9F">
          <w:rPr>
            <w:noProof/>
            <w:webHidden/>
          </w:rPr>
          <w:instrText xml:space="preserve"> PAGEREF _Toc168652183 \h </w:instrText>
        </w:r>
        <w:r w:rsidR="00684C9F">
          <w:rPr>
            <w:noProof/>
            <w:webHidden/>
          </w:rPr>
        </w:r>
        <w:r w:rsidR="00684C9F">
          <w:rPr>
            <w:noProof/>
            <w:webHidden/>
          </w:rPr>
          <w:fldChar w:fldCharType="separate"/>
        </w:r>
        <w:r w:rsidR="00E33157">
          <w:rPr>
            <w:noProof/>
            <w:webHidden/>
          </w:rPr>
          <w:t>vii</w:t>
        </w:r>
        <w:r w:rsidR="00684C9F">
          <w:rPr>
            <w:noProof/>
            <w:webHidden/>
          </w:rPr>
          <w:fldChar w:fldCharType="end"/>
        </w:r>
      </w:hyperlink>
    </w:p>
    <w:p w14:paraId="7E58E1E1" w14:textId="7FF1BAA6"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84" w:history="1">
        <w:r w:rsidR="00684C9F" w:rsidRPr="0024313C">
          <w:rPr>
            <w:rStyle w:val="Hyperlink"/>
            <w:noProof/>
          </w:rPr>
          <w:t>Figure 3</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 xml:space="preserve">Impact associated with </w:t>
        </w:r>
        <w:r w:rsidR="00684C9F" w:rsidRPr="0024313C">
          <w:rPr>
            <w:rStyle w:val="Hyperlink"/>
            <w:rFonts w:eastAsia="Times New Roman" w:cs="Times New Roman"/>
            <w:noProof/>
          </w:rPr>
          <w:t>the University of Birmingham’s</w:t>
        </w:r>
        <w:r w:rsidR="00684C9F" w:rsidRPr="0024313C">
          <w:rPr>
            <w:rStyle w:val="Hyperlink"/>
            <w:noProof/>
          </w:rPr>
          <w:t xml:space="preserve"> expenditure in the 2021-22 academic year (£m)</w:t>
        </w:r>
        <w:r w:rsidR="00684C9F">
          <w:rPr>
            <w:noProof/>
            <w:webHidden/>
          </w:rPr>
          <w:tab/>
        </w:r>
        <w:r w:rsidR="00684C9F">
          <w:rPr>
            <w:noProof/>
            <w:webHidden/>
          </w:rPr>
          <w:fldChar w:fldCharType="begin"/>
        </w:r>
        <w:r w:rsidR="00684C9F">
          <w:rPr>
            <w:noProof/>
            <w:webHidden/>
          </w:rPr>
          <w:instrText xml:space="preserve"> PAGEREF _Toc168652184 \h </w:instrText>
        </w:r>
        <w:r w:rsidR="00684C9F">
          <w:rPr>
            <w:noProof/>
            <w:webHidden/>
          </w:rPr>
        </w:r>
        <w:r w:rsidR="00684C9F">
          <w:rPr>
            <w:noProof/>
            <w:webHidden/>
          </w:rPr>
          <w:fldChar w:fldCharType="separate"/>
        </w:r>
        <w:r w:rsidR="00E33157">
          <w:rPr>
            <w:noProof/>
            <w:webHidden/>
          </w:rPr>
          <w:t>viii</w:t>
        </w:r>
        <w:r w:rsidR="00684C9F">
          <w:rPr>
            <w:noProof/>
            <w:webHidden/>
          </w:rPr>
          <w:fldChar w:fldCharType="end"/>
        </w:r>
      </w:hyperlink>
    </w:p>
    <w:p w14:paraId="32DE7E75" w14:textId="450F5BB4"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85" w:history="1">
        <w:r w:rsidR="00684C9F" w:rsidRPr="0024313C">
          <w:rPr>
            <w:rStyle w:val="Hyperlink"/>
            <w:noProof/>
          </w:rPr>
          <w:t>Figure 4</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Impact associated with the University of Birmingham’s contribution to tourism in 2021-22 (£m)</w:t>
        </w:r>
        <w:r w:rsidR="00684C9F">
          <w:rPr>
            <w:noProof/>
            <w:webHidden/>
          </w:rPr>
          <w:tab/>
        </w:r>
        <w:r w:rsidR="00684C9F">
          <w:rPr>
            <w:noProof/>
            <w:webHidden/>
          </w:rPr>
          <w:fldChar w:fldCharType="begin"/>
        </w:r>
        <w:r w:rsidR="00684C9F">
          <w:rPr>
            <w:noProof/>
            <w:webHidden/>
          </w:rPr>
          <w:instrText xml:space="preserve"> PAGEREF _Toc168652185 \h </w:instrText>
        </w:r>
        <w:r w:rsidR="00684C9F">
          <w:rPr>
            <w:noProof/>
            <w:webHidden/>
          </w:rPr>
        </w:r>
        <w:r w:rsidR="00684C9F">
          <w:rPr>
            <w:noProof/>
            <w:webHidden/>
          </w:rPr>
          <w:fldChar w:fldCharType="separate"/>
        </w:r>
        <w:r w:rsidR="00E33157">
          <w:rPr>
            <w:noProof/>
            <w:webHidden/>
          </w:rPr>
          <w:t>ix</w:t>
        </w:r>
        <w:r w:rsidR="00684C9F">
          <w:rPr>
            <w:noProof/>
            <w:webHidden/>
          </w:rPr>
          <w:fldChar w:fldCharType="end"/>
        </w:r>
      </w:hyperlink>
    </w:p>
    <w:p w14:paraId="1CA622F3" w14:textId="54455850"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86" w:history="1">
        <w:r w:rsidR="00684C9F" w:rsidRPr="0024313C">
          <w:rPr>
            <w:rStyle w:val="Hyperlink"/>
            <w:noProof/>
          </w:rPr>
          <w:t>Figure 5</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Research income received by the University of Birmingham in 2021-22, £m by source of income</w:t>
        </w:r>
        <w:r w:rsidR="00684C9F">
          <w:rPr>
            <w:noProof/>
            <w:webHidden/>
          </w:rPr>
          <w:tab/>
        </w:r>
        <w:r w:rsidR="00684C9F">
          <w:rPr>
            <w:noProof/>
            <w:webHidden/>
          </w:rPr>
          <w:fldChar w:fldCharType="begin"/>
        </w:r>
        <w:r w:rsidR="00684C9F">
          <w:rPr>
            <w:noProof/>
            <w:webHidden/>
          </w:rPr>
          <w:instrText xml:space="preserve"> PAGEREF _Toc168652186 \h </w:instrText>
        </w:r>
        <w:r w:rsidR="00684C9F">
          <w:rPr>
            <w:noProof/>
            <w:webHidden/>
          </w:rPr>
        </w:r>
        <w:r w:rsidR="00684C9F">
          <w:rPr>
            <w:noProof/>
            <w:webHidden/>
          </w:rPr>
          <w:fldChar w:fldCharType="separate"/>
        </w:r>
        <w:r w:rsidR="00E33157">
          <w:rPr>
            <w:noProof/>
            <w:webHidden/>
          </w:rPr>
          <w:t>4</w:t>
        </w:r>
        <w:r w:rsidR="00684C9F">
          <w:rPr>
            <w:noProof/>
            <w:webHidden/>
          </w:rPr>
          <w:fldChar w:fldCharType="end"/>
        </w:r>
      </w:hyperlink>
    </w:p>
    <w:p w14:paraId="2C9792F4" w14:textId="2AE41D3E"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87" w:history="1">
        <w:r w:rsidR="00684C9F" w:rsidRPr="0024313C">
          <w:rPr>
            <w:rStyle w:val="Hyperlink"/>
            <w:noProof/>
          </w:rPr>
          <w:t>Figure 6</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Net direct, indirect, and induced impacts associated with University of Birmingham research income in 2021-22 by activity, £m</w:t>
        </w:r>
        <w:r w:rsidR="00684C9F">
          <w:rPr>
            <w:noProof/>
            <w:webHidden/>
          </w:rPr>
          <w:tab/>
        </w:r>
        <w:r w:rsidR="00684C9F">
          <w:rPr>
            <w:noProof/>
            <w:webHidden/>
          </w:rPr>
          <w:fldChar w:fldCharType="begin"/>
        </w:r>
        <w:r w:rsidR="00684C9F">
          <w:rPr>
            <w:noProof/>
            <w:webHidden/>
          </w:rPr>
          <w:instrText xml:space="preserve"> PAGEREF _Toc168652187 \h </w:instrText>
        </w:r>
        <w:r w:rsidR="00684C9F">
          <w:rPr>
            <w:noProof/>
            <w:webHidden/>
          </w:rPr>
        </w:r>
        <w:r w:rsidR="00684C9F">
          <w:rPr>
            <w:noProof/>
            <w:webHidden/>
          </w:rPr>
          <w:fldChar w:fldCharType="separate"/>
        </w:r>
        <w:r w:rsidR="00E33157">
          <w:rPr>
            <w:noProof/>
            <w:webHidden/>
          </w:rPr>
          <w:t>7</w:t>
        </w:r>
        <w:r w:rsidR="00684C9F">
          <w:rPr>
            <w:noProof/>
            <w:webHidden/>
          </w:rPr>
          <w:fldChar w:fldCharType="end"/>
        </w:r>
      </w:hyperlink>
    </w:p>
    <w:p w14:paraId="4DED69D7" w14:textId="71F97D5F"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88" w:history="1">
        <w:r w:rsidR="00684C9F" w:rsidRPr="0024313C">
          <w:rPr>
            <w:rStyle w:val="Hyperlink"/>
            <w:noProof/>
          </w:rPr>
          <w:t>Figure 7</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Total impact of the University of Birmingham’s research activities in 2021-22, £m</w:t>
        </w:r>
        <w:r w:rsidR="00684C9F">
          <w:rPr>
            <w:noProof/>
            <w:webHidden/>
          </w:rPr>
          <w:tab/>
        </w:r>
        <w:r w:rsidR="00684C9F">
          <w:rPr>
            <w:noProof/>
            <w:webHidden/>
          </w:rPr>
          <w:fldChar w:fldCharType="begin"/>
        </w:r>
        <w:r w:rsidR="00684C9F">
          <w:rPr>
            <w:noProof/>
            <w:webHidden/>
          </w:rPr>
          <w:instrText xml:space="preserve"> PAGEREF _Toc168652188 \h </w:instrText>
        </w:r>
        <w:r w:rsidR="00684C9F">
          <w:rPr>
            <w:noProof/>
            <w:webHidden/>
          </w:rPr>
        </w:r>
        <w:r w:rsidR="00684C9F">
          <w:rPr>
            <w:noProof/>
            <w:webHidden/>
          </w:rPr>
          <w:fldChar w:fldCharType="separate"/>
        </w:r>
        <w:r w:rsidR="00E33157">
          <w:rPr>
            <w:noProof/>
            <w:webHidden/>
          </w:rPr>
          <w:t>9</w:t>
        </w:r>
        <w:r w:rsidR="00684C9F">
          <w:rPr>
            <w:noProof/>
            <w:webHidden/>
          </w:rPr>
          <w:fldChar w:fldCharType="end"/>
        </w:r>
      </w:hyperlink>
    </w:p>
    <w:p w14:paraId="280236B9" w14:textId="7015AFBE"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89" w:history="1">
        <w:r w:rsidR="00684C9F" w:rsidRPr="0024313C">
          <w:rPr>
            <w:rStyle w:val="Hyperlink"/>
            <w:noProof/>
          </w:rPr>
          <w:t>Figure 8</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Total economic impact associated with the University of Birmingham’s knowledge exchange activities in 2021-22 by activity, £m</w:t>
        </w:r>
        <w:r w:rsidR="00684C9F">
          <w:rPr>
            <w:noProof/>
            <w:webHidden/>
          </w:rPr>
          <w:tab/>
        </w:r>
        <w:r w:rsidR="00684C9F">
          <w:rPr>
            <w:noProof/>
            <w:webHidden/>
          </w:rPr>
          <w:fldChar w:fldCharType="begin"/>
        </w:r>
        <w:r w:rsidR="00684C9F">
          <w:rPr>
            <w:noProof/>
            <w:webHidden/>
          </w:rPr>
          <w:instrText xml:space="preserve"> PAGEREF _Toc168652189 \h </w:instrText>
        </w:r>
        <w:r w:rsidR="00684C9F">
          <w:rPr>
            <w:noProof/>
            <w:webHidden/>
          </w:rPr>
        </w:r>
        <w:r w:rsidR="00684C9F">
          <w:rPr>
            <w:noProof/>
            <w:webHidden/>
          </w:rPr>
          <w:fldChar w:fldCharType="separate"/>
        </w:r>
        <w:r w:rsidR="00E33157">
          <w:rPr>
            <w:noProof/>
            <w:webHidden/>
          </w:rPr>
          <w:t>13</w:t>
        </w:r>
        <w:r w:rsidR="00684C9F">
          <w:rPr>
            <w:noProof/>
            <w:webHidden/>
          </w:rPr>
          <w:fldChar w:fldCharType="end"/>
        </w:r>
      </w:hyperlink>
    </w:p>
    <w:p w14:paraId="77FA13F9" w14:textId="33089968"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90" w:history="1">
        <w:r w:rsidR="00684C9F" w:rsidRPr="0024313C">
          <w:rPr>
            <w:rStyle w:val="Hyperlink"/>
            <w:noProof/>
          </w:rPr>
          <w:t>Figure 9</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Total impact of the University of Birmingham’s research and knowledge exchange activities in 2021-22, £m</w:t>
        </w:r>
        <w:r w:rsidR="00684C9F">
          <w:rPr>
            <w:noProof/>
            <w:webHidden/>
          </w:rPr>
          <w:tab/>
        </w:r>
        <w:r w:rsidR="00684C9F">
          <w:rPr>
            <w:noProof/>
            <w:webHidden/>
          </w:rPr>
          <w:fldChar w:fldCharType="begin"/>
        </w:r>
        <w:r w:rsidR="00684C9F">
          <w:rPr>
            <w:noProof/>
            <w:webHidden/>
          </w:rPr>
          <w:instrText xml:space="preserve"> PAGEREF _Toc168652190 \h </w:instrText>
        </w:r>
        <w:r w:rsidR="00684C9F">
          <w:rPr>
            <w:noProof/>
            <w:webHidden/>
          </w:rPr>
        </w:r>
        <w:r w:rsidR="00684C9F">
          <w:rPr>
            <w:noProof/>
            <w:webHidden/>
          </w:rPr>
          <w:fldChar w:fldCharType="separate"/>
        </w:r>
        <w:r w:rsidR="00E33157">
          <w:rPr>
            <w:noProof/>
            <w:webHidden/>
          </w:rPr>
          <w:t>14</w:t>
        </w:r>
        <w:r w:rsidR="00684C9F">
          <w:rPr>
            <w:noProof/>
            <w:webHidden/>
          </w:rPr>
          <w:fldChar w:fldCharType="end"/>
        </w:r>
      </w:hyperlink>
    </w:p>
    <w:p w14:paraId="4FDD1D36" w14:textId="3B0D62F3"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91" w:history="1">
        <w:r w:rsidR="00684C9F" w:rsidRPr="0024313C">
          <w:rPr>
            <w:rStyle w:val="Hyperlink"/>
            <w:noProof/>
          </w:rPr>
          <w:t>Figure 10</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UK domiciled students in the 2021-22 cohort of University of Birmingham students, by level of study</w:t>
        </w:r>
        <w:r w:rsidR="00684C9F">
          <w:rPr>
            <w:noProof/>
            <w:webHidden/>
          </w:rPr>
          <w:tab/>
        </w:r>
        <w:r w:rsidR="00684C9F">
          <w:rPr>
            <w:noProof/>
            <w:webHidden/>
          </w:rPr>
          <w:fldChar w:fldCharType="begin"/>
        </w:r>
        <w:r w:rsidR="00684C9F">
          <w:rPr>
            <w:noProof/>
            <w:webHidden/>
          </w:rPr>
          <w:instrText xml:space="preserve"> PAGEREF _Toc168652191 \h </w:instrText>
        </w:r>
        <w:r w:rsidR="00684C9F">
          <w:rPr>
            <w:noProof/>
            <w:webHidden/>
          </w:rPr>
        </w:r>
        <w:r w:rsidR="00684C9F">
          <w:rPr>
            <w:noProof/>
            <w:webHidden/>
          </w:rPr>
          <w:fldChar w:fldCharType="separate"/>
        </w:r>
        <w:r w:rsidR="00E33157">
          <w:rPr>
            <w:noProof/>
            <w:webHidden/>
          </w:rPr>
          <w:t>16</w:t>
        </w:r>
        <w:r w:rsidR="00684C9F">
          <w:rPr>
            <w:noProof/>
            <w:webHidden/>
          </w:rPr>
          <w:fldChar w:fldCharType="end"/>
        </w:r>
      </w:hyperlink>
    </w:p>
    <w:p w14:paraId="70B66DDE" w14:textId="25E2D97D"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92" w:history="1">
        <w:r w:rsidR="00684C9F" w:rsidRPr="0024313C">
          <w:rPr>
            <w:rStyle w:val="Hyperlink"/>
            <w:noProof/>
          </w:rPr>
          <w:t>Figure 11</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UK domiciled students in the 2021-22 cohort of University of Birmingham students, by mode of study</w:t>
        </w:r>
        <w:r w:rsidR="00684C9F">
          <w:rPr>
            <w:noProof/>
            <w:webHidden/>
          </w:rPr>
          <w:tab/>
        </w:r>
        <w:r w:rsidR="00684C9F">
          <w:rPr>
            <w:noProof/>
            <w:webHidden/>
          </w:rPr>
          <w:fldChar w:fldCharType="begin"/>
        </w:r>
        <w:r w:rsidR="00684C9F">
          <w:rPr>
            <w:noProof/>
            <w:webHidden/>
          </w:rPr>
          <w:instrText xml:space="preserve"> PAGEREF _Toc168652192 \h </w:instrText>
        </w:r>
        <w:r w:rsidR="00684C9F">
          <w:rPr>
            <w:noProof/>
            <w:webHidden/>
          </w:rPr>
        </w:r>
        <w:r w:rsidR="00684C9F">
          <w:rPr>
            <w:noProof/>
            <w:webHidden/>
          </w:rPr>
          <w:fldChar w:fldCharType="separate"/>
        </w:r>
        <w:r w:rsidR="00E33157">
          <w:rPr>
            <w:noProof/>
            <w:webHidden/>
          </w:rPr>
          <w:t>16</w:t>
        </w:r>
        <w:r w:rsidR="00684C9F">
          <w:rPr>
            <w:noProof/>
            <w:webHidden/>
          </w:rPr>
          <w:fldChar w:fldCharType="end"/>
        </w:r>
      </w:hyperlink>
    </w:p>
    <w:p w14:paraId="21A1C1E8" w14:textId="45F36B70"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93" w:history="1">
        <w:r w:rsidR="00684C9F" w:rsidRPr="0024313C">
          <w:rPr>
            <w:rStyle w:val="Hyperlink"/>
            <w:noProof/>
          </w:rPr>
          <w:t>Figure 12</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UK domiciled students in the 2021-22 cohort of University of Birmingham students, by domicile</w:t>
        </w:r>
        <w:r w:rsidR="00684C9F">
          <w:rPr>
            <w:noProof/>
            <w:webHidden/>
          </w:rPr>
          <w:tab/>
        </w:r>
        <w:r w:rsidR="00684C9F">
          <w:rPr>
            <w:noProof/>
            <w:webHidden/>
          </w:rPr>
          <w:fldChar w:fldCharType="begin"/>
        </w:r>
        <w:r w:rsidR="00684C9F">
          <w:rPr>
            <w:noProof/>
            <w:webHidden/>
          </w:rPr>
          <w:instrText xml:space="preserve"> PAGEREF _Toc168652193 \h </w:instrText>
        </w:r>
        <w:r w:rsidR="00684C9F">
          <w:rPr>
            <w:noProof/>
            <w:webHidden/>
          </w:rPr>
        </w:r>
        <w:r w:rsidR="00684C9F">
          <w:rPr>
            <w:noProof/>
            <w:webHidden/>
          </w:rPr>
          <w:fldChar w:fldCharType="separate"/>
        </w:r>
        <w:r w:rsidR="00E33157">
          <w:rPr>
            <w:noProof/>
            <w:webHidden/>
          </w:rPr>
          <w:t>16</w:t>
        </w:r>
        <w:r w:rsidR="00684C9F">
          <w:rPr>
            <w:noProof/>
            <w:webHidden/>
          </w:rPr>
          <w:fldChar w:fldCharType="end"/>
        </w:r>
      </w:hyperlink>
    </w:p>
    <w:p w14:paraId="55989641" w14:textId="54760E0A"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94" w:history="1">
        <w:r w:rsidR="00684C9F" w:rsidRPr="0024313C">
          <w:rPr>
            <w:rStyle w:val="Hyperlink"/>
            <w:noProof/>
          </w:rPr>
          <w:t>Figure 13</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UK domiciled first-year students in the 2021-22 cohort, by Local Authority of domicile</w:t>
        </w:r>
        <w:r w:rsidR="00684C9F">
          <w:rPr>
            <w:noProof/>
            <w:webHidden/>
          </w:rPr>
          <w:tab/>
        </w:r>
        <w:r w:rsidR="00684C9F">
          <w:rPr>
            <w:noProof/>
            <w:webHidden/>
          </w:rPr>
          <w:fldChar w:fldCharType="begin"/>
        </w:r>
        <w:r w:rsidR="00684C9F">
          <w:rPr>
            <w:noProof/>
            <w:webHidden/>
          </w:rPr>
          <w:instrText xml:space="preserve"> PAGEREF _Toc168652194 \h </w:instrText>
        </w:r>
        <w:r w:rsidR="00684C9F">
          <w:rPr>
            <w:noProof/>
            <w:webHidden/>
          </w:rPr>
        </w:r>
        <w:r w:rsidR="00684C9F">
          <w:rPr>
            <w:noProof/>
            <w:webHidden/>
          </w:rPr>
          <w:fldChar w:fldCharType="separate"/>
        </w:r>
        <w:r w:rsidR="00E33157">
          <w:rPr>
            <w:noProof/>
            <w:webHidden/>
          </w:rPr>
          <w:t>18</w:t>
        </w:r>
        <w:r w:rsidR="00684C9F">
          <w:rPr>
            <w:noProof/>
            <w:webHidden/>
          </w:rPr>
          <w:fldChar w:fldCharType="end"/>
        </w:r>
      </w:hyperlink>
    </w:p>
    <w:p w14:paraId="59C92590" w14:textId="7B9246A0"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95" w:history="1">
        <w:r w:rsidR="00684C9F" w:rsidRPr="0024313C">
          <w:rPr>
            <w:rStyle w:val="Hyperlink"/>
            <w:noProof/>
          </w:rPr>
          <w:t>Figure 14</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Enrolments at the University of Birmingham and other higher education providers in the West Midlands across selected subjects, 2021-22</w:t>
        </w:r>
        <w:r w:rsidR="00684C9F">
          <w:rPr>
            <w:noProof/>
            <w:webHidden/>
          </w:rPr>
          <w:tab/>
        </w:r>
        <w:r w:rsidR="00684C9F">
          <w:rPr>
            <w:noProof/>
            <w:webHidden/>
          </w:rPr>
          <w:fldChar w:fldCharType="begin"/>
        </w:r>
        <w:r w:rsidR="00684C9F">
          <w:rPr>
            <w:noProof/>
            <w:webHidden/>
          </w:rPr>
          <w:instrText xml:space="preserve"> PAGEREF _Toc168652195 \h </w:instrText>
        </w:r>
        <w:r w:rsidR="00684C9F">
          <w:rPr>
            <w:noProof/>
            <w:webHidden/>
          </w:rPr>
        </w:r>
        <w:r w:rsidR="00684C9F">
          <w:rPr>
            <w:noProof/>
            <w:webHidden/>
          </w:rPr>
          <w:fldChar w:fldCharType="separate"/>
        </w:r>
        <w:r w:rsidR="00E33157">
          <w:rPr>
            <w:noProof/>
            <w:webHidden/>
          </w:rPr>
          <w:t>19</w:t>
        </w:r>
        <w:r w:rsidR="00684C9F">
          <w:rPr>
            <w:noProof/>
            <w:webHidden/>
          </w:rPr>
          <w:fldChar w:fldCharType="end"/>
        </w:r>
      </w:hyperlink>
    </w:p>
    <w:p w14:paraId="14B2D903" w14:textId="3219F10A"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96" w:history="1">
        <w:r w:rsidR="00684C9F" w:rsidRPr="0024313C">
          <w:rPr>
            <w:rStyle w:val="Hyperlink"/>
            <w:noProof/>
          </w:rPr>
          <w:t>Figure 15</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Overview of gross and net graduate premium, and gross and net Exchequer benefit</w:t>
        </w:r>
        <w:r w:rsidR="00684C9F">
          <w:rPr>
            <w:noProof/>
            <w:webHidden/>
          </w:rPr>
          <w:tab/>
        </w:r>
        <w:r w:rsidR="00684C9F">
          <w:rPr>
            <w:noProof/>
            <w:webHidden/>
          </w:rPr>
          <w:fldChar w:fldCharType="begin"/>
        </w:r>
        <w:r w:rsidR="00684C9F">
          <w:rPr>
            <w:noProof/>
            <w:webHidden/>
          </w:rPr>
          <w:instrText xml:space="preserve"> PAGEREF _Toc168652196 \h </w:instrText>
        </w:r>
        <w:r w:rsidR="00684C9F">
          <w:rPr>
            <w:noProof/>
            <w:webHidden/>
          </w:rPr>
        </w:r>
        <w:r w:rsidR="00684C9F">
          <w:rPr>
            <w:noProof/>
            <w:webHidden/>
          </w:rPr>
          <w:fldChar w:fldCharType="separate"/>
        </w:r>
        <w:r w:rsidR="00E33157">
          <w:rPr>
            <w:noProof/>
            <w:webHidden/>
          </w:rPr>
          <w:t>20</w:t>
        </w:r>
        <w:r w:rsidR="00684C9F">
          <w:rPr>
            <w:noProof/>
            <w:webHidden/>
          </w:rPr>
          <w:fldChar w:fldCharType="end"/>
        </w:r>
      </w:hyperlink>
    </w:p>
    <w:p w14:paraId="2C3BF772" w14:textId="5BC56DEA"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97" w:history="1">
        <w:r w:rsidR="00684C9F" w:rsidRPr="0024313C">
          <w:rPr>
            <w:rStyle w:val="Hyperlink"/>
            <w:noProof/>
          </w:rPr>
          <w:t>Figure 16</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Weighted median earnings of UK first degree graduates of the University of Birmingham</w:t>
        </w:r>
        <w:r w:rsidR="00684C9F">
          <w:rPr>
            <w:noProof/>
            <w:webHidden/>
          </w:rPr>
          <w:tab/>
        </w:r>
        <w:r w:rsidR="00684C9F">
          <w:rPr>
            <w:noProof/>
            <w:webHidden/>
          </w:rPr>
          <w:fldChar w:fldCharType="begin"/>
        </w:r>
        <w:r w:rsidR="00684C9F">
          <w:rPr>
            <w:noProof/>
            <w:webHidden/>
          </w:rPr>
          <w:instrText xml:space="preserve"> PAGEREF _Toc168652197 \h </w:instrText>
        </w:r>
        <w:r w:rsidR="00684C9F">
          <w:rPr>
            <w:noProof/>
            <w:webHidden/>
          </w:rPr>
        </w:r>
        <w:r w:rsidR="00684C9F">
          <w:rPr>
            <w:noProof/>
            <w:webHidden/>
          </w:rPr>
          <w:fldChar w:fldCharType="separate"/>
        </w:r>
        <w:r w:rsidR="00E33157">
          <w:rPr>
            <w:noProof/>
            <w:webHidden/>
          </w:rPr>
          <w:t>24</w:t>
        </w:r>
        <w:r w:rsidR="00684C9F">
          <w:rPr>
            <w:noProof/>
            <w:webHidden/>
          </w:rPr>
          <w:fldChar w:fldCharType="end"/>
        </w:r>
      </w:hyperlink>
    </w:p>
    <w:p w14:paraId="1390A277" w14:textId="3BE980B4"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98" w:history="1">
        <w:r w:rsidR="00684C9F" w:rsidRPr="0024313C">
          <w:rPr>
            <w:rStyle w:val="Hyperlink"/>
            <w:noProof/>
          </w:rPr>
          <w:t>Figure 17</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Location of UK domiciled University of Birmingham graduates in the 2018-19 graduating cohort, before and 1 year after study</w:t>
        </w:r>
        <w:r w:rsidR="00684C9F">
          <w:rPr>
            <w:noProof/>
            <w:webHidden/>
          </w:rPr>
          <w:tab/>
        </w:r>
        <w:r w:rsidR="00684C9F">
          <w:rPr>
            <w:noProof/>
            <w:webHidden/>
          </w:rPr>
          <w:fldChar w:fldCharType="begin"/>
        </w:r>
        <w:r w:rsidR="00684C9F">
          <w:rPr>
            <w:noProof/>
            <w:webHidden/>
          </w:rPr>
          <w:instrText xml:space="preserve"> PAGEREF _Toc168652198 \h </w:instrText>
        </w:r>
        <w:r w:rsidR="00684C9F">
          <w:rPr>
            <w:noProof/>
            <w:webHidden/>
          </w:rPr>
        </w:r>
        <w:r w:rsidR="00684C9F">
          <w:rPr>
            <w:noProof/>
            <w:webHidden/>
          </w:rPr>
          <w:fldChar w:fldCharType="separate"/>
        </w:r>
        <w:r w:rsidR="00E33157">
          <w:rPr>
            <w:noProof/>
            <w:webHidden/>
          </w:rPr>
          <w:t>25</w:t>
        </w:r>
        <w:r w:rsidR="00684C9F">
          <w:rPr>
            <w:noProof/>
            <w:webHidden/>
          </w:rPr>
          <w:fldChar w:fldCharType="end"/>
        </w:r>
      </w:hyperlink>
    </w:p>
    <w:p w14:paraId="2EB55EBD" w14:textId="4BFD5AE9"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199" w:history="1">
        <w:r w:rsidR="00684C9F" w:rsidRPr="0024313C">
          <w:rPr>
            <w:rStyle w:val="Hyperlink"/>
            <w:noProof/>
          </w:rPr>
          <w:t>Figure 18</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Location of UK domiciled University of Birmingham graduates in the 2016-17 graduating cohort, before and 3 years after study</w:t>
        </w:r>
        <w:r w:rsidR="00684C9F">
          <w:rPr>
            <w:noProof/>
            <w:webHidden/>
          </w:rPr>
          <w:tab/>
        </w:r>
        <w:r w:rsidR="00684C9F">
          <w:rPr>
            <w:noProof/>
            <w:webHidden/>
          </w:rPr>
          <w:fldChar w:fldCharType="begin"/>
        </w:r>
        <w:r w:rsidR="00684C9F">
          <w:rPr>
            <w:noProof/>
            <w:webHidden/>
          </w:rPr>
          <w:instrText xml:space="preserve"> PAGEREF _Toc168652199 \h </w:instrText>
        </w:r>
        <w:r w:rsidR="00684C9F">
          <w:rPr>
            <w:noProof/>
            <w:webHidden/>
          </w:rPr>
        </w:r>
        <w:r w:rsidR="00684C9F">
          <w:rPr>
            <w:noProof/>
            <w:webHidden/>
          </w:rPr>
          <w:fldChar w:fldCharType="separate"/>
        </w:r>
        <w:r w:rsidR="00E33157">
          <w:rPr>
            <w:noProof/>
            <w:webHidden/>
          </w:rPr>
          <w:t>26</w:t>
        </w:r>
        <w:r w:rsidR="00684C9F">
          <w:rPr>
            <w:noProof/>
            <w:webHidden/>
          </w:rPr>
          <w:fldChar w:fldCharType="end"/>
        </w:r>
      </w:hyperlink>
    </w:p>
    <w:p w14:paraId="7F003247" w14:textId="711140A2"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00" w:history="1">
        <w:r w:rsidR="00684C9F" w:rsidRPr="0024313C">
          <w:rPr>
            <w:rStyle w:val="Hyperlink"/>
            <w:noProof/>
          </w:rPr>
          <w:t>Figure 19</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Location of UK domiciled University of Birmingham graduates in the 2014-15 graduating cohort, before and 5 years after study</w:t>
        </w:r>
        <w:r w:rsidR="00684C9F">
          <w:rPr>
            <w:noProof/>
            <w:webHidden/>
          </w:rPr>
          <w:tab/>
        </w:r>
        <w:r w:rsidR="00684C9F">
          <w:rPr>
            <w:noProof/>
            <w:webHidden/>
          </w:rPr>
          <w:fldChar w:fldCharType="begin"/>
        </w:r>
        <w:r w:rsidR="00684C9F">
          <w:rPr>
            <w:noProof/>
            <w:webHidden/>
          </w:rPr>
          <w:instrText xml:space="preserve"> PAGEREF _Toc168652200 \h </w:instrText>
        </w:r>
        <w:r w:rsidR="00684C9F">
          <w:rPr>
            <w:noProof/>
            <w:webHidden/>
          </w:rPr>
        </w:r>
        <w:r w:rsidR="00684C9F">
          <w:rPr>
            <w:noProof/>
            <w:webHidden/>
          </w:rPr>
          <w:fldChar w:fldCharType="separate"/>
        </w:r>
        <w:r w:rsidR="00E33157">
          <w:rPr>
            <w:noProof/>
            <w:webHidden/>
          </w:rPr>
          <w:t>26</w:t>
        </w:r>
        <w:r w:rsidR="00684C9F">
          <w:rPr>
            <w:noProof/>
            <w:webHidden/>
          </w:rPr>
          <w:fldChar w:fldCharType="end"/>
        </w:r>
      </w:hyperlink>
    </w:p>
    <w:p w14:paraId="4595C1C8" w14:textId="4308D498"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01" w:history="1">
        <w:r w:rsidR="00684C9F" w:rsidRPr="0024313C">
          <w:rPr>
            <w:rStyle w:val="Hyperlink"/>
            <w:noProof/>
          </w:rPr>
          <w:t>Figure 20</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Non-UK domiciled students in the 2021-22 cohort of University of Birmingham students, by domicile</w:t>
        </w:r>
        <w:r w:rsidR="00684C9F">
          <w:rPr>
            <w:noProof/>
            <w:webHidden/>
          </w:rPr>
          <w:tab/>
        </w:r>
        <w:r w:rsidR="00684C9F">
          <w:rPr>
            <w:noProof/>
            <w:webHidden/>
          </w:rPr>
          <w:fldChar w:fldCharType="begin"/>
        </w:r>
        <w:r w:rsidR="00684C9F">
          <w:rPr>
            <w:noProof/>
            <w:webHidden/>
          </w:rPr>
          <w:instrText xml:space="preserve"> PAGEREF _Toc168652201 \h </w:instrText>
        </w:r>
        <w:r w:rsidR="00684C9F">
          <w:rPr>
            <w:noProof/>
            <w:webHidden/>
          </w:rPr>
        </w:r>
        <w:r w:rsidR="00684C9F">
          <w:rPr>
            <w:noProof/>
            <w:webHidden/>
          </w:rPr>
          <w:fldChar w:fldCharType="separate"/>
        </w:r>
        <w:r w:rsidR="00E33157">
          <w:rPr>
            <w:noProof/>
            <w:webHidden/>
          </w:rPr>
          <w:t>28</w:t>
        </w:r>
        <w:r w:rsidR="00684C9F">
          <w:rPr>
            <w:noProof/>
            <w:webHidden/>
          </w:rPr>
          <w:fldChar w:fldCharType="end"/>
        </w:r>
      </w:hyperlink>
    </w:p>
    <w:p w14:paraId="1D37F664" w14:textId="1378A0B4"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02" w:history="1">
        <w:r w:rsidR="00684C9F" w:rsidRPr="0024313C">
          <w:rPr>
            <w:rStyle w:val="Hyperlink"/>
            <w:noProof/>
          </w:rPr>
          <w:t>Figure 21</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Non-UK domiciled students in the 2021-22 cohort of University of Birmingham students, by study mode</w:t>
        </w:r>
        <w:r w:rsidR="00684C9F">
          <w:rPr>
            <w:noProof/>
            <w:webHidden/>
          </w:rPr>
          <w:tab/>
        </w:r>
        <w:r w:rsidR="00684C9F">
          <w:rPr>
            <w:noProof/>
            <w:webHidden/>
          </w:rPr>
          <w:fldChar w:fldCharType="begin"/>
        </w:r>
        <w:r w:rsidR="00684C9F">
          <w:rPr>
            <w:noProof/>
            <w:webHidden/>
          </w:rPr>
          <w:instrText xml:space="preserve"> PAGEREF _Toc168652202 \h </w:instrText>
        </w:r>
        <w:r w:rsidR="00684C9F">
          <w:rPr>
            <w:noProof/>
            <w:webHidden/>
          </w:rPr>
        </w:r>
        <w:r w:rsidR="00684C9F">
          <w:rPr>
            <w:noProof/>
            <w:webHidden/>
          </w:rPr>
          <w:fldChar w:fldCharType="separate"/>
        </w:r>
        <w:r w:rsidR="00E33157">
          <w:rPr>
            <w:noProof/>
            <w:webHidden/>
          </w:rPr>
          <w:t>28</w:t>
        </w:r>
        <w:r w:rsidR="00684C9F">
          <w:rPr>
            <w:noProof/>
            <w:webHidden/>
          </w:rPr>
          <w:fldChar w:fldCharType="end"/>
        </w:r>
      </w:hyperlink>
    </w:p>
    <w:p w14:paraId="06F420EA" w14:textId="12D89F20"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03" w:history="1">
        <w:r w:rsidR="00684C9F" w:rsidRPr="0024313C">
          <w:rPr>
            <w:rStyle w:val="Hyperlink"/>
            <w:noProof/>
          </w:rPr>
          <w:t>Figure 22</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Non-UK domiciled students in the 2021-22 cohort of University of Birmingham students, by level of study</w:t>
        </w:r>
        <w:r w:rsidR="00684C9F">
          <w:rPr>
            <w:noProof/>
            <w:webHidden/>
          </w:rPr>
          <w:tab/>
        </w:r>
        <w:r w:rsidR="00684C9F">
          <w:rPr>
            <w:noProof/>
            <w:webHidden/>
          </w:rPr>
          <w:fldChar w:fldCharType="begin"/>
        </w:r>
        <w:r w:rsidR="00684C9F">
          <w:rPr>
            <w:noProof/>
            <w:webHidden/>
          </w:rPr>
          <w:instrText xml:space="preserve"> PAGEREF _Toc168652203 \h </w:instrText>
        </w:r>
        <w:r w:rsidR="00684C9F">
          <w:rPr>
            <w:noProof/>
            <w:webHidden/>
          </w:rPr>
        </w:r>
        <w:r w:rsidR="00684C9F">
          <w:rPr>
            <w:noProof/>
            <w:webHidden/>
          </w:rPr>
          <w:fldChar w:fldCharType="separate"/>
        </w:r>
        <w:r w:rsidR="00E33157">
          <w:rPr>
            <w:noProof/>
            <w:webHidden/>
          </w:rPr>
          <w:t>29</w:t>
        </w:r>
        <w:r w:rsidR="00684C9F">
          <w:rPr>
            <w:noProof/>
            <w:webHidden/>
          </w:rPr>
          <w:fldChar w:fldCharType="end"/>
        </w:r>
      </w:hyperlink>
    </w:p>
    <w:p w14:paraId="5E9F6887" w14:textId="6752A7DC"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04" w:history="1">
        <w:r w:rsidR="00684C9F" w:rsidRPr="0024313C">
          <w:rPr>
            <w:rStyle w:val="Hyperlink"/>
            <w:noProof/>
          </w:rPr>
          <w:t>Figure 23</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Non-UK domiciled students in the 2021-22 cohort of University of Birmingham students, by country of domicile</w:t>
        </w:r>
        <w:r w:rsidR="00684C9F">
          <w:rPr>
            <w:noProof/>
            <w:webHidden/>
          </w:rPr>
          <w:tab/>
        </w:r>
        <w:r w:rsidR="00684C9F">
          <w:rPr>
            <w:noProof/>
            <w:webHidden/>
          </w:rPr>
          <w:fldChar w:fldCharType="begin"/>
        </w:r>
        <w:r w:rsidR="00684C9F">
          <w:rPr>
            <w:noProof/>
            <w:webHidden/>
          </w:rPr>
          <w:instrText xml:space="preserve"> PAGEREF _Toc168652204 \h </w:instrText>
        </w:r>
        <w:r w:rsidR="00684C9F">
          <w:rPr>
            <w:noProof/>
            <w:webHidden/>
          </w:rPr>
        </w:r>
        <w:r w:rsidR="00684C9F">
          <w:rPr>
            <w:noProof/>
            <w:webHidden/>
          </w:rPr>
          <w:fldChar w:fldCharType="separate"/>
        </w:r>
        <w:r w:rsidR="00E33157">
          <w:rPr>
            <w:noProof/>
            <w:webHidden/>
          </w:rPr>
          <w:t>30</w:t>
        </w:r>
        <w:r w:rsidR="00684C9F">
          <w:rPr>
            <w:noProof/>
            <w:webHidden/>
          </w:rPr>
          <w:fldChar w:fldCharType="end"/>
        </w:r>
      </w:hyperlink>
    </w:p>
    <w:p w14:paraId="2479F3BD" w14:textId="0A29C6CB"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05" w:history="1">
        <w:r w:rsidR="00684C9F" w:rsidRPr="0024313C">
          <w:rPr>
            <w:rStyle w:val="Hyperlink"/>
            <w:noProof/>
          </w:rPr>
          <w:t>Figure 24</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Total number of students at the University of Birmingham, 2010-11 to 2021-22, by domicile</w:t>
        </w:r>
        <w:r w:rsidR="00684C9F">
          <w:rPr>
            <w:noProof/>
            <w:webHidden/>
          </w:rPr>
          <w:tab/>
        </w:r>
        <w:r w:rsidR="00684C9F">
          <w:rPr>
            <w:noProof/>
            <w:webHidden/>
          </w:rPr>
          <w:fldChar w:fldCharType="begin"/>
        </w:r>
        <w:r w:rsidR="00684C9F">
          <w:rPr>
            <w:noProof/>
            <w:webHidden/>
          </w:rPr>
          <w:instrText xml:space="preserve"> PAGEREF _Toc168652205 \h </w:instrText>
        </w:r>
        <w:r w:rsidR="00684C9F">
          <w:rPr>
            <w:noProof/>
            <w:webHidden/>
          </w:rPr>
        </w:r>
        <w:r w:rsidR="00684C9F">
          <w:rPr>
            <w:noProof/>
            <w:webHidden/>
          </w:rPr>
          <w:fldChar w:fldCharType="separate"/>
        </w:r>
        <w:r w:rsidR="00E33157">
          <w:rPr>
            <w:noProof/>
            <w:webHidden/>
          </w:rPr>
          <w:t>31</w:t>
        </w:r>
        <w:r w:rsidR="00684C9F">
          <w:rPr>
            <w:noProof/>
            <w:webHidden/>
          </w:rPr>
          <w:fldChar w:fldCharType="end"/>
        </w:r>
      </w:hyperlink>
    </w:p>
    <w:p w14:paraId="75885453" w14:textId="6E569E3A"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06" w:history="1">
        <w:r w:rsidR="00684C9F" w:rsidRPr="0024313C">
          <w:rPr>
            <w:rStyle w:val="Hyperlink"/>
            <w:noProof/>
          </w:rPr>
          <w:t>Figure 25</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Total direct impact associated with non-UK students in the 2021-22 University of Birmingham entrant cohort, by type of impact</w:t>
        </w:r>
        <w:r w:rsidR="00684C9F">
          <w:rPr>
            <w:noProof/>
            <w:webHidden/>
          </w:rPr>
          <w:tab/>
        </w:r>
        <w:r w:rsidR="00684C9F">
          <w:rPr>
            <w:noProof/>
            <w:webHidden/>
          </w:rPr>
          <w:fldChar w:fldCharType="begin"/>
        </w:r>
        <w:r w:rsidR="00684C9F">
          <w:rPr>
            <w:noProof/>
            <w:webHidden/>
          </w:rPr>
          <w:instrText xml:space="preserve"> PAGEREF _Toc168652206 \h </w:instrText>
        </w:r>
        <w:r w:rsidR="00684C9F">
          <w:rPr>
            <w:noProof/>
            <w:webHidden/>
          </w:rPr>
        </w:r>
        <w:r w:rsidR="00684C9F">
          <w:rPr>
            <w:noProof/>
            <w:webHidden/>
          </w:rPr>
          <w:fldChar w:fldCharType="separate"/>
        </w:r>
        <w:r w:rsidR="00E33157">
          <w:rPr>
            <w:noProof/>
            <w:webHidden/>
          </w:rPr>
          <w:t>34</w:t>
        </w:r>
        <w:r w:rsidR="00684C9F">
          <w:rPr>
            <w:noProof/>
            <w:webHidden/>
          </w:rPr>
          <w:fldChar w:fldCharType="end"/>
        </w:r>
      </w:hyperlink>
    </w:p>
    <w:p w14:paraId="0A17FCFA" w14:textId="1F87F9F5"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07" w:history="1">
        <w:r w:rsidR="00684C9F" w:rsidRPr="0024313C">
          <w:rPr>
            <w:rStyle w:val="Hyperlink"/>
            <w:noProof/>
          </w:rPr>
          <w:t>Figure 26</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Gross direct economic impact (in terms of output) of the University of Birmingham’s expenditure in the 2021-22 academic year, by type of expenditure</w:t>
        </w:r>
        <w:r w:rsidR="00684C9F">
          <w:rPr>
            <w:noProof/>
            <w:webHidden/>
          </w:rPr>
          <w:tab/>
        </w:r>
        <w:r w:rsidR="00684C9F">
          <w:rPr>
            <w:noProof/>
            <w:webHidden/>
          </w:rPr>
          <w:fldChar w:fldCharType="begin"/>
        </w:r>
        <w:r w:rsidR="00684C9F">
          <w:rPr>
            <w:noProof/>
            <w:webHidden/>
          </w:rPr>
          <w:instrText xml:space="preserve"> PAGEREF _Toc168652207 \h </w:instrText>
        </w:r>
        <w:r w:rsidR="00684C9F">
          <w:rPr>
            <w:noProof/>
            <w:webHidden/>
          </w:rPr>
        </w:r>
        <w:r w:rsidR="00684C9F">
          <w:rPr>
            <w:noProof/>
            <w:webHidden/>
          </w:rPr>
          <w:fldChar w:fldCharType="separate"/>
        </w:r>
        <w:r w:rsidR="00E33157">
          <w:rPr>
            <w:noProof/>
            <w:webHidden/>
          </w:rPr>
          <w:t>38</w:t>
        </w:r>
        <w:r w:rsidR="00684C9F">
          <w:rPr>
            <w:noProof/>
            <w:webHidden/>
          </w:rPr>
          <w:fldChar w:fldCharType="end"/>
        </w:r>
      </w:hyperlink>
    </w:p>
    <w:p w14:paraId="5550AA02" w14:textId="3EFB911F"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08" w:history="1">
        <w:r w:rsidR="00684C9F" w:rsidRPr="0024313C">
          <w:rPr>
            <w:rStyle w:val="Hyperlink"/>
            <w:noProof/>
          </w:rPr>
          <w:t>Figure 27</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Distribution of the University of Birmingham’s procurement expenditure in the 2021-22 academic year by Local Authority (of invoice address)</w:t>
        </w:r>
        <w:r w:rsidR="00684C9F">
          <w:rPr>
            <w:noProof/>
            <w:webHidden/>
          </w:rPr>
          <w:tab/>
        </w:r>
        <w:r w:rsidR="00684C9F">
          <w:rPr>
            <w:noProof/>
            <w:webHidden/>
          </w:rPr>
          <w:fldChar w:fldCharType="begin"/>
        </w:r>
        <w:r w:rsidR="00684C9F">
          <w:rPr>
            <w:noProof/>
            <w:webHidden/>
          </w:rPr>
          <w:instrText xml:space="preserve"> PAGEREF _Toc168652208 \h </w:instrText>
        </w:r>
        <w:r w:rsidR="00684C9F">
          <w:rPr>
            <w:noProof/>
            <w:webHidden/>
          </w:rPr>
        </w:r>
        <w:r w:rsidR="00684C9F">
          <w:rPr>
            <w:noProof/>
            <w:webHidden/>
          </w:rPr>
          <w:fldChar w:fldCharType="separate"/>
        </w:r>
        <w:r w:rsidR="00E33157">
          <w:rPr>
            <w:noProof/>
            <w:webHidden/>
          </w:rPr>
          <w:t>40</w:t>
        </w:r>
        <w:r w:rsidR="00684C9F">
          <w:rPr>
            <w:noProof/>
            <w:webHidden/>
          </w:rPr>
          <w:fldChar w:fldCharType="end"/>
        </w:r>
      </w:hyperlink>
    </w:p>
    <w:p w14:paraId="1296E87E" w14:textId="64EEDD97"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09" w:history="1">
        <w:r w:rsidR="00684C9F" w:rsidRPr="0024313C">
          <w:rPr>
            <w:rStyle w:val="Hyperlink"/>
            <w:noProof/>
          </w:rPr>
          <w:t>Figure 28</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Distribution of the University of Birmingham’s staff (in headcount) by Local Authority (of home address) in the 2021-22 academic year</w:t>
        </w:r>
        <w:r w:rsidR="00684C9F">
          <w:rPr>
            <w:noProof/>
            <w:webHidden/>
          </w:rPr>
          <w:tab/>
        </w:r>
        <w:r w:rsidR="00684C9F">
          <w:rPr>
            <w:noProof/>
            <w:webHidden/>
          </w:rPr>
          <w:fldChar w:fldCharType="begin"/>
        </w:r>
        <w:r w:rsidR="00684C9F">
          <w:rPr>
            <w:noProof/>
            <w:webHidden/>
          </w:rPr>
          <w:instrText xml:space="preserve"> PAGEREF _Toc168652209 \h </w:instrText>
        </w:r>
        <w:r w:rsidR="00684C9F">
          <w:rPr>
            <w:noProof/>
            <w:webHidden/>
          </w:rPr>
        </w:r>
        <w:r w:rsidR="00684C9F">
          <w:rPr>
            <w:noProof/>
            <w:webHidden/>
          </w:rPr>
          <w:fldChar w:fldCharType="separate"/>
        </w:r>
        <w:r w:rsidR="00E33157">
          <w:rPr>
            <w:noProof/>
            <w:webHidden/>
          </w:rPr>
          <w:t>41</w:t>
        </w:r>
        <w:r w:rsidR="00684C9F">
          <w:rPr>
            <w:noProof/>
            <w:webHidden/>
          </w:rPr>
          <w:fldChar w:fldCharType="end"/>
        </w:r>
      </w:hyperlink>
    </w:p>
    <w:p w14:paraId="4261F47A" w14:textId="3AD207AF"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10" w:history="1">
        <w:r w:rsidR="00684C9F" w:rsidRPr="0024313C">
          <w:rPr>
            <w:rStyle w:val="Hyperlink"/>
            <w:noProof/>
          </w:rPr>
          <w:t>Figure 29</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Total economic impact associated with the University of Birmingham’s expenditures in the 2021-22 academic year, by region and sector</w:t>
        </w:r>
        <w:r w:rsidR="00684C9F">
          <w:rPr>
            <w:noProof/>
            <w:webHidden/>
          </w:rPr>
          <w:tab/>
        </w:r>
        <w:r w:rsidR="00684C9F">
          <w:rPr>
            <w:noProof/>
            <w:webHidden/>
          </w:rPr>
          <w:fldChar w:fldCharType="begin"/>
        </w:r>
        <w:r w:rsidR="00684C9F">
          <w:rPr>
            <w:noProof/>
            <w:webHidden/>
          </w:rPr>
          <w:instrText xml:space="preserve"> PAGEREF _Toc168652210 \h </w:instrText>
        </w:r>
        <w:r w:rsidR="00684C9F">
          <w:rPr>
            <w:noProof/>
            <w:webHidden/>
          </w:rPr>
        </w:r>
        <w:r w:rsidR="00684C9F">
          <w:rPr>
            <w:noProof/>
            <w:webHidden/>
          </w:rPr>
          <w:fldChar w:fldCharType="separate"/>
        </w:r>
        <w:r w:rsidR="00E33157">
          <w:rPr>
            <w:noProof/>
            <w:webHidden/>
          </w:rPr>
          <w:t>43</w:t>
        </w:r>
        <w:r w:rsidR="00684C9F">
          <w:rPr>
            <w:noProof/>
            <w:webHidden/>
          </w:rPr>
          <w:fldChar w:fldCharType="end"/>
        </w:r>
      </w:hyperlink>
    </w:p>
    <w:p w14:paraId="42ECC9D5" w14:textId="3C97B5A7"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11" w:history="1">
        <w:r w:rsidR="00684C9F" w:rsidRPr="0024313C">
          <w:rPr>
            <w:rStyle w:val="Hyperlink"/>
            <w:noProof/>
          </w:rPr>
          <w:t>Figure 30</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Total economic impact associated with the University’s contribution to tourism in 2021-22, by region and sector</w:t>
        </w:r>
        <w:r w:rsidR="00684C9F">
          <w:rPr>
            <w:noProof/>
            <w:webHidden/>
          </w:rPr>
          <w:tab/>
        </w:r>
        <w:r w:rsidR="00684C9F">
          <w:rPr>
            <w:noProof/>
            <w:webHidden/>
          </w:rPr>
          <w:fldChar w:fldCharType="begin"/>
        </w:r>
        <w:r w:rsidR="00684C9F">
          <w:rPr>
            <w:noProof/>
            <w:webHidden/>
          </w:rPr>
          <w:instrText xml:space="preserve"> PAGEREF _Toc168652211 \h </w:instrText>
        </w:r>
        <w:r w:rsidR="00684C9F">
          <w:rPr>
            <w:noProof/>
            <w:webHidden/>
          </w:rPr>
        </w:r>
        <w:r w:rsidR="00684C9F">
          <w:rPr>
            <w:noProof/>
            <w:webHidden/>
          </w:rPr>
          <w:fldChar w:fldCharType="separate"/>
        </w:r>
        <w:r w:rsidR="00E33157">
          <w:rPr>
            <w:noProof/>
            <w:webHidden/>
          </w:rPr>
          <w:t>48</w:t>
        </w:r>
        <w:r w:rsidR="00684C9F">
          <w:rPr>
            <w:noProof/>
            <w:webHidden/>
          </w:rPr>
          <w:fldChar w:fldCharType="end"/>
        </w:r>
      </w:hyperlink>
    </w:p>
    <w:p w14:paraId="1107BE3C" w14:textId="37311AC5"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12" w:history="1">
        <w:r w:rsidR="00684C9F" w:rsidRPr="0024313C">
          <w:rPr>
            <w:rStyle w:val="Hyperlink"/>
            <w:noProof/>
          </w:rPr>
          <w:t>Figure 31</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‘Overall, would you say that your degree from the University of Birmingham helped you…?’</w:t>
        </w:r>
        <w:r w:rsidR="00684C9F">
          <w:rPr>
            <w:noProof/>
            <w:webHidden/>
          </w:rPr>
          <w:tab/>
        </w:r>
        <w:r w:rsidR="00684C9F">
          <w:rPr>
            <w:noProof/>
            <w:webHidden/>
          </w:rPr>
          <w:fldChar w:fldCharType="begin"/>
        </w:r>
        <w:r w:rsidR="00684C9F">
          <w:rPr>
            <w:noProof/>
            <w:webHidden/>
          </w:rPr>
          <w:instrText xml:space="preserve"> PAGEREF _Toc168652212 \h </w:instrText>
        </w:r>
        <w:r w:rsidR="00684C9F">
          <w:rPr>
            <w:noProof/>
            <w:webHidden/>
          </w:rPr>
        </w:r>
        <w:r w:rsidR="00684C9F">
          <w:rPr>
            <w:noProof/>
            <w:webHidden/>
          </w:rPr>
          <w:fldChar w:fldCharType="separate"/>
        </w:r>
        <w:r w:rsidR="00E33157">
          <w:rPr>
            <w:noProof/>
            <w:webHidden/>
          </w:rPr>
          <w:t>50</w:t>
        </w:r>
        <w:r w:rsidR="00684C9F">
          <w:rPr>
            <w:noProof/>
            <w:webHidden/>
          </w:rPr>
          <w:fldChar w:fldCharType="end"/>
        </w:r>
      </w:hyperlink>
    </w:p>
    <w:p w14:paraId="7119ACB4" w14:textId="3C049ADD"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13" w:history="1">
        <w:r w:rsidR="00684C9F" w:rsidRPr="0024313C">
          <w:rPr>
            <w:rStyle w:val="Hyperlink"/>
            <w:noProof/>
          </w:rPr>
          <w:t>Figure 32</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‘To what extent do you think this improvement was / these improvements were linked to your degree from the University of Birmingham?’</w:t>
        </w:r>
        <w:r w:rsidR="00684C9F">
          <w:rPr>
            <w:noProof/>
            <w:webHidden/>
          </w:rPr>
          <w:tab/>
        </w:r>
        <w:r w:rsidR="00684C9F">
          <w:rPr>
            <w:noProof/>
            <w:webHidden/>
          </w:rPr>
          <w:fldChar w:fldCharType="begin"/>
        </w:r>
        <w:r w:rsidR="00684C9F">
          <w:rPr>
            <w:noProof/>
            <w:webHidden/>
          </w:rPr>
          <w:instrText xml:space="preserve"> PAGEREF _Toc168652213 \h </w:instrText>
        </w:r>
        <w:r w:rsidR="00684C9F">
          <w:rPr>
            <w:noProof/>
            <w:webHidden/>
          </w:rPr>
        </w:r>
        <w:r w:rsidR="00684C9F">
          <w:rPr>
            <w:noProof/>
            <w:webHidden/>
          </w:rPr>
          <w:fldChar w:fldCharType="separate"/>
        </w:r>
        <w:r w:rsidR="00E33157">
          <w:rPr>
            <w:noProof/>
            <w:webHidden/>
          </w:rPr>
          <w:t>50</w:t>
        </w:r>
        <w:r w:rsidR="00684C9F">
          <w:rPr>
            <w:noProof/>
            <w:webHidden/>
          </w:rPr>
          <w:fldChar w:fldCharType="end"/>
        </w:r>
      </w:hyperlink>
    </w:p>
    <w:p w14:paraId="01037C57" w14:textId="38486648"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14" w:history="1">
        <w:r w:rsidR="00684C9F" w:rsidRPr="0024313C">
          <w:rPr>
            <w:rStyle w:val="Hyperlink"/>
            <w:noProof/>
          </w:rPr>
          <w:t>Figure 33</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‘Following completion of your degree from the University of Birmingham, what impact did this have on your general set of skills?’</w:t>
        </w:r>
        <w:r w:rsidR="00684C9F">
          <w:rPr>
            <w:noProof/>
            <w:webHidden/>
          </w:rPr>
          <w:tab/>
        </w:r>
        <w:r w:rsidR="00684C9F">
          <w:rPr>
            <w:noProof/>
            <w:webHidden/>
          </w:rPr>
          <w:fldChar w:fldCharType="begin"/>
        </w:r>
        <w:r w:rsidR="00684C9F">
          <w:rPr>
            <w:noProof/>
            <w:webHidden/>
          </w:rPr>
          <w:instrText xml:space="preserve"> PAGEREF _Toc168652214 \h </w:instrText>
        </w:r>
        <w:r w:rsidR="00684C9F">
          <w:rPr>
            <w:noProof/>
            <w:webHidden/>
          </w:rPr>
        </w:r>
        <w:r w:rsidR="00684C9F">
          <w:rPr>
            <w:noProof/>
            <w:webHidden/>
          </w:rPr>
          <w:fldChar w:fldCharType="separate"/>
        </w:r>
        <w:r w:rsidR="00E33157">
          <w:rPr>
            <w:noProof/>
            <w:webHidden/>
          </w:rPr>
          <w:t>51</w:t>
        </w:r>
        <w:r w:rsidR="00684C9F">
          <w:rPr>
            <w:noProof/>
            <w:webHidden/>
          </w:rPr>
          <w:fldChar w:fldCharType="end"/>
        </w:r>
      </w:hyperlink>
    </w:p>
    <w:p w14:paraId="7DC5CE53" w14:textId="31EAE347"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15" w:history="1">
        <w:r w:rsidR="00684C9F" w:rsidRPr="0024313C">
          <w:rPr>
            <w:rStyle w:val="Hyperlink"/>
            <w:noProof/>
          </w:rPr>
          <w:t>Figure 34</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‘What impact did your degree from the University of Birmingham have on your job-related set of skills?’</w:t>
        </w:r>
        <w:r w:rsidR="00684C9F">
          <w:rPr>
            <w:noProof/>
            <w:webHidden/>
          </w:rPr>
          <w:tab/>
        </w:r>
        <w:r w:rsidR="00684C9F">
          <w:rPr>
            <w:noProof/>
            <w:webHidden/>
          </w:rPr>
          <w:fldChar w:fldCharType="begin"/>
        </w:r>
        <w:r w:rsidR="00684C9F">
          <w:rPr>
            <w:noProof/>
            <w:webHidden/>
          </w:rPr>
          <w:instrText xml:space="preserve"> PAGEREF _Toc168652215 \h </w:instrText>
        </w:r>
        <w:r w:rsidR="00684C9F">
          <w:rPr>
            <w:noProof/>
            <w:webHidden/>
          </w:rPr>
        </w:r>
        <w:r w:rsidR="00684C9F">
          <w:rPr>
            <w:noProof/>
            <w:webHidden/>
          </w:rPr>
          <w:fldChar w:fldCharType="separate"/>
        </w:r>
        <w:r w:rsidR="00E33157">
          <w:rPr>
            <w:noProof/>
            <w:webHidden/>
          </w:rPr>
          <w:t>51</w:t>
        </w:r>
        <w:r w:rsidR="00684C9F">
          <w:rPr>
            <w:noProof/>
            <w:webHidden/>
          </w:rPr>
          <w:fldChar w:fldCharType="end"/>
        </w:r>
      </w:hyperlink>
    </w:p>
    <w:p w14:paraId="28893340" w14:textId="64E317AE"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16" w:history="1">
        <w:r w:rsidR="00684C9F" w:rsidRPr="0024313C">
          <w:rPr>
            <w:rStyle w:val="Hyperlink"/>
            <w:noProof/>
          </w:rPr>
          <w:t>Figure 35</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‘In terms of your personal development, to what extent do you agree or disagree that your experience at the University of Birmingham…?’</w:t>
        </w:r>
        <w:r w:rsidR="00684C9F">
          <w:rPr>
            <w:noProof/>
            <w:webHidden/>
          </w:rPr>
          <w:tab/>
        </w:r>
        <w:r w:rsidR="00684C9F">
          <w:rPr>
            <w:noProof/>
            <w:webHidden/>
          </w:rPr>
          <w:fldChar w:fldCharType="begin"/>
        </w:r>
        <w:r w:rsidR="00684C9F">
          <w:rPr>
            <w:noProof/>
            <w:webHidden/>
          </w:rPr>
          <w:instrText xml:space="preserve"> PAGEREF _Toc168652216 \h </w:instrText>
        </w:r>
        <w:r w:rsidR="00684C9F">
          <w:rPr>
            <w:noProof/>
            <w:webHidden/>
          </w:rPr>
        </w:r>
        <w:r w:rsidR="00684C9F">
          <w:rPr>
            <w:noProof/>
            <w:webHidden/>
          </w:rPr>
          <w:fldChar w:fldCharType="separate"/>
        </w:r>
        <w:r w:rsidR="00E33157">
          <w:rPr>
            <w:noProof/>
            <w:webHidden/>
          </w:rPr>
          <w:t>52</w:t>
        </w:r>
        <w:r w:rsidR="00684C9F">
          <w:rPr>
            <w:noProof/>
            <w:webHidden/>
          </w:rPr>
          <w:fldChar w:fldCharType="end"/>
        </w:r>
      </w:hyperlink>
    </w:p>
    <w:p w14:paraId="327FEF40" w14:textId="49CDC82F"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17" w:history="1">
        <w:r w:rsidR="00684C9F" w:rsidRPr="0024313C">
          <w:rPr>
            <w:rStyle w:val="Hyperlink"/>
            <w:noProof/>
          </w:rPr>
          <w:t>Figure 36</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‘In terms of your personal development, to what extent do you agree or disagree that your experience at the University of Birmingham encouraged you to…?’</w:t>
        </w:r>
        <w:r w:rsidR="00684C9F">
          <w:rPr>
            <w:noProof/>
            <w:webHidden/>
          </w:rPr>
          <w:tab/>
        </w:r>
        <w:r w:rsidR="00684C9F">
          <w:rPr>
            <w:noProof/>
            <w:webHidden/>
          </w:rPr>
          <w:fldChar w:fldCharType="begin"/>
        </w:r>
        <w:r w:rsidR="00684C9F">
          <w:rPr>
            <w:noProof/>
            <w:webHidden/>
          </w:rPr>
          <w:instrText xml:space="preserve"> PAGEREF _Toc168652217 \h </w:instrText>
        </w:r>
        <w:r w:rsidR="00684C9F">
          <w:rPr>
            <w:noProof/>
            <w:webHidden/>
          </w:rPr>
        </w:r>
        <w:r w:rsidR="00684C9F">
          <w:rPr>
            <w:noProof/>
            <w:webHidden/>
          </w:rPr>
          <w:fldChar w:fldCharType="separate"/>
        </w:r>
        <w:r w:rsidR="00E33157">
          <w:rPr>
            <w:noProof/>
            <w:webHidden/>
          </w:rPr>
          <w:t>53</w:t>
        </w:r>
        <w:r w:rsidR="00684C9F">
          <w:rPr>
            <w:noProof/>
            <w:webHidden/>
          </w:rPr>
          <w:fldChar w:fldCharType="end"/>
        </w:r>
      </w:hyperlink>
    </w:p>
    <w:p w14:paraId="710A2B49" w14:textId="7BFD445E"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18" w:history="1">
        <w:r w:rsidR="00684C9F" w:rsidRPr="0024313C">
          <w:rPr>
            <w:rStyle w:val="Hyperlink"/>
            <w:noProof/>
          </w:rPr>
          <w:t>Figure 37</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‘In terms of your well-being, to what extent do you agree or disagree that the degree which you completed at the University of Birmingham…?’</w:t>
        </w:r>
        <w:r w:rsidR="00684C9F">
          <w:rPr>
            <w:noProof/>
            <w:webHidden/>
          </w:rPr>
          <w:tab/>
        </w:r>
        <w:r w:rsidR="00684C9F">
          <w:rPr>
            <w:noProof/>
            <w:webHidden/>
          </w:rPr>
          <w:fldChar w:fldCharType="begin"/>
        </w:r>
        <w:r w:rsidR="00684C9F">
          <w:rPr>
            <w:noProof/>
            <w:webHidden/>
          </w:rPr>
          <w:instrText xml:space="preserve"> PAGEREF _Toc168652218 \h </w:instrText>
        </w:r>
        <w:r w:rsidR="00684C9F">
          <w:rPr>
            <w:noProof/>
            <w:webHidden/>
          </w:rPr>
        </w:r>
        <w:r w:rsidR="00684C9F">
          <w:rPr>
            <w:noProof/>
            <w:webHidden/>
          </w:rPr>
          <w:fldChar w:fldCharType="separate"/>
        </w:r>
        <w:r w:rsidR="00E33157">
          <w:rPr>
            <w:noProof/>
            <w:webHidden/>
          </w:rPr>
          <w:t>54</w:t>
        </w:r>
        <w:r w:rsidR="00684C9F">
          <w:rPr>
            <w:noProof/>
            <w:webHidden/>
          </w:rPr>
          <w:fldChar w:fldCharType="end"/>
        </w:r>
      </w:hyperlink>
    </w:p>
    <w:p w14:paraId="2E2B82D6" w14:textId="08A5C312"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19" w:history="1">
        <w:r w:rsidR="00684C9F" w:rsidRPr="0024313C">
          <w:rPr>
            <w:rStyle w:val="Hyperlink"/>
            <w:noProof/>
          </w:rPr>
          <w:t>Figure 38</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Number of attendees to public events at the University of Birmingham in 2021-22, by chargeable and free events</w:t>
        </w:r>
        <w:r w:rsidR="00684C9F">
          <w:rPr>
            <w:noProof/>
            <w:webHidden/>
          </w:rPr>
          <w:tab/>
        </w:r>
        <w:r w:rsidR="00684C9F">
          <w:rPr>
            <w:noProof/>
            <w:webHidden/>
          </w:rPr>
          <w:fldChar w:fldCharType="begin"/>
        </w:r>
        <w:r w:rsidR="00684C9F">
          <w:rPr>
            <w:noProof/>
            <w:webHidden/>
          </w:rPr>
          <w:instrText xml:space="preserve"> PAGEREF _Toc168652219 \h </w:instrText>
        </w:r>
        <w:r w:rsidR="00684C9F">
          <w:rPr>
            <w:noProof/>
            <w:webHidden/>
          </w:rPr>
        </w:r>
        <w:r w:rsidR="00684C9F">
          <w:rPr>
            <w:noProof/>
            <w:webHidden/>
          </w:rPr>
          <w:fldChar w:fldCharType="separate"/>
        </w:r>
        <w:r w:rsidR="00E33157">
          <w:rPr>
            <w:noProof/>
            <w:webHidden/>
          </w:rPr>
          <w:t>55</w:t>
        </w:r>
        <w:r w:rsidR="00684C9F">
          <w:rPr>
            <w:noProof/>
            <w:webHidden/>
          </w:rPr>
          <w:fldChar w:fldCharType="end"/>
        </w:r>
      </w:hyperlink>
    </w:p>
    <w:p w14:paraId="56471432" w14:textId="5ED2CC0C"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20" w:history="1">
        <w:r w:rsidR="00684C9F" w:rsidRPr="0024313C">
          <w:rPr>
            <w:rStyle w:val="Hyperlink"/>
            <w:noProof/>
          </w:rPr>
          <w:t>Figure 39</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Total identifiable economic impact associated with the University’s activities in 2021-22, by region</w:t>
        </w:r>
        <w:r w:rsidR="00684C9F">
          <w:rPr>
            <w:noProof/>
            <w:webHidden/>
          </w:rPr>
          <w:tab/>
        </w:r>
        <w:r w:rsidR="00684C9F">
          <w:rPr>
            <w:noProof/>
            <w:webHidden/>
          </w:rPr>
          <w:fldChar w:fldCharType="begin"/>
        </w:r>
        <w:r w:rsidR="00684C9F">
          <w:rPr>
            <w:noProof/>
            <w:webHidden/>
          </w:rPr>
          <w:instrText xml:space="preserve"> PAGEREF _Toc168652220 \h </w:instrText>
        </w:r>
        <w:r w:rsidR="00684C9F">
          <w:rPr>
            <w:noProof/>
            <w:webHidden/>
          </w:rPr>
        </w:r>
        <w:r w:rsidR="00684C9F">
          <w:rPr>
            <w:noProof/>
            <w:webHidden/>
          </w:rPr>
          <w:fldChar w:fldCharType="separate"/>
        </w:r>
        <w:r w:rsidR="00E33157">
          <w:rPr>
            <w:noProof/>
            <w:webHidden/>
          </w:rPr>
          <w:t>59</w:t>
        </w:r>
        <w:r w:rsidR="00684C9F">
          <w:rPr>
            <w:noProof/>
            <w:webHidden/>
          </w:rPr>
          <w:fldChar w:fldCharType="end"/>
        </w:r>
      </w:hyperlink>
    </w:p>
    <w:p w14:paraId="7FDEB4CD" w14:textId="691C972A"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21" w:history="1">
        <w:r w:rsidR="00684C9F" w:rsidRPr="0024313C">
          <w:rPr>
            <w:rStyle w:val="Hyperlink"/>
            <w:noProof/>
          </w:rPr>
          <w:t>Figure 40</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Total identifiable economic impact associated with the University’s activities in 2021-22, by sector</w:t>
        </w:r>
        <w:r w:rsidR="00684C9F">
          <w:rPr>
            <w:noProof/>
            <w:webHidden/>
          </w:rPr>
          <w:tab/>
        </w:r>
        <w:r w:rsidR="00684C9F">
          <w:rPr>
            <w:noProof/>
            <w:webHidden/>
          </w:rPr>
          <w:fldChar w:fldCharType="begin"/>
        </w:r>
        <w:r w:rsidR="00684C9F">
          <w:rPr>
            <w:noProof/>
            <w:webHidden/>
          </w:rPr>
          <w:instrText xml:space="preserve"> PAGEREF _Toc168652221 \h </w:instrText>
        </w:r>
        <w:r w:rsidR="00684C9F">
          <w:rPr>
            <w:noProof/>
            <w:webHidden/>
          </w:rPr>
        </w:r>
        <w:r w:rsidR="00684C9F">
          <w:rPr>
            <w:noProof/>
            <w:webHidden/>
          </w:rPr>
          <w:fldChar w:fldCharType="separate"/>
        </w:r>
        <w:r w:rsidR="00E33157">
          <w:rPr>
            <w:noProof/>
            <w:webHidden/>
          </w:rPr>
          <w:t>60</w:t>
        </w:r>
        <w:r w:rsidR="00684C9F">
          <w:rPr>
            <w:noProof/>
            <w:webHidden/>
          </w:rPr>
          <w:fldChar w:fldCharType="end"/>
        </w:r>
      </w:hyperlink>
    </w:p>
    <w:p w14:paraId="1DCB193B" w14:textId="17FA0805"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22" w:history="1">
        <w:r w:rsidR="00684C9F" w:rsidRPr="0024313C">
          <w:rPr>
            <w:rStyle w:val="Hyperlink"/>
            <w:noProof/>
          </w:rPr>
          <w:t>Figure 41</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Overview of the analysis of research and wider knowledge exchange activities</w:t>
        </w:r>
        <w:r w:rsidR="00684C9F">
          <w:rPr>
            <w:noProof/>
            <w:webHidden/>
          </w:rPr>
          <w:tab/>
        </w:r>
        <w:r w:rsidR="00684C9F">
          <w:rPr>
            <w:noProof/>
            <w:webHidden/>
          </w:rPr>
          <w:fldChar w:fldCharType="begin"/>
        </w:r>
        <w:r w:rsidR="00684C9F">
          <w:rPr>
            <w:noProof/>
            <w:webHidden/>
          </w:rPr>
          <w:instrText xml:space="preserve"> PAGEREF _Toc168652222 \h </w:instrText>
        </w:r>
        <w:r w:rsidR="00684C9F">
          <w:rPr>
            <w:noProof/>
            <w:webHidden/>
          </w:rPr>
        </w:r>
        <w:r w:rsidR="00684C9F">
          <w:rPr>
            <w:noProof/>
            <w:webHidden/>
          </w:rPr>
          <w:fldChar w:fldCharType="separate"/>
        </w:r>
        <w:r w:rsidR="00E33157">
          <w:rPr>
            <w:noProof/>
            <w:webHidden/>
          </w:rPr>
          <w:t>74</w:t>
        </w:r>
        <w:r w:rsidR="00684C9F">
          <w:rPr>
            <w:noProof/>
            <w:webHidden/>
          </w:rPr>
          <w:fldChar w:fldCharType="end"/>
        </w:r>
      </w:hyperlink>
    </w:p>
    <w:p w14:paraId="1393B08C" w14:textId="522273F6"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23" w:history="1">
        <w:r w:rsidR="00684C9F" w:rsidRPr="0024313C">
          <w:rPr>
            <w:rStyle w:val="Hyperlink"/>
            <w:noProof/>
          </w:rPr>
          <w:t>Figure 42</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Estimated total economic impact associated with the University of Birmingham’s research and knowledge exchange activities in 2021-22, by region</w:t>
        </w:r>
        <w:r w:rsidR="00684C9F">
          <w:rPr>
            <w:noProof/>
            <w:webHidden/>
          </w:rPr>
          <w:tab/>
        </w:r>
        <w:r w:rsidR="00684C9F">
          <w:rPr>
            <w:noProof/>
            <w:webHidden/>
          </w:rPr>
          <w:fldChar w:fldCharType="begin"/>
        </w:r>
        <w:r w:rsidR="00684C9F">
          <w:rPr>
            <w:noProof/>
            <w:webHidden/>
          </w:rPr>
          <w:instrText xml:space="preserve"> PAGEREF _Toc168652223 \h </w:instrText>
        </w:r>
        <w:r w:rsidR="00684C9F">
          <w:rPr>
            <w:noProof/>
            <w:webHidden/>
          </w:rPr>
        </w:r>
        <w:r w:rsidR="00684C9F">
          <w:rPr>
            <w:noProof/>
            <w:webHidden/>
          </w:rPr>
          <w:fldChar w:fldCharType="separate"/>
        </w:r>
        <w:r w:rsidR="00E33157">
          <w:rPr>
            <w:noProof/>
            <w:webHidden/>
          </w:rPr>
          <w:t>77</w:t>
        </w:r>
        <w:r w:rsidR="00684C9F">
          <w:rPr>
            <w:noProof/>
            <w:webHidden/>
          </w:rPr>
          <w:fldChar w:fldCharType="end"/>
        </w:r>
      </w:hyperlink>
    </w:p>
    <w:p w14:paraId="23E8A29C" w14:textId="14A39B8D"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24" w:history="1">
        <w:r w:rsidR="00684C9F" w:rsidRPr="0024313C">
          <w:rPr>
            <w:rStyle w:val="Hyperlink"/>
            <w:noProof/>
          </w:rPr>
          <w:t>Figure 43</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Estimated total economic impact associated with the University of Birmingham’s research and knowledge exchange activities in 2021-22, by sector</w:t>
        </w:r>
        <w:r w:rsidR="00684C9F">
          <w:rPr>
            <w:noProof/>
            <w:webHidden/>
          </w:rPr>
          <w:tab/>
        </w:r>
        <w:r w:rsidR="00684C9F">
          <w:rPr>
            <w:noProof/>
            <w:webHidden/>
          </w:rPr>
          <w:fldChar w:fldCharType="begin"/>
        </w:r>
        <w:r w:rsidR="00684C9F">
          <w:rPr>
            <w:noProof/>
            <w:webHidden/>
          </w:rPr>
          <w:instrText xml:space="preserve"> PAGEREF _Toc168652224 \h </w:instrText>
        </w:r>
        <w:r w:rsidR="00684C9F">
          <w:rPr>
            <w:noProof/>
            <w:webHidden/>
          </w:rPr>
        </w:r>
        <w:r w:rsidR="00684C9F">
          <w:rPr>
            <w:noProof/>
            <w:webHidden/>
          </w:rPr>
          <w:fldChar w:fldCharType="separate"/>
        </w:r>
        <w:r w:rsidR="00E33157">
          <w:rPr>
            <w:noProof/>
            <w:webHidden/>
          </w:rPr>
          <w:t>78</w:t>
        </w:r>
        <w:r w:rsidR="00684C9F">
          <w:rPr>
            <w:noProof/>
            <w:webHidden/>
          </w:rPr>
          <w:fldChar w:fldCharType="end"/>
        </w:r>
      </w:hyperlink>
    </w:p>
    <w:p w14:paraId="2EB2F38B" w14:textId="216DFD70"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25" w:history="1">
        <w:r w:rsidR="00684C9F" w:rsidRPr="0024313C">
          <w:rPr>
            <w:rStyle w:val="Hyperlink"/>
            <w:noProof/>
          </w:rPr>
          <w:t>Figure 44</w:t>
        </w:r>
        <w:r w:rsidR="00684C9F">
          <w:rPr>
            <w:rFonts w:asciiTheme="minorHAnsi" w:eastAsiaTheme="minorEastAsia" w:hAnsiTheme="minorHAnsi"/>
            <w:noProof/>
            <w:kern w:val="2"/>
            <w:sz w:val="24"/>
            <w:szCs w:val="24"/>
            <w:lang w:eastAsia="en-GB"/>
            <w14:ligatures w14:val="standardContextual"/>
          </w:rPr>
          <w:tab/>
        </w:r>
        <w:r w:rsidR="00684C9F" w:rsidRPr="0024313C">
          <w:rPr>
            <w:rStyle w:val="Hyperlink"/>
            <w:noProof/>
          </w:rPr>
          <w:t>Estimating the gross graduate premium and gross Exchequer benefit</w:t>
        </w:r>
        <w:r w:rsidR="00684C9F">
          <w:rPr>
            <w:noProof/>
            <w:webHidden/>
          </w:rPr>
          <w:tab/>
        </w:r>
        <w:r w:rsidR="00684C9F">
          <w:rPr>
            <w:noProof/>
            <w:webHidden/>
          </w:rPr>
          <w:fldChar w:fldCharType="begin"/>
        </w:r>
        <w:r w:rsidR="00684C9F">
          <w:rPr>
            <w:noProof/>
            <w:webHidden/>
          </w:rPr>
          <w:instrText xml:space="preserve"> PAGEREF _Toc168652225 \h </w:instrText>
        </w:r>
        <w:r w:rsidR="00684C9F">
          <w:rPr>
            <w:noProof/>
            <w:webHidden/>
          </w:rPr>
        </w:r>
        <w:r w:rsidR="00684C9F">
          <w:rPr>
            <w:noProof/>
            <w:webHidden/>
          </w:rPr>
          <w:fldChar w:fldCharType="separate"/>
        </w:r>
        <w:r w:rsidR="00E33157">
          <w:rPr>
            <w:noProof/>
            <w:webHidden/>
          </w:rPr>
          <w:t>81</w:t>
        </w:r>
        <w:r w:rsidR="00684C9F">
          <w:rPr>
            <w:noProof/>
            <w:webHidden/>
          </w:rPr>
          <w:fldChar w:fldCharType="end"/>
        </w:r>
      </w:hyperlink>
    </w:p>
    <w:p w14:paraId="24640866" w14:textId="2235F02B" w:rsidR="005C1288" w:rsidRPr="0078056B" w:rsidRDefault="000D319B" w:rsidP="00BD0D2D">
      <w:r w:rsidRPr="0078056B">
        <w:fldChar w:fldCharType="end"/>
      </w:r>
    </w:p>
    <w:p w14:paraId="2CA2FBAF" w14:textId="77777777" w:rsidR="005C1288" w:rsidRPr="0078056B" w:rsidRDefault="005C1288" w:rsidP="00BD0D2D">
      <w:pPr>
        <w:pStyle w:val="Heading3NoNumb"/>
      </w:pPr>
      <w:r w:rsidRPr="0078056B">
        <w:t>Boxes</w:t>
      </w:r>
    </w:p>
    <w:p w14:paraId="3EA952C3" w14:textId="103B158C" w:rsidR="00684C9F" w:rsidRDefault="000D319B">
      <w:pPr>
        <w:pStyle w:val="TOC8"/>
        <w:rPr>
          <w:rFonts w:asciiTheme="minorHAnsi" w:eastAsiaTheme="minorEastAsia" w:hAnsiTheme="minorHAnsi"/>
          <w:noProof/>
          <w:kern w:val="2"/>
          <w:sz w:val="24"/>
          <w:szCs w:val="24"/>
          <w:lang w:eastAsia="en-GB"/>
          <w14:ligatures w14:val="standardContextual"/>
        </w:rPr>
      </w:pPr>
      <w:r w:rsidRPr="0078056B">
        <w:fldChar w:fldCharType="begin"/>
      </w:r>
      <w:r w:rsidR="005C1288" w:rsidRPr="0078056B">
        <w:instrText xml:space="preserve">TOC \h \z \t "Box Title, </w:instrText>
      </w:r>
      <w:r w:rsidR="000E1A46" w:rsidRPr="0078056B">
        <w:instrText>8</w:instrText>
      </w:r>
      <w:r w:rsidR="005C1288" w:rsidRPr="0078056B">
        <w:instrText>"</w:instrText>
      </w:r>
      <w:r w:rsidRPr="0078056B">
        <w:fldChar w:fldCharType="separate"/>
      </w:r>
      <w:hyperlink w:anchor="_Toc168652226" w:history="1">
        <w:r w:rsidR="00684C9F" w:rsidRPr="004E51BD">
          <w:rPr>
            <w:rStyle w:val="Hyperlink"/>
            <w:noProof/>
          </w:rPr>
          <w:t>Box 1</w:t>
        </w:r>
        <w:r w:rsidR="00684C9F">
          <w:rPr>
            <w:rFonts w:asciiTheme="minorHAnsi" w:eastAsiaTheme="minorEastAsia" w:hAnsiTheme="minorHAnsi"/>
            <w:noProof/>
            <w:kern w:val="2"/>
            <w:sz w:val="24"/>
            <w:szCs w:val="24"/>
            <w:lang w:eastAsia="en-GB"/>
            <w14:ligatures w14:val="standardContextual"/>
          </w:rPr>
          <w:tab/>
        </w:r>
        <w:r w:rsidR="00684C9F" w:rsidRPr="004E51BD">
          <w:rPr>
            <w:rStyle w:val="Hyperlink"/>
            <w:noProof/>
          </w:rPr>
          <w:t>The University of Birmingham’s performance in the 2021 Research Excellence Framework</w:t>
        </w:r>
        <w:r w:rsidR="00684C9F">
          <w:rPr>
            <w:noProof/>
            <w:webHidden/>
          </w:rPr>
          <w:tab/>
        </w:r>
        <w:r w:rsidR="00684C9F">
          <w:rPr>
            <w:noProof/>
            <w:webHidden/>
          </w:rPr>
          <w:fldChar w:fldCharType="begin"/>
        </w:r>
        <w:r w:rsidR="00684C9F">
          <w:rPr>
            <w:noProof/>
            <w:webHidden/>
          </w:rPr>
          <w:instrText xml:space="preserve"> PAGEREF _Toc168652226 \h </w:instrText>
        </w:r>
        <w:r w:rsidR="00684C9F">
          <w:rPr>
            <w:noProof/>
            <w:webHidden/>
          </w:rPr>
        </w:r>
        <w:r w:rsidR="00684C9F">
          <w:rPr>
            <w:noProof/>
            <w:webHidden/>
          </w:rPr>
          <w:fldChar w:fldCharType="separate"/>
        </w:r>
        <w:r w:rsidR="00E33157">
          <w:rPr>
            <w:noProof/>
            <w:webHidden/>
          </w:rPr>
          <w:t>9</w:t>
        </w:r>
        <w:r w:rsidR="00684C9F">
          <w:rPr>
            <w:noProof/>
            <w:webHidden/>
          </w:rPr>
          <w:fldChar w:fldCharType="end"/>
        </w:r>
      </w:hyperlink>
    </w:p>
    <w:p w14:paraId="00D8CF6C" w14:textId="7EEE9DD3"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27" w:history="1">
        <w:r w:rsidR="00684C9F" w:rsidRPr="004E51BD">
          <w:rPr>
            <w:rStyle w:val="Hyperlink"/>
            <w:noProof/>
          </w:rPr>
          <w:t>Box 2</w:t>
        </w:r>
        <w:r w:rsidR="00684C9F">
          <w:rPr>
            <w:rFonts w:asciiTheme="minorHAnsi" w:eastAsiaTheme="minorEastAsia" w:hAnsiTheme="minorHAnsi"/>
            <w:noProof/>
            <w:kern w:val="2"/>
            <w:sz w:val="24"/>
            <w:szCs w:val="24"/>
            <w:lang w:eastAsia="en-GB"/>
            <w14:ligatures w14:val="standardContextual"/>
          </w:rPr>
          <w:tab/>
        </w:r>
        <w:r w:rsidR="00684C9F" w:rsidRPr="004E51BD">
          <w:rPr>
            <w:rStyle w:val="Hyperlink"/>
            <w:noProof/>
          </w:rPr>
          <w:t>The University’s role in training public sector workers in the West Midlands</w:t>
        </w:r>
        <w:r w:rsidR="00684C9F">
          <w:rPr>
            <w:noProof/>
            <w:webHidden/>
          </w:rPr>
          <w:tab/>
        </w:r>
        <w:r w:rsidR="00684C9F">
          <w:rPr>
            <w:noProof/>
            <w:webHidden/>
          </w:rPr>
          <w:fldChar w:fldCharType="begin"/>
        </w:r>
        <w:r w:rsidR="00684C9F">
          <w:rPr>
            <w:noProof/>
            <w:webHidden/>
          </w:rPr>
          <w:instrText xml:space="preserve"> PAGEREF _Toc168652227 \h </w:instrText>
        </w:r>
        <w:r w:rsidR="00684C9F">
          <w:rPr>
            <w:noProof/>
            <w:webHidden/>
          </w:rPr>
        </w:r>
        <w:r w:rsidR="00684C9F">
          <w:rPr>
            <w:noProof/>
            <w:webHidden/>
          </w:rPr>
          <w:fldChar w:fldCharType="separate"/>
        </w:r>
        <w:r w:rsidR="00E33157">
          <w:rPr>
            <w:noProof/>
            <w:webHidden/>
          </w:rPr>
          <w:t>18</w:t>
        </w:r>
        <w:r w:rsidR="00684C9F">
          <w:rPr>
            <w:noProof/>
            <w:webHidden/>
          </w:rPr>
          <w:fldChar w:fldCharType="end"/>
        </w:r>
      </w:hyperlink>
    </w:p>
    <w:p w14:paraId="189A07C7" w14:textId="0DDA682D" w:rsidR="00684C9F" w:rsidRDefault="00000000">
      <w:pPr>
        <w:pStyle w:val="TOC8"/>
        <w:rPr>
          <w:rFonts w:asciiTheme="minorHAnsi" w:eastAsiaTheme="minorEastAsia" w:hAnsiTheme="minorHAnsi"/>
          <w:noProof/>
          <w:kern w:val="2"/>
          <w:sz w:val="24"/>
          <w:szCs w:val="24"/>
          <w:lang w:eastAsia="en-GB"/>
          <w14:ligatures w14:val="standardContextual"/>
        </w:rPr>
      </w:pPr>
      <w:hyperlink w:anchor="_Toc168652228" w:history="1">
        <w:r w:rsidR="00684C9F" w:rsidRPr="004E51BD">
          <w:rPr>
            <w:rStyle w:val="Hyperlink"/>
            <w:noProof/>
          </w:rPr>
          <w:t>Box 3</w:t>
        </w:r>
        <w:r w:rsidR="00684C9F">
          <w:rPr>
            <w:rFonts w:asciiTheme="minorHAnsi" w:eastAsiaTheme="minorEastAsia" w:hAnsiTheme="minorHAnsi"/>
            <w:noProof/>
            <w:kern w:val="2"/>
            <w:sz w:val="24"/>
            <w:szCs w:val="24"/>
            <w:lang w:eastAsia="en-GB"/>
            <w14:ligatures w14:val="standardContextual"/>
          </w:rPr>
          <w:tab/>
        </w:r>
        <w:r w:rsidR="00684C9F" w:rsidRPr="004E51BD">
          <w:rPr>
            <w:rStyle w:val="Hyperlink"/>
            <w:noProof/>
          </w:rPr>
          <w:t>The University’s role in facilitating apprenticeships</w:t>
        </w:r>
        <w:r w:rsidR="00684C9F">
          <w:rPr>
            <w:noProof/>
            <w:webHidden/>
          </w:rPr>
          <w:tab/>
        </w:r>
        <w:r w:rsidR="00684C9F">
          <w:rPr>
            <w:noProof/>
            <w:webHidden/>
          </w:rPr>
          <w:fldChar w:fldCharType="begin"/>
        </w:r>
        <w:r w:rsidR="00684C9F">
          <w:rPr>
            <w:noProof/>
            <w:webHidden/>
          </w:rPr>
          <w:instrText xml:space="preserve"> PAGEREF _Toc168652228 \h </w:instrText>
        </w:r>
        <w:r w:rsidR="00684C9F">
          <w:rPr>
            <w:noProof/>
            <w:webHidden/>
          </w:rPr>
        </w:r>
        <w:r w:rsidR="00684C9F">
          <w:rPr>
            <w:noProof/>
            <w:webHidden/>
          </w:rPr>
          <w:fldChar w:fldCharType="separate"/>
        </w:r>
        <w:r w:rsidR="00E33157">
          <w:rPr>
            <w:noProof/>
            <w:webHidden/>
          </w:rPr>
          <w:t>20</w:t>
        </w:r>
        <w:r w:rsidR="00684C9F">
          <w:rPr>
            <w:noProof/>
            <w:webHidden/>
          </w:rPr>
          <w:fldChar w:fldCharType="end"/>
        </w:r>
      </w:hyperlink>
    </w:p>
    <w:p w14:paraId="039E3F1F" w14:textId="682910D8" w:rsidR="005C1288" w:rsidRPr="0078056B" w:rsidRDefault="000D319B" w:rsidP="00BD0D2D">
      <w:r w:rsidRPr="0078056B">
        <w:fldChar w:fldCharType="end"/>
      </w:r>
    </w:p>
    <w:p w14:paraId="68E833DE" w14:textId="77777777" w:rsidR="00746B5E" w:rsidRPr="0078056B" w:rsidRDefault="005D1730" w:rsidP="00746B5E">
      <w:pPr>
        <w:spacing w:before="0" w:after="200" w:line="276" w:lineRule="auto"/>
        <w:jc w:val="left"/>
      </w:pPr>
      <w:r w:rsidRPr="0078056B">
        <w:br w:type="page"/>
      </w:r>
    </w:p>
    <w:p w14:paraId="2F1AC0EA" w14:textId="77777777" w:rsidR="00B11F3D" w:rsidRPr="0078056B" w:rsidRDefault="00E02C0A" w:rsidP="00E02C0A">
      <w:pPr>
        <w:pStyle w:val="SectionTitle"/>
        <w:framePr w:wrap="around"/>
      </w:pPr>
      <w:bookmarkStart w:id="421" w:name="_Toc168652149"/>
      <w:bookmarkStart w:id="422" w:name="bmkAnnexPart"/>
      <w:r w:rsidRPr="0078056B">
        <w:rPr>
          <w:rStyle w:val="HeaderRepeat"/>
        </w:rPr>
        <w:lastRenderedPageBreak/>
        <w:t>Annexes</w:t>
      </w:r>
      <w:bookmarkEnd w:id="421"/>
    </w:p>
    <w:p w14:paraId="797E79FB" w14:textId="0FD5D0FD" w:rsidR="00082EDD" w:rsidRPr="0078056B" w:rsidRDefault="006758D1" w:rsidP="00EB0B87">
      <w:pPr>
        <w:pStyle w:val="AnnexHeading1"/>
      </w:pPr>
      <w:bookmarkStart w:id="423" w:name="_Toc168652150"/>
      <w:r w:rsidRPr="0078056B">
        <w:rPr>
          <w:rStyle w:val="HeaderRepeat"/>
        </w:rPr>
        <w:lastRenderedPageBreak/>
        <w:t>References</w:t>
      </w:r>
      <w:bookmarkEnd w:id="422"/>
      <w:bookmarkEnd w:id="423"/>
    </w:p>
    <w:p w14:paraId="56F11906" w14:textId="77777777" w:rsidR="009C5CF1" w:rsidRPr="0078056B" w:rsidRDefault="009C5CF1" w:rsidP="009C5CF1">
      <w:pPr>
        <w:spacing w:before="120" w:after="0"/>
        <w:rPr>
          <w:rFonts w:asciiTheme="minorHAnsi" w:hAnsiTheme="minorHAnsi"/>
        </w:rPr>
      </w:pPr>
      <w:r w:rsidRPr="0078056B">
        <w:rPr>
          <w:rFonts w:asciiTheme="minorHAnsi" w:hAnsiTheme="minorHAnsi"/>
        </w:rPr>
        <w:t>Callender, C., Wilkinson, D., Gibson, A., and Perkins, C. (2011). ‘The impact of higher education for part-time students’.</w:t>
      </w:r>
    </w:p>
    <w:p w14:paraId="7A59DFA8" w14:textId="10729852" w:rsidR="009C5CF1" w:rsidRPr="0078056B" w:rsidRDefault="00000000" w:rsidP="009C5CF1">
      <w:pPr>
        <w:spacing w:before="0" w:after="120"/>
        <w:rPr>
          <w:rFonts w:asciiTheme="minorHAnsi" w:hAnsiTheme="minorHAnsi"/>
        </w:rPr>
      </w:pPr>
      <w:hyperlink r:id="rId171" w:history="1">
        <w:r w:rsidR="00203403" w:rsidRPr="0078056B">
          <w:rPr>
            <w:rStyle w:val="Hyperlink"/>
            <w:rFonts w:asciiTheme="minorHAnsi" w:hAnsiTheme="minorHAnsi"/>
          </w:rPr>
          <w:t>http://webarchive.nationalarchives.gov.uk/20s140108090250/http://www.ukces.org.uk/assets/ukces/docs/publications/evidence-report-36-impact-of-he-for-pt-students.pdf</w:t>
        </w:r>
      </w:hyperlink>
      <w:r w:rsidR="009C5CF1" w:rsidRPr="0078056B">
        <w:rPr>
          <w:rFonts w:asciiTheme="minorHAnsi" w:hAnsiTheme="minorHAnsi"/>
        </w:rPr>
        <w:t xml:space="preserve"> </w:t>
      </w:r>
    </w:p>
    <w:p w14:paraId="64E6201F" w14:textId="77777777" w:rsidR="009C5CF1" w:rsidRPr="0078056B" w:rsidRDefault="009C5CF1" w:rsidP="009C5CF1">
      <w:pPr>
        <w:spacing w:before="120" w:after="0"/>
        <w:rPr>
          <w:rFonts w:eastAsia="Calibri" w:cs="Calibri"/>
        </w:rPr>
      </w:pPr>
      <w:r w:rsidRPr="0078056B">
        <w:rPr>
          <w:rFonts w:eastAsia="Calibri" w:cs="Calibri"/>
        </w:rPr>
        <w:t>Department for Business, Innovation and Skills (2011a). ‘The returns to Higher Education Qualifications’.</w:t>
      </w:r>
    </w:p>
    <w:p w14:paraId="6B6B3B45" w14:textId="1637B460" w:rsidR="009C5CF1" w:rsidRPr="0078056B" w:rsidRDefault="00000000" w:rsidP="009C5CF1">
      <w:pPr>
        <w:spacing w:before="0" w:after="120"/>
        <w:rPr>
          <w:rFonts w:eastAsia="Calibri" w:cs="Arial"/>
          <w:color w:val="0563C1"/>
          <w:u w:val="single"/>
        </w:rPr>
      </w:pPr>
      <w:hyperlink r:id="rId172" w:history="1">
        <w:r w:rsidR="009C5CF1" w:rsidRPr="0078056B">
          <w:rPr>
            <w:rFonts w:eastAsia="Calibri" w:cs="Arial"/>
            <w:color w:val="0563C1"/>
            <w:u w:val="single"/>
          </w:rPr>
          <w:t>https://www.gov.uk/government/uploads/system/uploads/attachment_data/file/32419/11-973-returns-to-higher-education-qualifications.pdf</w:t>
        </w:r>
      </w:hyperlink>
    </w:p>
    <w:p w14:paraId="576E3D03" w14:textId="77777777" w:rsidR="003B0877" w:rsidRPr="0078056B" w:rsidRDefault="003B0877" w:rsidP="003B0877">
      <w:pPr>
        <w:spacing w:before="120" w:after="0"/>
        <w:rPr>
          <w:rFonts w:asciiTheme="minorHAnsi" w:hAnsiTheme="minorHAnsi"/>
        </w:rPr>
      </w:pPr>
      <w:r w:rsidRPr="0078056B">
        <w:rPr>
          <w:rFonts w:asciiTheme="minorHAnsi" w:hAnsiTheme="minorHAnsi"/>
        </w:rPr>
        <w:t>Department for Business, Innovation and Skills (2011b). ‘Estimating the value to the United Kingdom of Education Exports’.</w:t>
      </w:r>
    </w:p>
    <w:p w14:paraId="3B277661" w14:textId="59DDBD73" w:rsidR="003B0877" w:rsidRPr="0078056B" w:rsidRDefault="00000000" w:rsidP="003B0877">
      <w:pPr>
        <w:spacing w:before="0" w:after="120"/>
      </w:pPr>
      <w:hyperlink r:id="rId173" w:history="1">
        <w:r w:rsidR="003B0877" w:rsidRPr="0078056B">
          <w:rPr>
            <w:rStyle w:val="Hyperlink"/>
            <w:rFonts w:asciiTheme="minorHAnsi" w:hAnsiTheme="minorHAnsi"/>
          </w:rPr>
          <w:t>http://www.bis.gov.uk/assets/biscore/higher-education/docs/e/11-980-estimating-value-of-education-exports.pdf</w:t>
        </w:r>
      </w:hyperlink>
    </w:p>
    <w:p w14:paraId="22195616" w14:textId="648C7F57" w:rsidR="003B0877" w:rsidRPr="0078056B" w:rsidRDefault="003B0877" w:rsidP="00C00A5F">
      <w:pPr>
        <w:spacing w:before="0" w:after="120"/>
        <w:jc w:val="left"/>
        <w:rPr>
          <w:rFonts w:cs="Calibri"/>
          <w:color w:val="000000"/>
        </w:rPr>
      </w:pPr>
      <w:r w:rsidRPr="0078056B">
        <w:rPr>
          <w:rFonts w:cs="Calibri"/>
          <w:color w:val="000000"/>
        </w:rPr>
        <w:t xml:space="preserve">Department for Business, Innovation and Skills (2014). ‘Insights from International Benchmarking of the UK Science and Innovation System’. </w:t>
      </w:r>
      <w:r w:rsidRPr="0078056B">
        <w:rPr>
          <w:rStyle w:val="Hyperlink"/>
        </w:rPr>
        <w:t>https://assets.publishing.service.gov.uk/government/uploads/system/uploads/attachment_data/file/277090/bis-14-544-insights-from-international-benchmarking-of-the-UK-science-and-innovation-system-bis-analysis-paper-03.pdf</w:t>
      </w:r>
      <w:r w:rsidRPr="0078056B">
        <w:rPr>
          <w:rFonts w:cs="Calibri"/>
          <w:color w:val="0000FF"/>
        </w:rPr>
        <w:t xml:space="preserve"> </w:t>
      </w:r>
    </w:p>
    <w:p w14:paraId="41085A8A" w14:textId="32BB861B" w:rsidR="003B0877" w:rsidRPr="0078056B" w:rsidRDefault="003B0877" w:rsidP="00C00A5F">
      <w:pPr>
        <w:autoSpaceDE w:val="0"/>
        <w:autoSpaceDN w:val="0"/>
        <w:adjustRightInd w:val="0"/>
        <w:spacing w:before="0" w:after="120"/>
        <w:jc w:val="left"/>
        <w:rPr>
          <w:rFonts w:cs="Calibri"/>
          <w:color w:val="000000"/>
        </w:rPr>
      </w:pPr>
      <w:r w:rsidRPr="0078056B">
        <w:rPr>
          <w:rFonts w:cs="Calibri"/>
          <w:color w:val="000000"/>
        </w:rPr>
        <w:t xml:space="preserve">Department for Business, Innovation and Skills (2014). ‘Rates of Return to Investment in Science and Innovation’. </w:t>
      </w:r>
      <w:hyperlink r:id="rId174" w:history="1">
        <w:r w:rsidRPr="0078056B">
          <w:rPr>
            <w:rStyle w:val="Hyperlink"/>
          </w:rPr>
          <w:t>https://assets.publishing.service.gov.uk/government/uploads/system/uploads/attachment_data/file/333006/bis-14-990-rates-of-return-to-investment-in-science-and-innovation-revised-final-report.pdf</w:t>
        </w:r>
      </w:hyperlink>
      <w:r w:rsidRPr="0078056B">
        <w:rPr>
          <w:rStyle w:val="Hyperlink"/>
        </w:rPr>
        <w:t xml:space="preserve"> </w:t>
      </w:r>
      <w:r w:rsidRPr="0078056B">
        <w:rPr>
          <w:rFonts w:cs="Calibri"/>
          <w:color w:val="0000FF"/>
        </w:rPr>
        <w:t xml:space="preserve"> </w:t>
      </w:r>
    </w:p>
    <w:p w14:paraId="4F08B29F" w14:textId="3290E311" w:rsidR="003B0877" w:rsidRPr="0078056B" w:rsidRDefault="003B0877" w:rsidP="00FA351E">
      <w:pPr>
        <w:spacing w:before="0" w:after="120"/>
        <w:jc w:val="left"/>
        <w:rPr>
          <w:sz w:val="16"/>
          <w:szCs w:val="16"/>
        </w:rPr>
      </w:pPr>
      <w:r w:rsidRPr="0078056B">
        <w:t xml:space="preserve">Department for Education (2022b). ‘Eligibility rules for home fee status and student finance from the 2021/22 academic year following the UK’s exit from the EU’. </w:t>
      </w:r>
      <w:hyperlink r:id="rId175" w:history="1">
        <w:r w:rsidRPr="0078056B">
          <w:rPr>
            <w:rStyle w:val="Hyperlink"/>
          </w:rPr>
          <w:t>https://assets.publishing.service.gov.uk/government/uploads/system/uploads/attachment_data/file/1123697/Eligibility_rules_for_home_fee_status_and_student_finance_from_the_2021_to_2022_academic%20_year.pdf</w:t>
        </w:r>
      </w:hyperlink>
    </w:p>
    <w:p w14:paraId="0BCDC97F" w14:textId="70F14018" w:rsidR="009C5CF1" w:rsidRPr="0078056B" w:rsidRDefault="009C5CF1" w:rsidP="009C5CF1">
      <w:pPr>
        <w:spacing w:before="120" w:after="0"/>
        <w:rPr>
          <w:rFonts w:eastAsia="Calibri" w:cs="Calibri"/>
        </w:rPr>
      </w:pPr>
      <w:r w:rsidRPr="0078056B">
        <w:rPr>
          <w:rFonts w:eastAsia="Calibri" w:cs="Calibri"/>
        </w:rPr>
        <w:t>Department for Education (202</w:t>
      </w:r>
      <w:r w:rsidR="00546241" w:rsidRPr="0078056B">
        <w:rPr>
          <w:rFonts w:eastAsia="Calibri" w:cs="Calibri"/>
        </w:rPr>
        <w:t>3</w:t>
      </w:r>
      <w:r w:rsidRPr="0078056B">
        <w:rPr>
          <w:rFonts w:eastAsia="Calibri" w:cs="Calibri"/>
        </w:rPr>
        <w:t>). ‘Student loan forecasts for England’.</w:t>
      </w:r>
    </w:p>
    <w:p w14:paraId="70B7B153" w14:textId="3D7F5E07" w:rsidR="009C5CF1" w:rsidRPr="0078056B" w:rsidRDefault="00000000" w:rsidP="009C5CF1">
      <w:pPr>
        <w:spacing w:before="0" w:after="120"/>
        <w:rPr>
          <w:rFonts w:eastAsia="Calibri" w:cs="Arial"/>
          <w:color w:val="0563C1"/>
          <w:u w:val="single"/>
        </w:rPr>
      </w:pPr>
      <w:hyperlink r:id="rId176" w:history="1">
        <w:r w:rsidR="009C5CF1" w:rsidRPr="0078056B">
          <w:rPr>
            <w:rStyle w:val="Hyperlink"/>
            <w:rFonts w:eastAsia="Calibri" w:cs="Arial"/>
          </w:rPr>
          <w:t>https://explore-education-statistics.service.gov.uk/find-statistics/student-loan-forecasts-for-england</w:t>
        </w:r>
      </w:hyperlink>
    </w:p>
    <w:p w14:paraId="3F36BFBB" w14:textId="77777777" w:rsidR="003B0877" w:rsidRPr="0078056B" w:rsidRDefault="003B0877" w:rsidP="003B0877">
      <w:pPr>
        <w:spacing w:before="120" w:after="0"/>
      </w:pPr>
      <w:r w:rsidRPr="0078056B">
        <w:t>Destination Coventry &amp; West Midlands Growth Company (2023). ‘The economic impact of the visitor economy in Coventry 2022’.</w:t>
      </w:r>
    </w:p>
    <w:p w14:paraId="1579CACF" w14:textId="7187EAB8" w:rsidR="003B0877" w:rsidRPr="0078056B" w:rsidRDefault="00000000" w:rsidP="003B0877">
      <w:pPr>
        <w:spacing w:before="0" w:after="120"/>
        <w:rPr>
          <w:rStyle w:val="Hyperlink"/>
        </w:rPr>
      </w:pPr>
      <w:hyperlink r:id="rId177" w:history="1">
        <w:r w:rsidR="003B0877" w:rsidRPr="0078056B">
          <w:rPr>
            <w:rStyle w:val="Hyperlink"/>
          </w:rPr>
          <w:t>https://coventry21evaluation.info/wp-content/uploads/2023/09/Coventry-STEAM-Web-Presentation-2022.pdf</w:t>
        </w:r>
      </w:hyperlink>
    </w:p>
    <w:p w14:paraId="5569DCB3" w14:textId="11027481" w:rsidR="003B0877" w:rsidRPr="0078056B" w:rsidRDefault="003B0877" w:rsidP="00FA351E">
      <w:pPr>
        <w:spacing w:before="120" w:after="120"/>
        <w:rPr>
          <w:rStyle w:val="Hyperlink"/>
          <w:rFonts w:cs="Calibri"/>
        </w:rPr>
      </w:pPr>
      <w:r w:rsidRPr="0078056B">
        <w:rPr>
          <w:rFonts w:cs="Calibri"/>
          <w:color w:val="000000"/>
        </w:rPr>
        <w:t xml:space="preserve">Elnasri, A., &amp; Fox, K. J. (2017). ‘The contribution of research and innovation to productivity.’ Journal of productivity analysis, 47, 291-308. </w:t>
      </w:r>
      <w:hyperlink r:id="rId178" w:history="1">
        <w:r w:rsidR="001361A2" w:rsidRPr="0078056B">
          <w:rPr>
            <w:rStyle w:val="Hyperlink"/>
            <w:rFonts w:cs="Calibri"/>
          </w:rPr>
          <w:t>https://www.researchgate.net/profile/Kevin-J-Fox/publication/316568973_The_contribution_of_research_and_innovation_to_productivity/links/5a78246945851541ce5aa7d3/The-contribution-of-research-and-innovation-to-productivity.pdf</w:t>
        </w:r>
      </w:hyperlink>
    </w:p>
    <w:p w14:paraId="358679B9" w14:textId="6F919F59" w:rsidR="003B0877" w:rsidRPr="0078056B" w:rsidRDefault="003B0877" w:rsidP="001361A2">
      <w:pPr>
        <w:spacing w:before="120" w:after="120"/>
        <w:contextualSpacing/>
        <w:jc w:val="left"/>
        <w:rPr>
          <w:rFonts w:cs="Calibri"/>
          <w:color w:val="000000"/>
        </w:rPr>
      </w:pPr>
      <w:r w:rsidRPr="0078056B">
        <w:rPr>
          <w:rFonts w:cs="Calibri"/>
          <w:color w:val="000000"/>
        </w:rPr>
        <w:t xml:space="preserve">Haskel, J., &amp; Wallis, G. (2010). 'Public support for innovation, intangible investment and productivity growth in the UK market sector'. </w:t>
      </w:r>
      <w:hyperlink r:id="rId179" w:history="1">
        <w:r w:rsidRPr="0078056B">
          <w:rPr>
            <w:rStyle w:val="Hyperlink"/>
            <w:rFonts w:cs="Calibri"/>
          </w:rPr>
          <w:t>https://docs.iza.org/dp4772.pdf</w:t>
        </w:r>
      </w:hyperlink>
      <w:r w:rsidRPr="0078056B">
        <w:rPr>
          <w:rFonts w:cs="Calibri"/>
          <w:color w:val="000000"/>
        </w:rPr>
        <w:t xml:space="preserve"> </w:t>
      </w:r>
    </w:p>
    <w:p w14:paraId="6AAC7806" w14:textId="19D906F7" w:rsidR="003B0877" w:rsidRPr="0078056B" w:rsidRDefault="003B0877" w:rsidP="003B0877">
      <w:pPr>
        <w:spacing w:before="0" w:after="0"/>
        <w:contextualSpacing/>
        <w:jc w:val="left"/>
        <w:rPr>
          <w:sz w:val="16"/>
          <w:szCs w:val="16"/>
        </w:rPr>
      </w:pPr>
      <w:r w:rsidRPr="0078056B">
        <w:rPr>
          <w:rFonts w:cs="Calibri"/>
          <w:color w:val="000000"/>
        </w:rPr>
        <w:t xml:space="preserve">Haskel, J., Hughes, A., and Bascavusoglu-Moreau, E. (2014). 'The economic significance of the UK science base: a report for the Campaign for Science and Engineering'. </w:t>
      </w:r>
      <w:hyperlink r:id="rId180" w:history="1">
        <w:r w:rsidRPr="0078056B">
          <w:rPr>
            <w:rStyle w:val="Hyperlink"/>
            <w:rFonts w:cs="Calibri"/>
          </w:rPr>
          <w:t>https://spiral.imperial.ac.uk/bitstream/10044/1/13751/2/Haskel%202014-04.pdf</w:t>
        </w:r>
      </w:hyperlink>
      <w:r w:rsidRPr="0078056B">
        <w:rPr>
          <w:rFonts w:cs="Calibri"/>
          <w:color w:val="000000"/>
        </w:rPr>
        <w:t xml:space="preserve"> </w:t>
      </w:r>
    </w:p>
    <w:p w14:paraId="3D8FDA2E" w14:textId="77777777" w:rsidR="003B0877" w:rsidRPr="0078056B" w:rsidRDefault="003B0877" w:rsidP="003B0877">
      <w:pPr>
        <w:spacing w:before="120" w:after="0"/>
      </w:pPr>
      <w:r w:rsidRPr="0078056B">
        <w:lastRenderedPageBreak/>
        <w:t>Higher Education Statistics Agency (2011). ‘Students in Higher Education 2009/10’.</w:t>
      </w:r>
    </w:p>
    <w:p w14:paraId="52B1E709" w14:textId="5C361305" w:rsidR="003B0877" w:rsidRPr="0078056B" w:rsidRDefault="00000000" w:rsidP="003B0877">
      <w:pPr>
        <w:spacing w:before="0" w:after="120"/>
      </w:pPr>
      <w:hyperlink r:id="rId181" w:history="1">
        <w:r w:rsidR="003B0877" w:rsidRPr="0078056B">
          <w:rPr>
            <w:rStyle w:val="Hyperlink"/>
          </w:rPr>
          <w:t>https://www.hesa.ac.uk/data-and-analysis/publications/students-2009-10</w:t>
        </w:r>
      </w:hyperlink>
    </w:p>
    <w:p w14:paraId="0DF91352" w14:textId="77777777" w:rsidR="003B0877" w:rsidRPr="0078056B" w:rsidRDefault="003B0877" w:rsidP="003B0877">
      <w:pPr>
        <w:spacing w:before="120" w:after="0"/>
      </w:pPr>
      <w:r w:rsidRPr="0078056B">
        <w:t>Higher Education Statistics Agency (2012). ‘Students in Higher Education 2010/11’.</w:t>
      </w:r>
    </w:p>
    <w:p w14:paraId="2766FC78" w14:textId="74A44F0D" w:rsidR="003B0877" w:rsidRPr="0078056B" w:rsidRDefault="00000000" w:rsidP="003B0877">
      <w:pPr>
        <w:spacing w:before="0" w:after="120"/>
      </w:pPr>
      <w:hyperlink r:id="rId182" w:history="1">
        <w:r w:rsidR="003B0877" w:rsidRPr="0078056B">
          <w:rPr>
            <w:rStyle w:val="Hyperlink"/>
          </w:rPr>
          <w:t>https://www.hesa.ac.uk/data-and-analysis/publications/students-2010-11</w:t>
        </w:r>
      </w:hyperlink>
      <w:r w:rsidR="003B0877" w:rsidRPr="0078056B">
        <w:t xml:space="preserve"> </w:t>
      </w:r>
    </w:p>
    <w:p w14:paraId="34F04C9B" w14:textId="77777777" w:rsidR="003B0877" w:rsidRPr="0078056B" w:rsidRDefault="003B0877" w:rsidP="003B0877">
      <w:pPr>
        <w:spacing w:before="120" w:after="0"/>
      </w:pPr>
      <w:r w:rsidRPr="0078056B">
        <w:t>Higher Education Statistics Agency (2013). ‘Students in Higher Education 2011/12’.</w:t>
      </w:r>
    </w:p>
    <w:p w14:paraId="01B794F4" w14:textId="7BD0E790" w:rsidR="003B0877" w:rsidRPr="0078056B" w:rsidRDefault="00000000" w:rsidP="003B0877">
      <w:pPr>
        <w:spacing w:before="0" w:after="120"/>
      </w:pPr>
      <w:hyperlink r:id="rId183" w:history="1">
        <w:r w:rsidR="003B0877" w:rsidRPr="0078056B">
          <w:rPr>
            <w:rStyle w:val="Hyperlink"/>
          </w:rPr>
          <w:t>https://www.hesa.ac.uk/data-and-analysis/publications/students-2011-12</w:t>
        </w:r>
      </w:hyperlink>
      <w:r w:rsidR="003B0877" w:rsidRPr="0078056B">
        <w:t xml:space="preserve"> </w:t>
      </w:r>
    </w:p>
    <w:p w14:paraId="7ADA026B" w14:textId="77777777" w:rsidR="003B0877" w:rsidRPr="0078056B" w:rsidRDefault="003B0877" w:rsidP="003B0877">
      <w:pPr>
        <w:spacing w:before="120" w:after="0"/>
      </w:pPr>
      <w:r w:rsidRPr="0078056B">
        <w:t>Higher Education Statistics Agency (2014). ‘Students in Higher Education 2012/13’.</w:t>
      </w:r>
    </w:p>
    <w:p w14:paraId="189BC267" w14:textId="6294E425" w:rsidR="003B0877" w:rsidRPr="0078056B" w:rsidRDefault="00000000" w:rsidP="003B0877">
      <w:pPr>
        <w:spacing w:before="0" w:after="120"/>
      </w:pPr>
      <w:hyperlink r:id="rId184" w:history="1">
        <w:r w:rsidR="003B0877" w:rsidRPr="0078056B">
          <w:rPr>
            <w:rStyle w:val="Hyperlink"/>
          </w:rPr>
          <w:t>https://www.hesa.ac.uk/data-and-analysis/publications/students-2012-13</w:t>
        </w:r>
      </w:hyperlink>
      <w:r w:rsidR="003B0877" w:rsidRPr="0078056B">
        <w:t xml:space="preserve"> </w:t>
      </w:r>
    </w:p>
    <w:p w14:paraId="2A7DB9D1" w14:textId="77777777" w:rsidR="003B0877" w:rsidRPr="0078056B" w:rsidRDefault="003B0877" w:rsidP="003B0877">
      <w:pPr>
        <w:spacing w:before="120" w:after="0"/>
      </w:pPr>
      <w:r w:rsidRPr="0078056B">
        <w:t>Higher Education Statistics Agency (2015). ‘Students in Higher Education 2013/14’.</w:t>
      </w:r>
    </w:p>
    <w:p w14:paraId="344E5CF2" w14:textId="1DB9D168" w:rsidR="003B0877" w:rsidRPr="0078056B" w:rsidRDefault="00000000" w:rsidP="003B0877">
      <w:pPr>
        <w:spacing w:before="0" w:after="120"/>
      </w:pPr>
      <w:hyperlink r:id="rId185" w:history="1">
        <w:r w:rsidR="003B0877" w:rsidRPr="0078056B">
          <w:rPr>
            <w:rStyle w:val="Hyperlink"/>
          </w:rPr>
          <w:t>https://www.hesa.ac.uk/data-and-analysis/publications/students-2013-14</w:t>
        </w:r>
      </w:hyperlink>
      <w:r w:rsidR="003B0877" w:rsidRPr="0078056B">
        <w:t xml:space="preserve"> </w:t>
      </w:r>
    </w:p>
    <w:p w14:paraId="39185049" w14:textId="2C1C276A" w:rsidR="00886BA7" w:rsidRPr="0078056B" w:rsidRDefault="00886BA7" w:rsidP="00886BA7">
      <w:pPr>
        <w:spacing w:before="120" w:after="0"/>
      </w:pPr>
      <w:r w:rsidRPr="0078056B">
        <w:rPr>
          <w:rFonts w:asciiTheme="minorHAnsi" w:hAnsiTheme="minorHAnsi" w:cstheme="minorHAnsi"/>
        </w:rPr>
        <w:t>Higher Education Statistics Agency (</w:t>
      </w:r>
      <w:r w:rsidR="00E87F38" w:rsidRPr="0078056B">
        <w:rPr>
          <w:rFonts w:asciiTheme="minorHAnsi" w:hAnsiTheme="minorHAnsi" w:cstheme="minorHAnsi"/>
        </w:rPr>
        <w:t>2023a</w:t>
      </w:r>
      <w:r w:rsidRPr="0078056B">
        <w:rPr>
          <w:rFonts w:asciiTheme="minorHAnsi" w:hAnsiTheme="minorHAnsi" w:cstheme="minorHAnsi"/>
        </w:rPr>
        <w:t xml:space="preserve">). ‘Expenditure – breakdown by HE provider 2014/15 to 2021/22’. </w:t>
      </w:r>
    </w:p>
    <w:p w14:paraId="192C6FFF" w14:textId="1BBBBB48" w:rsidR="00886BA7" w:rsidRPr="0078056B" w:rsidRDefault="00000000" w:rsidP="00886BA7">
      <w:pPr>
        <w:spacing w:before="0" w:after="120"/>
        <w:rPr>
          <w:rStyle w:val="Hyperlink"/>
        </w:rPr>
      </w:pPr>
      <w:hyperlink r:id="rId186" w:history="1">
        <w:r w:rsidR="00886BA7" w:rsidRPr="0078056B">
          <w:rPr>
            <w:rStyle w:val="Hyperlink"/>
          </w:rPr>
          <w:t>https://www.hesa.ac.uk/data-and-analysis/finances/table-8</w:t>
        </w:r>
      </w:hyperlink>
    </w:p>
    <w:p w14:paraId="74A1BD28" w14:textId="42A13432" w:rsidR="00444B08" w:rsidRPr="0078056B" w:rsidRDefault="00444B08" w:rsidP="00444B08">
      <w:pPr>
        <w:spacing w:before="120" w:after="0"/>
        <w:rPr>
          <w:rStyle w:val="Hyperlink"/>
          <w:color w:val="auto"/>
          <w:u w:val="none"/>
        </w:rPr>
      </w:pPr>
      <w:r w:rsidRPr="0078056B">
        <w:t>Higher Education Statistics Agency (</w:t>
      </w:r>
      <w:r w:rsidR="00E87F38" w:rsidRPr="0078056B">
        <w:t>2023b</w:t>
      </w:r>
      <w:r w:rsidRPr="0078056B">
        <w:t xml:space="preserve">). ‘Funding body </w:t>
      </w:r>
      <w:r w:rsidRPr="0078056B">
        <w:rPr>
          <w:rFonts w:asciiTheme="minorHAnsi" w:hAnsiTheme="minorHAnsi" w:cstheme="minorHAnsi"/>
        </w:rPr>
        <w:t>grants</w:t>
      </w:r>
      <w:r w:rsidRPr="0078056B">
        <w:t xml:space="preserve"> by provider 2015/16 to 2021/22’.</w:t>
      </w:r>
    </w:p>
    <w:p w14:paraId="3983F2EB" w14:textId="55933ECC" w:rsidR="00444B08" w:rsidRPr="0078056B" w:rsidRDefault="00000000" w:rsidP="00886BA7">
      <w:pPr>
        <w:spacing w:before="0" w:after="120"/>
        <w:rPr>
          <w:rFonts w:asciiTheme="minorHAnsi" w:eastAsia="Times New Roman" w:hAnsiTheme="minorHAnsi" w:cstheme="minorHAnsi"/>
          <w:color w:val="0563C1" w:themeColor="hyperlink"/>
          <w:u w:val="single"/>
          <w:lang w:eastAsia="en-GB"/>
        </w:rPr>
      </w:pPr>
      <w:hyperlink r:id="rId187" w:history="1">
        <w:r w:rsidR="00444B08" w:rsidRPr="0078056B">
          <w:rPr>
            <w:rStyle w:val="Hyperlink"/>
            <w:rFonts w:asciiTheme="minorHAnsi" w:eastAsia="Times New Roman" w:hAnsiTheme="minorHAnsi" w:cstheme="minorHAnsi"/>
            <w:lang w:eastAsia="en-GB"/>
          </w:rPr>
          <w:t>https://www.hesa.ac.uk/data-and-analysis/finances/table-7c</w:t>
        </w:r>
      </w:hyperlink>
    </w:p>
    <w:p w14:paraId="7A5D7AEA" w14:textId="12E48CD5" w:rsidR="00444B08" w:rsidRPr="0078056B" w:rsidRDefault="00444B08" w:rsidP="00E87F38">
      <w:pPr>
        <w:spacing w:before="120" w:after="120"/>
        <w:jc w:val="left"/>
        <w:rPr>
          <w:rFonts w:cs="Calibri"/>
          <w:color w:val="000000"/>
        </w:rPr>
      </w:pPr>
      <w:r w:rsidRPr="0078056B">
        <w:rPr>
          <w:rFonts w:cs="Calibri"/>
          <w:color w:val="000000"/>
        </w:rPr>
        <w:t>Higher Education Statistics Agency (</w:t>
      </w:r>
      <w:r w:rsidR="00E87F38" w:rsidRPr="0078056B">
        <w:rPr>
          <w:rFonts w:cs="Calibri"/>
          <w:color w:val="000000"/>
        </w:rPr>
        <w:t>2023c</w:t>
      </w:r>
      <w:r w:rsidRPr="0078056B">
        <w:rPr>
          <w:rFonts w:cs="Calibri"/>
          <w:color w:val="000000"/>
        </w:rPr>
        <w:t xml:space="preserve">). ‘Higher Education Provider Data: Business and Community interaction’. </w:t>
      </w:r>
      <w:hyperlink r:id="rId188" w:history="1">
        <w:r w:rsidRPr="0078056B">
          <w:rPr>
            <w:rStyle w:val="Hyperlink"/>
            <w:rFonts w:cs="Calibri"/>
          </w:rPr>
          <w:t>https://www.hesa.ac.uk/data-and-analysis/business-community</w:t>
        </w:r>
      </w:hyperlink>
      <w:r w:rsidRPr="0078056B">
        <w:rPr>
          <w:rFonts w:cs="Calibri"/>
          <w:color w:val="000000"/>
        </w:rPr>
        <w:t xml:space="preserve"> </w:t>
      </w:r>
    </w:p>
    <w:p w14:paraId="1A0BA6A1" w14:textId="1FDB6744" w:rsidR="003B0877" w:rsidRPr="0078056B" w:rsidRDefault="003B0877" w:rsidP="00FA351E">
      <w:pPr>
        <w:spacing w:before="0" w:after="120"/>
        <w:jc w:val="left"/>
        <w:rPr>
          <w:rFonts w:cs="Calibri"/>
          <w:color w:val="000000"/>
        </w:rPr>
      </w:pPr>
      <w:r w:rsidRPr="0078056B">
        <w:rPr>
          <w:rFonts w:cs="Calibri"/>
          <w:color w:val="000000"/>
        </w:rPr>
        <w:t>Higher Education Statistics Agency (</w:t>
      </w:r>
      <w:r w:rsidR="00E87F38" w:rsidRPr="0078056B">
        <w:rPr>
          <w:rFonts w:cs="Calibri"/>
          <w:color w:val="000000"/>
        </w:rPr>
        <w:t>2023d</w:t>
      </w:r>
      <w:r w:rsidRPr="0078056B">
        <w:rPr>
          <w:rFonts w:cs="Calibri"/>
          <w:color w:val="000000"/>
        </w:rPr>
        <w:t xml:space="preserve">). ‘Higher Education Provider Data: Finance’. </w:t>
      </w:r>
      <w:hyperlink r:id="rId189" w:history="1">
        <w:r w:rsidRPr="0078056B">
          <w:rPr>
            <w:rStyle w:val="Hyperlink"/>
            <w:rFonts w:cs="Calibri"/>
          </w:rPr>
          <w:t>https://www.hesa.ac.uk/data-and-analysis/finances</w:t>
        </w:r>
      </w:hyperlink>
      <w:r w:rsidRPr="0078056B">
        <w:rPr>
          <w:rFonts w:cs="Calibri"/>
          <w:color w:val="000000"/>
        </w:rPr>
        <w:t xml:space="preserve"> </w:t>
      </w:r>
    </w:p>
    <w:p w14:paraId="6131E06C" w14:textId="31C48FC7" w:rsidR="00444B08" w:rsidRPr="0078056B" w:rsidRDefault="00444B08" w:rsidP="00444B08">
      <w:pPr>
        <w:spacing w:before="0" w:after="120"/>
        <w:jc w:val="left"/>
      </w:pPr>
      <w:bookmarkStart w:id="424" w:name="_Hlk163039488"/>
      <w:r w:rsidRPr="0078056B">
        <w:t>Higher Education Statistics Agency (</w:t>
      </w:r>
      <w:r w:rsidR="00E87F38" w:rsidRPr="0078056B">
        <w:t>2023e</w:t>
      </w:r>
      <w:r w:rsidRPr="0078056B">
        <w:t xml:space="preserve">). ‘Student 2021/22 – Domicile’. </w:t>
      </w:r>
      <w:hyperlink r:id="rId190" w:history="1">
        <w:r w:rsidRPr="0078056B">
          <w:rPr>
            <w:rStyle w:val="Hyperlink"/>
          </w:rPr>
          <w:t>https://www.hesa.ac.uk/collection/c21051/a/domicile</w:t>
        </w:r>
      </w:hyperlink>
    </w:p>
    <w:p w14:paraId="070FDBCA" w14:textId="09424BEC" w:rsidR="003B0877" w:rsidRPr="0078056B" w:rsidRDefault="003B0877" w:rsidP="001361A2">
      <w:pPr>
        <w:spacing w:before="120" w:after="0"/>
      </w:pPr>
      <w:r w:rsidRPr="0078056B">
        <w:t>Higher Education Statistics Agency (</w:t>
      </w:r>
      <w:r w:rsidR="00E87F38" w:rsidRPr="0078056B">
        <w:t>2023f</w:t>
      </w:r>
      <w:r w:rsidRPr="0078056B">
        <w:t>). ‘Students in Higher Education 2014/15 to 2021/22’.</w:t>
      </w:r>
    </w:p>
    <w:bookmarkEnd w:id="424"/>
    <w:p w14:paraId="0A20BB24" w14:textId="2F63BFA6" w:rsidR="00FA351E" w:rsidRPr="0078056B" w:rsidRDefault="005264AA" w:rsidP="00FA351E">
      <w:pPr>
        <w:spacing w:before="0" w:after="120"/>
      </w:pPr>
      <w:r w:rsidRPr="0078056B">
        <w:fldChar w:fldCharType="begin"/>
      </w:r>
      <w:r w:rsidRPr="0078056B">
        <w:instrText>HYPERLINK "https://www.hesa.ac.uk/data-and-analysis/students/table-1"</w:instrText>
      </w:r>
      <w:r w:rsidRPr="0078056B">
        <w:fldChar w:fldCharType="separate"/>
      </w:r>
      <w:r w:rsidR="003B0877" w:rsidRPr="0078056B">
        <w:rPr>
          <w:rStyle w:val="Hyperlink"/>
        </w:rPr>
        <w:t>https://www.hesa.ac.uk/data-and-analysis/students/table-1</w:t>
      </w:r>
      <w:r w:rsidRPr="0078056B">
        <w:rPr>
          <w:rStyle w:val="Hyperlink"/>
        </w:rPr>
        <w:fldChar w:fldCharType="end"/>
      </w:r>
      <w:r w:rsidR="003B0877" w:rsidRPr="0078056B">
        <w:t xml:space="preserve"> </w:t>
      </w:r>
    </w:p>
    <w:p w14:paraId="6B8C2E90" w14:textId="2996FAF1" w:rsidR="00444B08" w:rsidRPr="0078056B" w:rsidRDefault="00444B08" w:rsidP="00444B08">
      <w:pPr>
        <w:spacing w:before="120" w:after="0"/>
      </w:pPr>
      <w:r w:rsidRPr="0078056B">
        <w:rPr>
          <w:rFonts w:asciiTheme="minorHAnsi" w:hAnsiTheme="minorHAnsi" w:cstheme="minorHAnsi"/>
        </w:rPr>
        <w:t xml:space="preserve">Higher Education Statistics Agency </w:t>
      </w:r>
      <w:r w:rsidRPr="0078056B">
        <w:t>(</w:t>
      </w:r>
      <w:r w:rsidR="00E87F38" w:rsidRPr="0078056B">
        <w:t>2023g</w:t>
      </w:r>
      <w:r w:rsidRPr="0078056B">
        <w:t>). ‘Table 1 - Buildings and spaces’.</w:t>
      </w:r>
    </w:p>
    <w:p w14:paraId="275952DD" w14:textId="6897CA10" w:rsidR="00444B08" w:rsidRPr="0078056B" w:rsidRDefault="00000000" w:rsidP="00444B08">
      <w:pPr>
        <w:spacing w:before="0" w:after="120"/>
      </w:pPr>
      <w:hyperlink r:id="rId191" w:history="1">
        <w:r w:rsidR="00444B08" w:rsidRPr="0078056B">
          <w:rPr>
            <w:rStyle w:val="Hyperlink"/>
          </w:rPr>
          <w:t>https://www.hesa.ac.uk/data-and-analysis/estates/table-1</w:t>
        </w:r>
      </w:hyperlink>
      <w:r w:rsidR="00444B08" w:rsidRPr="0078056B">
        <w:t xml:space="preserve"> </w:t>
      </w:r>
    </w:p>
    <w:p w14:paraId="1C30367F" w14:textId="24FEE2DB" w:rsidR="00444B08" w:rsidRPr="0078056B" w:rsidRDefault="00444B08" w:rsidP="00444B08">
      <w:pPr>
        <w:spacing w:before="120" w:after="0"/>
      </w:pPr>
      <w:r w:rsidRPr="0078056B">
        <w:rPr>
          <w:rFonts w:asciiTheme="minorHAnsi" w:hAnsiTheme="minorHAnsi" w:cstheme="minorHAnsi"/>
        </w:rPr>
        <w:t>Higher Education Statistics Agency</w:t>
      </w:r>
      <w:r w:rsidRPr="0078056B">
        <w:t xml:space="preserve"> (</w:t>
      </w:r>
      <w:r w:rsidR="00E87F38" w:rsidRPr="0078056B">
        <w:t>2023h</w:t>
      </w:r>
      <w:r w:rsidRPr="0078056B">
        <w:t>). ‘Table 3 - Emissions and waste’.</w:t>
      </w:r>
    </w:p>
    <w:p w14:paraId="461A5290" w14:textId="1D3E9CF5" w:rsidR="00444B08" w:rsidRPr="0078056B" w:rsidRDefault="00000000" w:rsidP="00444B08">
      <w:pPr>
        <w:spacing w:before="0" w:after="120"/>
        <w:rPr>
          <w:color w:val="0563C1" w:themeColor="hyperlink"/>
          <w:u w:val="single"/>
        </w:rPr>
      </w:pPr>
      <w:hyperlink r:id="rId192" w:history="1">
        <w:r w:rsidR="00444B08" w:rsidRPr="0078056B">
          <w:rPr>
            <w:rStyle w:val="Hyperlink"/>
          </w:rPr>
          <w:t>https://www.hesa.ac.uk/data-and-analysis/estates/table-3</w:t>
        </w:r>
      </w:hyperlink>
    </w:p>
    <w:p w14:paraId="303A6A60" w14:textId="57A61B83" w:rsidR="00444B08" w:rsidRPr="0078056B" w:rsidRDefault="00444B08" w:rsidP="00444B08">
      <w:pPr>
        <w:spacing w:before="120" w:after="0"/>
        <w:rPr>
          <w:rFonts w:asciiTheme="minorHAnsi" w:hAnsiTheme="minorHAnsi" w:cstheme="minorHAnsi"/>
        </w:rPr>
      </w:pPr>
      <w:r w:rsidRPr="0078056B">
        <w:rPr>
          <w:rFonts w:asciiTheme="minorHAnsi" w:hAnsiTheme="minorHAnsi" w:cstheme="minorHAnsi"/>
        </w:rPr>
        <w:t>Higher Education Statistics Agency (</w:t>
      </w:r>
      <w:r w:rsidR="00E87F38" w:rsidRPr="0078056B">
        <w:rPr>
          <w:rFonts w:asciiTheme="minorHAnsi" w:hAnsiTheme="minorHAnsi" w:cstheme="minorHAnsi"/>
        </w:rPr>
        <w:t>2023i</w:t>
      </w:r>
      <w:r w:rsidRPr="0078056B">
        <w:rPr>
          <w:rFonts w:asciiTheme="minorHAnsi" w:hAnsiTheme="minorHAnsi" w:cstheme="minorHAnsi"/>
        </w:rPr>
        <w:t>). ‘Table 5 - Social, community and cultural engagement: Designated public events by HE provider 2014/15 to 2021/22’.</w:t>
      </w:r>
    </w:p>
    <w:p w14:paraId="440AD240" w14:textId="66037444" w:rsidR="00444B08" w:rsidRPr="0078056B" w:rsidRDefault="00000000" w:rsidP="00444B08">
      <w:pPr>
        <w:spacing w:before="0" w:after="120"/>
        <w:rPr>
          <w:rFonts w:eastAsia="Times New Roman" w:cs="Calibri"/>
          <w:color w:val="0563C1" w:themeColor="hyperlink"/>
          <w:u w:val="single"/>
          <w:lang w:eastAsia="en-GB"/>
        </w:rPr>
      </w:pPr>
      <w:hyperlink r:id="rId193" w:history="1">
        <w:r w:rsidR="00444B08" w:rsidRPr="0078056B">
          <w:rPr>
            <w:rStyle w:val="Hyperlink"/>
            <w:rFonts w:eastAsia="Times New Roman" w:cs="Calibri"/>
            <w:lang w:eastAsia="en-GB"/>
          </w:rPr>
          <w:t>https://www.hesa.ac.uk/data-and-analysis/providers/business-community/table-5</w:t>
        </w:r>
      </w:hyperlink>
    </w:p>
    <w:p w14:paraId="1E866D27" w14:textId="150DD5AE" w:rsidR="003B0877" w:rsidRPr="0078056B" w:rsidRDefault="003B0877" w:rsidP="003B0877">
      <w:pPr>
        <w:spacing w:before="120" w:after="0"/>
        <w:rPr>
          <w:rFonts w:asciiTheme="minorHAnsi" w:hAnsiTheme="minorHAnsi" w:cstheme="minorHAnsi"/>
        </w:rPr>
      </w:pPr>
      <w:r w:rsidRPr="0078056B">
        <w:rPr>
          <w:rFonts w:asciiTheme="minorHAnsi" w:hAnsiTheme="minorHAnsi" w:cstheme="minorHAnsi"/>
        </w:rPr>
        <w:t>Higher Education Statistics Agency (</w:t>
      </w:r>
      <w:r w:rsidR="00E87F38" w:rsidRPr="0078056B">
        <w:rPr>
          <w:rFonts w:asciiTheme="minorHAnsi" w:hAnsiTheme="minorHAnsi" w:cstheme="minorHAnsi"/>
        </w:rPr>
        <w:t>2023j</w:t>
      </w:r>
      <w:r w:rsidRPr="0078056B">
        <w:rPr>
          <w:rFonts w:asciiTheme="minorHAnsi" w:hAnsiTheme="minorHAnsi" w:cstheme="minorHAnsi"/>
        </w:rPr>
        <w:t>). ‘Table 9 - Capital expenditure’.</w:t>
      </w:r>
    </w:p>
    <w:p w14:paraId="2B6FEC66" w14:textId="12D733D2" w:rsidR="003B0877" w:rsidRPr="0078056B" w:rsidRDefault="00000000" w:rsidP="003B0877">
      <w:pPr>
        <w:spacing w:before="0" w:after="120"/>
        <w:rPr>
          <w:rStyle w:val="Hyperlink"/>
          <w:rFonts w:eastAsia="Times New Roman" w:cs="Calibri"/>
          <w:lang w:eastAsia="en-GB"/>
        </w:rPr>
      </w:pPr>
      <w:hyperlink r:id="rId194" w:history="1">
        <w:r w:rsidR="003B0877" w:rsidRPr="0078056B">
          <w:rPr>
            <w:rStyle w:val="Hyperlink"/>
            <w:rFonts w:eastAsia="Times New Roman" w:cs="Calibri"/>
            <w:lang w:eastAsia="en-GB"/>
          </w:rPr>
          <w:t>https://www.hesa.ac.uk/data-and-analysis/finances/table-9</w:t>
        </w:r>
      </w:hyperlink>
    </w:p>
    <w:p w14:paraId="36D81D2D" w14:textId="714220E2" w:rsidR="00955C72" w:rsidRPr="0078056B" w:rsidRDefault="00955C72" w:rsidP="00955C72">
      <w:pPr>
        <w:spacing w:before="120" w:after="0"/>
      </w:pPr>
      <w:r w:rsidRPr="0078056B">
        <w:rPr>
          <w:rFonts w:asciiTheme="minorHAnsi" w:hAnsiTheme="minorHAnsi" w:cstheme="minorHAnsi"/>
        </w:rPr>
        <w:t>Higher Education Statistics Agency</w:t>
      </w:r>
      <w:r w:rsidRPr="0078056B">
        <w:t xml:space="preserve"> (</w:t>
      </w:r>
      <w:r w:rsidR="00E87F38" w:rsidRPr="0078056B">
        <w:t>2023k</w:t>
      </w:r>
      <w:r w:rsidRPr="0078056B">
        <w:t>). ‘Table 49 - HE student enrolments by HE provider and subject of study 2019/20 to 2021/22’.</w:t>
      </w:r>
    </w:p>
    <w:p w14:paraId="71AFA05C" w14:textId="43ED7B94" w:rsidR="00955C72" w:rsidRPr="0078056B" w:rsidRDefault="00000000" w:rsidP="00A91497">
      <w:pPr>
        <w:spacing w:before="0" w:after="120"/>
      </w:pPr>
      <w:hyperlink r:id="rId195" w:history="1">
        <w:r w:rsidR="00955C72" w:rsidRPr="0078056B">
          <w:rPr>
            <w:rStyle w:val="Hyperlink"/>
          </w:rPr>
          <w:t>https://www.hesa.ac.uk/data-and-analysis/students/table-49</w:t>
        </w:r>
      </w:hyperlink>
    </w:p>
    <w:p w14:paraId="14DB7D0C" w14:textId="77777777" w:rsidR="009C5CF1" w:rsidRPr="0078056B" w:rsidRDefault="009C5CF1" w:rsidP="003B0877">
      <w:pPr>
        <w:pStyle w:val="CommentText"/>
        <w:keepNext/>
        <w:spacing w:before="120" w:after="0"/>
        <w:rPr>
          <w:sz w:val="22"/>
          <w:szCs w:val="22"/>
        </w:rPr>
      </w:pPr>
      <w:r w:rsidRPr="0078056B">
        <w:rPr>
          <w:sz w:val="22"/>
          <w:szCs w:val="22"/>
        </w:rPr>
        <w:t>HM Treasury (2022). ‘The Green Book. Central Government Guidance on Appraisal and Evaluation’.</w:t>
      </w:r>
    </w:p>
    <w:p w14:paraId="4358EE61" w14:textId="1820AA80" w:rsidR="009C5CF1" w:rsidRPr="0078056B" w:rsidRDefault="00000000" w:rsidP="00FA351E">
      <w:pPr>
        <w:spacing w:before="0" w:after="120"/>
        <w:rPr>
          <w:rStyle w:val="Hyperlink"/>
        </w:rPr>
      </w:pPr>
      <w:hyperlink r:id="rId196" w:history="1">
        <w:r w:rsidR="009C5CF1" w:rsidRPr="0078056B">
          <w:rPr>
            <w:rStyle w:val="Hyperlink"/>
          </w:rPr>
          <w:t>https://assets.publishing.service.gov.uk/government/uploads/system/uploads/attachment_data/file/685903/The_Green_Book.pdf</w:t>
        </w:r>
      </w:hyperlink>
    </w:p>
    <w:p w14:paraId="4FAB1F0F" w14:textId="18BBA3D2" w:rsidR="003B0877" w:rsidRPr="0078056B" w:rsidRDefault="003B0877" w:rsidP="003B0877">
      <w:pPr>
        <w:spacing w:before="0" w:after="0"/>
        <w:contextualSpacing/>
        <w:jc w:val="left"/>
        <w:rPr>
          <w:rStyle w:val="Hyperlink"/>
          <w:rFonts w:cs="Calibri"/>
        </w:rPr>
      </w:pPr>
      <w:r w:rsidRPr="0078056B">
        <w:rPr>
          <w:rFonts w:cs="Calibri"/>
          <w:color w:val="000000"/>
        </w:rPr>
        <w:t xml:space="preserve">Imperial College London (2010). ‘University research contributes £45 billion a year to the UK </w:t>
      </w:r>
      <w:bookmarkStart w:id="425" w:name="_Hlk41922717"/>
      <w:r w:rsidRPr="0078056B">
        <w:rPr>
          <w:rFonts w:cs="Calibri"/>
          <w:color w:val="000000"/>
        </w:rPr>
        <w:t xml:space="preserve">economy, according to new impact study’. </w:t>
      </w:r>
      <w:hyperlink r:id="rId197" w:history="1">
        <w:r w:rsidRPr="0078056B">
          <w:rPr>
            <w:rStyle w:val="Hyperlink"/>
            <w:rFonts w:cs="Calibri"/>
          </w:rPr>
          <w:t>http://www3.imperial.ac.uk/newsandeventspggrp/imperialcollege/newssummary/news_16-3-2010-13-6-57</w:t>
        </w:r>
      </w:hyperlink>
      <w:bookmarkEnd w:id="425"/>
    </w:p>
    <w:p w14:paraId="43B9F3BB" w14:textId="77777777" w:rsidR="003B0877" w:rsidRPr="0078056B" w:rsidRDefault="003B0877" w:rsidP="003B0877">
      <w:pPr>
        <w:keepNext/>
        <w:spacing w:before="120" w:after="0"/>
        <w:rPr>
          <w:rFonts w:asciiTheme="minorHAnsi" w:hAnsiTheme="minorHAnsi" w:cstheme="minorHAnsi"/>
          <w:lang w:eastAsia="en-GB"/>
        </w:rPr>
      </w:pPr>
      <w:r w:rsidRPr="0078056B">
        <w:rPr>
          <w:rFonts w:asciiTheme="minorHAnsi" w:hAnsiTheme="minorHAnsi" w:cstheme="minorHAnsi"/>
          <w:lang w:eastAsia="en-GB"/>
        </w:rPr>
        <w:lastRenderedPageBreak/>
        <w:t xml:space="preserve">Institute for Employment Studies &amp; National Centre for Social Research (2023). ‘Student income and expenditure survey 2021 to 2022’. </w:t>
      </w:r>
    </w:p>
    <w:p w14:paraId="05FB48C6" w14:textId="1841CAE1" w:rsidR="003B0877" w:rsidRPr="0078056B" w:rsidRDefault="00000000" w:rsidP="003B0877">
      <w:pPr>
        <w:spacing w:before="0" w:after="120"/>
        <w:rPr>
          <w:rFonts w:eastAsia="Times New Roman" w:cs="Calibri"/>
          <w:color w:val="0563C1" w:themeColor="hyperlink"/>
          <w:u w:val="single"/>
          <w:lang w:eastAsia="en-GB"/>
        </w:rPr>
      </w:pPr>
      <w:hyperlink r:id="rId198" w:history="1">
        <w:r w:rsidR="003B0877" w:rsidRPr="0078056B">
          <w:rPr>
            <w:rStyle w:val="Hyperlink"/>
            <w:rFonts w:eastAsia="Times New Roman" w:cs="Calibri"/>
            <w:lang w:eastAsia="en-GB"/>
          </w:rPr>
          <w:t>https://www.gov.uk/government/publications/student-income-and-expenditure-survey-2021-to-2022</w:t>
        </w:r>
      </w:hyperlink>
    </w:p>
    <w:p w14:paraId="3931441B" w14:textId="77777777" w:rsidR="00FA351E" w:rsidRPr="0078056B" w:rsidRDefault="003B0877" w:rsidP="00FA351E">
      <w:pPr>
        <w:spacing w:before="120" w:after="0"/>
        <w:jc w:val="left"/>
        <w:rPr>
          <w:rFonts w:cs="Calibri"/>
          <w:color w:val="000000"/>
        </w:rPr>
      </w:pPr>
      <w:r w:rsidRPr="0078056B">
        <w:rPr>
          <w:rFonts w:cs="Calibri"/>
          <w:color w:val="000000"/>
        </w:rPr>
        <w:t>London Economics (2017), ‘The economic, social, and cultural impact of the University of Birmingham’</w:t>
      </w:r>
      <w:r w:rsidR="00FA351E" w:rsidRPr="0078056B">
        <w:rPr>
          <w:rFonts w:cs="Calibri"/>
          <w:color w:val="000000"/>
        </w:rPr>
        <w:t>.</w:t>
      </w:r>
    </w:p>
    <w:p w14:paraId="48652D2C" w14:textId="3292092C" w:rsidR="003B0877" w:rsidRPr="0078056B" w:rsidRDefault="00000000" w:rsidP="00FA351E">
      <w:pPr>
        <w:spacing w:before="0" w:after="120"/>
        <w:jc w:val="left"/>
        <w:rPr>
          <w:rFonts w:cs="Calibri"/>
          <w:color w:val="000000"/>
        </w:rPr>
      </w:pPr>
      <w:hyperlink r:id="rId199" w:history="1">
        <w:r w:rsidR="00FA351E" w:rsidRPr="0078056B">
          <w:rPr>
            <w:rStyle w:val="Hyperlink"/>
            <w:rFonts w:cs="Calibri"/>
          </w:rPr>
          <w:t>https://www.birmingham.ac.uk/Documents/university/economic-impact-brochure-summary.pdf</w:t>
        </w:r>
      </w:hyperlink>
      <w:r w:rsidR="003B0877" w:rsidRPr="0078056B">
        <w:rPr>
          <w:rFonts w:cs="Calibri"/>
          <w:color w:val="000000"/>
        </w:rPr>
        <w:t xml:space="preserve"> </w:t>
      </w:r>
    </w:p>
    <w:p w14:paraId="6C82BCCF" w14:textId="77777777" w:rsidR="003B0877" w:rsidRPr="0078056B" w:rsidRDefault="003B0877" w:rsidP="00FA351E">
      <w:pPr>
        <w:spacing w:before="120" w:after="0"/>
        <w:jc w:val="left"/>
        <w:rPr>
          <w:rFonts w:cs="Calibri"/>
          <w:color w:val="000000"/>
        </w:rPr>
      </w:pPr>
      <w:r w:rsidRPr="0078056B">
        <w:rPr>
          <w:rFonts w:cs="Calibri"/>
          <w:color w:val="000000"/>
        </w:rPr>
        <w:t>London Economics (2018), ‘The economic impact of the Group of Eight in Australia’</w:t>
      </w:r>
    </w:p>
    <w:p w14:paraId="3EAA99F2" w14:textId="0CF7F4DE" w:rsidR="003B0877" w:rsidRPr="0078056B" w:rsidRDefault="00000000" w:rsidP="003B0877">
      <w:pPr>
        <w:spacing w:before="0" w:after="0"/>
        <w:rPr>
          <w:rStyle w:val="Hyperlink"/>
        </w:rPr>
      </w:pPr>
      <w:hyperlink r:id="rId200" w:history="1">
        <w:r w:rsidR="003B0877" w:rsidRPr="0078056B">
          <w:rPr>
            <w:rStyle w:val="Hyperlink"/>
          </w:rPr>
          <w:t>https://londoneconomics.co.uk/wp-content/uploads/2018/08/Go8_London-Economics-Report.pdf</w:t>
        </w:r>
      </w:hyperlink>
    </w:p>
    <w:p w14:paraId="1C5C171F" w14:textId="77777777" w:rsidR="003B0877" w:rsidRPr="0078056B" w:rsidRDefault="003B0877" w:rsidP="003B0877">
      <w:pPr>
        <w:spacing w:before="120" w:after="0"/>
      </w:pPr>
      <w:r w:rsidRPr="0078056B">
        <w:t>London Economics. (2023). 'The benefits and costs of international higher education students to the UK economy.</w:t>
      </w:r>
    </w:p>
    <w:p w14:paraId="2FEB31DC" w14:textId="1767494D" w:rsidR="003B0877" w:rsidRPr="0078056B" w:rsidRDefault="00000000" w:rsidP="003B0877">
      <w:pPr>
        <w:spacing w:before="0" w:after="120"/>
      </w:pPr>
      <w:hyperlink r:id="rId201" w:history="1">
        <w:r w:rsidR="003B0877" w:rsidRPr="0078056B">
          <w:rPr>
            <w:rStyle w:val="Hyperlink"/>
          </w:rPr>
          <w:t>https://londoneconomics.co.uk/blog/publication/the-benefits-and-costs-of-international-higher-education-students-to-the-uk-economy-analysis-for-the-2021-22-cohort-may-2023/</w:t>
        </w:r>
      </w:hyperlink>
    </w:p>
    <w:p w14:paraId="45BDE1D8" w14:textId="06CE359B" w:rsidR="009C5CF1" w:rsidRPr="0078056B" w:rsidRDefault="009C5CF1" w:rsidP="003B0877">
      <w:pPr>
        <w:pStyle w:val="CommentText"/>
        <w:keepNext/>
        <w:spacing w:before="120" w:after="0"/>
        <w:rPr>
          <w:sz w:val="22"/>
          <w:szCs w:val="22"/>
        </w:rPr>
      </w:pPr>
      <w:r w:rsidRPr="0078056B">
        <w:rPr>
          <w:sz w:val="22"/>
          <w:szCs w:val="22"/>
        </w:rPr>
        <w:t xml:space="preserve">London Economics (2024). ‘General Election Briefings: Examination of higher education fees and funding across the UK – February 2024’. </w:t>
      </w:r>
    </w:p>
    <w:p w14:paraId="208DF6CF" w14:textId="23E6483A" w:rsidR="009C5CF1" w:rsidRPr="0078056B" w:rsidRDefault="00000000" w:rsidP="009C5CF1">
      <w:pPr>
        <w:spacing w:before="0" w:after="0"/>
        <w:rPr>
          <w:rStyle w:val="Hyperlink"/>
        </w:rPr>
      </w:pPr>
      <w:hyperlink r:id="rId202" w:history="1">
        <w:r w:rsidR="009C5CF1" w:rsidRPr="0078056B">
          <w:rPr>
            <w:rStyle w:val="Hyperlink"/>
          </w:rPr>
          <w:t>https://londoneconomics.co.uk/blog/publication/general-election-briefings-examination-of-higher-education-fees-and-funding-across-the-uk/</w:t>
        </w:r>
      </w:hyperlink>
    </w:p>
    <w:p w14:paraId="5A29006E" w14:textId="77777777" w:rsidR="003B0877" w:rsidRPr="0078056B" w:rsidRDefault="003B0877" w:rsidP="003B0877">
      <w:pPr>
        <w:spacing w:before="120" w:after="0"/>
      </w:pPr>
      <w:r w:rsidRPr="0078056B">
        <w:t>Nomis. (2023). ‘Population estimates - local authority based by five year age band’</w:t>
      </w:r>
    </w:p>
    <w:p w14:paraId="3ACA99C3" w14:textId="0D58FEA2" w:rsidR="00FA351E" w:rsidRPr="0078056B" w:rsidRDefault="00000000" w:rsidP="00FA351E">
      <w:pPr>
        <w:spacing w:before="0" w:after="120"/>
        <w:rPr>
          <w:rStyle w:val="Hyperlink"/>
          <w:color w:val="auto"/>
          <w:u w:val="none"/>
        </w:rPr>
      </w:pPr>
      <w:hyperlink r:id="rId203" w:history="1">
        <w:r w:rsidR="003B0877" w:rsidRPr="0078056B">
          <w:rPr>
            <w:rStyle w:val="Hyperlink"/>
          </w:rPr>
          <w:t>https://www.nomisweb.co.uk/query/construct/summary.asp?mode=construct&amp;version=0&amp;dataset=31</w:t>
        </w:r>
      </w:hyperlink>
    </w:p>
    <w:p w14:paraId="014226CA" w14:textId="7C2F39D5" w:rsidR="009C5CF1" w:rsidRPr="0078056B" w:rsidRDefault="009C5CF1" w:rsidP="00FA351E">
      <w:pPr>
        <w:spacing w:before="120" w:after="0"/>
      </w:pPr>
      <w:r w:rsidRPr="0078056B">
        <w:rPr>
          <w:rFonts w:asciiTheme="minorHAnsi" w:hAnsiTheme="minorHAnsi" w:cstheme="minorHAnsi"/>
        </w:rPr>
        <w:t xml:space="preserve">Office for Budget Responsibility (no date). ‘Tax by tax, spend by spend. VAT’. </w:t>
      </w:r>
    </w:p>
    <w:p w14:paraId="61D6C0B6" w14:textId="2617DC08" w:rsidR="009C5CF1" w:rsidRPr="0078056B" w:rsidRDefault="00000000" w:rsidP="009C5CF1">
      <w:pPr>
        <w:spacing w:before="0" w:after="120"/>
        <w:rPr>
          <w:rFonts w:asciiTheme="minorHAnsi" w:hAnsiTheme="minorHAnsi" w:cstheme="minorHAnsi"/>
        </w:rPr>
      </w:pPr>
      <w:hyperlink r:id="rId204" w:history="1">
        <w:r w:rsidR="009C5CF1" w:rsidRPr="0078056B">
          <w:rPr>
            <w:rStyle w:val="Hyperlink"/>
            <w:rFonts w:asciiTheme="minorHAnsi" w:hAnsiTheme="minorHAnsi" w:cstheme="minorHAnsi"/>
          </w:rPr>
          <w:t>http://obr.uk/forecasts-in-depth/tax-by-tax-spend-by-spend/vat/</w:t>
        </w:r>
      </w:hyperlink>
      <w:r w:rsidR="009C5CF1" w:rsidRPr="0078056B">
        <w:rPr>
          <w:rFonts w:asciiTheme="minorHAnsi" w:hAnsiTheme="minorHAnsi" w:cstheme="minorHAnsi"/>
        </w:rPr>
        <w:t xml:space="preserve"> </w:t>
      </w:r>
    </w:p>
    <w:p w14:paraId="06AC0234" w14:textId="2E92904D" w:rsidR="009C5CF1" w:rsidRPr="0078056B" w:rsidRDefault="009C5CF1" w:rsidP="009C5CF1">
      <w:pPr>
        <w:spacing w:before="0" w:after="120"/>
      </w:pPr>
      <w:r w:rsidRPr="0078056B">
        <w:t xml:space="preserve">Office for Budget Responsibility (2023a). ‘Economic and fiscal outlook – November 2023’. </w:t>
      </w:r>
      <w:hyperlink r:id="rId205" w:history="1">
        <w:r w:rsidRPr="0078056B">
          <w:rPr>
            <w:rStyle w:val="Hyperlink"/>
          </w:rPr>
          <w:t>https://obr.uk/efo/economic-and-fiscal-outlook-november-2023/</w:t>
        </w:r>
      </w:hyperlink>
      <w:r w:rsidRPr="0078056B">
        <w:t xml:space="preserve"> </w:t>
      </w:r>
    </w:p>
    <w:p w14:paraId="0FDD3C0B" w14:textId="472883B8" w:rsidR="009C5CF1" w:rsidRPr="0078056B" w:rsidRDefault="009C5CF1" w:rsidP="009C5CF1">
      <w:pPr>
        <w:spacing w:before="0" w:after="120"/>
      </w:pPr>
      <w:r w:rsidRPr="0078056B">
        <w:t xml:space="preserve">Office for Budget Responsibility (2023b). ‘Economic and fiscal outlook – March 2023’. </w:t>
      </w:r>
      <w:hyperlink r:id="rId206" w:history="1">
        <w:r w:rsidRPr="0078056B">
          <w:rPr>
            <w:rStyle w:val="Hyperlink"/>
          </w:rPr>
          <w:t>https://obr.uk/efo/economic-and-fiscal-outlook-march-2023/</w:t>
        </w:r>
      </w:hyperlink>
      <w:r w:rsidRPr="0078056B">
        <w:t xml:space="preserve"> </w:t>
      </w:r>
    </w:p>
    <w:p w14:paraId="1E7DBB02" w14:textId="77777777" w:rsidR="003B0877" w:rsidRPr="0078056B" w:rsidRDefault="003B0877" w:rsidP="003B0877">
      <w:pPr>
        <w:keepNext/>
        <w:spacing w:after="0"/>
        <w:contextualSpacing/>
        <w:jc w:val="left"/>
        <w:rPr>
          <w:rFonts w:cs="Calibri"/>
          <w:color w:val="000000"/>
        </w:rPr>
      </w:pPr>
      <w:r w:rsidRPr="0078056B">
        <w:rPr>
          <w:rFonts w:cs="Calibri"/>
          <w:color w:val="000000"/>
        </w:rPr>
        <w:t>Office for National Statistics (2022). ‘UK SIC 2007’.</w:t>
      </w:r>
    </w:p>
    <w:p w14:paraId="587BEFCD" w14:textId="7ADA7F78" w:rsidR="003B0877" w:rsidRPr="0078056B" w:rsidRDefault="00000000" w:rsidP="001361A2">
      <w:pPr>
        <w:spacing w:before="0" w:after="120"/>
        <w:jc w:val="left"/>
      </w:pPr>
      <w:hyperlink r:id="rId207" w:history="1">
        <w:r w:rsidR="003B0877" w:rsidRPr="0078056B">
          <w:rPr>
            <w:rStyle w:val="Hyperlink"/>
          </w:rPr>
          <w:t>https://www.ons.gov.uk/methodology/classificationsandstandards/ukstandardindustrialclassificationofeconomicactivities/uksic2007</w:t>
        </w:r>
      </w:hyperlink>
      <w:r w:rsidR="003B0877" w:rsidRPr="0078056B">
        <w:t xml:space="preserve"> </w:t>
      </w:r>
    </w:p>
    <w:p w14:paraId="15B8093E" w14:textId="16863845" w:rsidR="003B0877" w:rsidRPr="0078056B" w:rsidRDefault="003B0877" w:rsidP="003B0877">
      <w:pPr>
        <w:spacing w:before="0" w:after="0"/>
        <w:contextualSpacing/>
        <w:jc w:val="left"/>
      </w:pPr>
      <w:r w:rsidRPr="0078056B">
        <w:t xml:space="preserve">Office for National Statistics (2023). ‘UK input-output analytical tables - industry by industry’ </w:t>
      </w:r>
      <w:hyperlink r:id="rId208" w:history="1">
        <w:r w:rsidRPr="0078056B">
          <w:rPr>
            <w:rStyle w:val="Hyperlink"/>
          </w:rPr>
          <w:t>https://www.ons.gov.uk/economy/nationalaccounts/supplyandusetables/datasets/ukinputoutputanalyticaltablesindustrybyindustry</w:t>
        </w:r>
      </w:hyperlink>
      <w:r w:rsidRPr="0078056B">
        <w:t xml:space="preserve"> </w:t>
      </w:r>
    </w:p>
    <w:p w14:paraId="50473F1A" w14:textId="77777777" w:rsidR="003B0877" w:rsidRPr="0078056B" w:rsidRDefault="003B0877" w:rsidP="003B0877">
      <w:pPr>
        <w:spacing w:before="120" w:after="0"/>
      </w:pPr>
      <w:r w:rsidRPr="0078056B">
        <w:t>Office for National Statistics (2024). ‘CPI Index 00: All items, 2015=100’.</w:t>
      </w:r>
    </w:p>
    <w:p w14:paraId="5A925854" w14:textId="6FEF3B0C" w:rsidR="003B0877" w:rsidRPr="0078056B" w:rsidRDefault="00000000" w:rsidP="009C5CF1">
      <w:pPr>
        <w:spacing w:before="0" w:after="120"/>
        <w:rPr>
          <w:rStyle w:val="Hyperlink"/>
        </w:rPr>
      </w:pPr>
      <w:hyperlink r:id="rId209" w:history="1">
        <w:r w:rsidR="003B0877" w:rsidRPr="0078056B">
          <w:rPr>
            <w:rStyle w:val="Hyperlink"/>
          </w:rPr>
          <w:t>https://www.ons.gov.uk/economy/inflationandpriceindices/timeseries/d7bt/mm23</w:t>
        </w:r>
      </w:hyperlink>
    </w:p>
    <w:p w14:paraId="5892A4C4" w14:textId="77777777" w:rsidR="003B0877" w:rsidRPr="0078056B" w:rsidRDefault="003B0877" w:rsidP="003B0877">
      <w:pPr>
        <w:keepNext/>
        <w:keepLines/>
        <w:spacing w:before="120" w:after="0"/>
      </w:pPr>
      <w:r w:rsidRPr="0078056B">
        <w:t>Oxford Economics (2017). ‘The economic impact of universities in 2014-15’.</w:t>
      </w:r>
    </w:p>
    <w:p w14:paraId="1E60B7D7" w14:textId="2917AA83" w:rsidR="003B0877" w:rsidRPr="0078056B" w:rsidRDefault="00000000" w:rsidP="009C5CF1">
      <w:pPr>
        <w:spacing w:before="0" w:after="120"/>
        <w:rPr>
          <w:rStyle w:val="Hyperlink"/>
          <w:color w:val="auto"/>
          <w:u w:val="none"/>
        </w:rPr>
      </w:pPr>
      <w:hyperlink r:id="rId210" w:history="1">
        <w:r w:rsidR="003B0877" w:rsidRPr="0078056B">
          <w:rPr>
            <w:rStyle w:val="Hyperlink"/>
          </w:rPr>
          <w:t>https://www.oxfordeconomics.com/resource/the-economic-impact-of-universities-in-2014-15/</w:t>
        </w:r>
      </w:hyperlink>
      <w:r w:rsidR="003B0877" w:rsidRPr="0078056B">
        <w:t xml:space="preserve"> </w:t>
      </w:r>
    </w:p>
    <w:p w14:paraId="5BDC08C6" w14:textId="146A0B90" w:rsidR="003B0877" w:rsidRPr="0078056B" w:rsidRDefault="003B0877" w:rsidP="001361A2">
      <w:pPr>
        <w:spacing w:before="0" w:after="120"/>
        <w:jc w:val="left"/>
      </w:pPr>
      <w:r w:rsidRPr="0078056B">
        <w:t xml:space="preserve">Salter, A., &amp; Martin, B. (2001). ‘The Economic Benefits of Publicly Funded Basic Research: A Critical Review’. </w:t>
      </w:r>
      <w:r w:rsidRPr="0078056B">
        <w:rPr>
          <w:rStyle w:val="Hyperlink"/>
        </w:rPr>
        <w:t>https://doi.org/10.1016/S0048-7333(00)00091-3</w:t>
      </w:r>
      <w:r w:rsidRPr="0078056B">
        <w:rPr>
          <w:color w:val="0000FF"/>
        </w:rPr>
        <w:t xml:space="preserve"> </w:t>
      </w:r>
    </w:p>
    <w:p w14:paraId="769D6FC3" w14:textId="77777777" w:rsidR="00814B32" w:rsidRDefault="00814B32" w:rsidP="00814B32">
      <w:pPr>
        <w:pStyle w:val="NormalNoSpace"/>
        <w:spacing w:before="120"/>
      </w:pPr>
      <w:r>
        <w:t>Student Awards Agency Scotland (2022). ‘Higher education student support in Scotland 2021-22’.</w:t>
      </w:r>
    </w:p>
    <w:p w14:paraId="10D58155" w14:textId="562945D6" w:rsidR="00814B32" w:rsidRDefault="00000000" w:rsidP="00814B32">
      <w:pPr>
        <w:spacing w:before="0" w:after="120"/>
      </w:pPr>
      <w:hyperlink r:id="rId211" w:history="1">
        <w:r w:rsidR="00814B32">
          <w:rPr>
            <w:rStyle w:val="Hyperlink"/>
          </w:rPr>
          <w:t>https://www.saas.gov.uk/files/400/saas-statistics-2021-22.pdf</w:t>
        </w:r>
      </w:hyperlink>
    </w:p>
    <w:p w14:paraId="69CF4629" w14:textId="77777777" w:rsidR="00814B32" w:rsidRDefault="00814B32" w:rsidP="00814B32">
      <w:pPr>
        <w:spacing w:before="120" w:after="0"/>
      </w:pPr>
      <w:r>
        <w:t>Student Loans Company (2022a). ‘Student support for higher education in England 2022’.</w:t>
      </w:r>
    </w:p>
    <w:p w14:paraId="4FC37A25" w14:textId="3FD104BD" w:rsidR="00814B32" w:rsidRDefault="00000000" w:rsidP="00814B32">
      <w:pPr>
        <w:spacing w:before="0" w:after="0"/>
        <w:rPr>
          <w:rStyle w:val="Hyperlink"/>
        </w:rPr>
      </w:pPr>
      <w:hyperlink r:id="rId212" w:history="1">
        <w:r w:rsidR="00814B32">
          <w:rPr>
            <w:rStyle w:val="Hyperlink"/>
          </w:rPr>
          <w:t>https://www.gov.uk/government/statistics/student-support-for-higher-education-in-england-2022</w:t>
        </w:r>
      </w:hyperlink>
      <w:r w:rsidR="00814B32">
        <w:rPr>
          <w:rStyle w:val="Hyperlink"/>
        </w:rPr>
        <w:t xml:space="preserve"> </w:t>
      </w:r>
    </w:p>
    <w:p w14:paraId="1931C2D2" w14:textId="77777777" w:rsidR="00814B32" w:rsidRDefault="00814B32" w:rsidP="00814B32">
      <w:pPr>
        <w:spacing w:before="120" w:after="0"/>
      </w:pPr>
      <w:r>
        <w:lastRenderedPageBreak/>
        <w:t>Student Loans Company (2022b). ‘Student support for higher education in Wales 2022’.</w:t>
      </w:r>
    </w:p>
    <w:p w14:paraId="250BC2EA" w14:textId="7D7936FC" w:rsidR="00814B32" w:rsidRDefault="00000000" w:rsidP="00814B32">
      <w:pPr>
        <w:spacing w:before="0" w:after="120"/>
      </w:pPr>
      <w:hyperlink r:id="rId213" w:history="1">
        <w:r w:rsidR="00814B32">
          <w:rPr>
            <w:rStyle w:val="Hyperlink"/>
          </w:rPr>
          <w:t>https://www.gov.uk/government/statistics/student-support-for-higher-education-in-wales-2022</w:t>
        </w:r>
      </w:hyperlink>
    </w:p>
    <w:p w14:paraId="4F414F91" w14:textId="77777777" w:rsidR="00814B32" w:rsidRDefault="00814B32" w:rsidP="00814B32">
      <w:pPr>
        <w:spacing w:before="0" w:after="0"/>
      </w:pPr>
      <w:r>
        <w:t xml:space="preserve">Student Loans Company (2022c). ‘Student support for higher education in Northern Ireland 2022. </w:t>
      </w:r>
    </w:p>
    <w:p w14:paraId="7222456D" w14:textId="52A99C7F" w:rsidR="00814B32" w:rsidRDefault="00000000" w:rsidP="00814B32">
      <w:pPr>
        <w:spacing w:before="0" w:after="120"/>
      </w:pPr>
      <w:hyperlink r:id="rId214" w:history="1">
        <w:r w:rsidR="00814B32">
          <w:rPr>
            <w:rStyle w:val="Hyperlink"/>
          </w:rPr>
          <w:t>https://www.gov.uk/government/statistics/student-support-for-higher-education-in-northern-ireland-2022</w:t>
        </w:r>
      </w:hyperlink>
    </w:p>
    <w:p w14:paraId="0D41D7AC" w14:textId="10F71661" w:rsidR="003B0877" w:rsidRPr="00814B32" w:rsidRDefault="003B0877" w:rsidP="00814B32">
      <w:pPr>
        <w:spacing w:before="120" w:after="0"/>
      </w:pPr>
      <w:r w:rsidRPr="0078056B">
        <w:rPr>
          <w:rFonts w:eastAsia="Times New Roman" w:cs="Calibri"/>
          <w:lang w:eastAsia="en-GB"/>
        </w:rPr>
        <w:t>University of Birmingham (2022). ‘2021-22 annual report and accounts’.</w:t>
      </w:r>
    </w:p>
    <w:p w14:paraId="1F830CF2" w14:textId="352E19DD" w:rsidR="003B0877" w:rsidRPr="0078056B" w:rsidRDefault="00000000" w:rsidP="003B0877">
      <w:pPr>
        <w:spacing w:before="0" w:after="120"/>
        <w:rPr>
          <w:color w:val="0563C1"/>
          <w:lang w:eastAsia="en-GB"/>
        </w:rPr>
      </w:pPr>
      <w:hyperlink r:id="rId215" w:history="1">
        <w:r w:rsidR="003B0877" w:rsidRPr="0078056B">
          <w:rPr>
            <w:rStyle w:val="Hyperlink"/>
            <w:lang w:eastAsia="en-GB"/>
          </w:rPr>
          <w:t>https://www.birmingham.ac.uk/documents/finance/uob-annual-report-and-accounts-2021-22-accessible.pdf</w:t>
        </w:r>
      </w:hyperlink>
    </w:p>
    <w:p w14:paraId="3555197C" w14:textId="711DCE5F" w:rsidR="009C5CF1" w:rsidRPr="0078056B" w:rsidRDefault="009C5CF1" w:rsidP="009C5CF1">
      <w:pPr>
        <w:spacing w:before="120" w:after="0"/>
        <w:rPr>
          <w:rFonts w:asciiTheme="minorHAnsi" w:hAnsiTheme="minorHAnsi" w:cstheme="minorHAnsi"/>
          <w:lang w:eastAsia="en-GB"/>
        </w:rPr>
      </w:pPr>
      <w:r w:rsidRPr="0078056B">
        <w:rPr>
          <w:rFonts w:asciiTheme="minorHAnsi" w:hAnsiTheme="minorHAnsi" w:cstheme="minorHAnsi"/>
        </w:rPr>
        <w:t>Walker</w:t>
      </w:r>
      <w:r w:rsidRPr="0078056B">
        <w:rPr>
          <w:rFonts w:asciiTheme="minorHAnsi" w:hAnsiTheme="minorHAnsi" w:cstheme="minorHAnsi"/>
          <w:lang w:eastAsia="en-GB"/>
        </w:rPr>
        <w:t>, I., &amp; Zhu, Y. (2013), ‘The impact of university degrees on the lifecycle of earnings: Some further analysis’’. Department for Business Innovation and Skills Research Report 112.</w:t>
      </w:r>
    </w:p>
    <w:p w14:paraId="043213D0" w14:textId="3C38CD72" w:rsidR="009C5CF1" w:rsidRPr="0078056B" w:rsidRDefault="00000000" w:rsidP="009C5CF1">
      <w:pPr>
        <w:spacing w:before="0" w:after="120"/>
        <w:rPr>
          <w:rFonts w:asciiTheme="minorHAnsi" w:hAnsiTheme="minorHAnsi" w:cstheme="minorHAnsi"/>
          <w:lang w:eastAsia="en-GB"/>
        </w:rPr>
      </w:pPr>
      <w:hyperlink r:id="rId216" w:history="1">
        <w:r w:rsidR="009C5CF1" w:rsidRPr="0078056B">
          <w:rPr>
            <w:rStyle w:val="Hyperlink"/>
            <w:rFonts w:asciiTheme="minorHAnsi" w:hAnsiTheme="minorHAnsi" w:cstheme="minorHAnsi"/>
            <w:lang w:eastAsia="en-GB"/>
          </w:rPr>
          <w:t>https://www.gov.uk/government/uploads/system/uploads/attachment_data/file/229498/bis-13-899-the-impact-of-university-degrees-on-the-lifecycle-of-earnings-further-analysis.pdf</w:t>
        </w:r>
      </w:hyperlink>
      <w:r w:rsidR="009C5CF1" w:rsidRPr="0078056B">
        <w:rPr>
          <w:rFonts w:asciiTheme="minorHAnsi" w:hAnsiTheme="minorHAnsi" w:cstheme="minorHAnsi"/>
          <w:lang w:eastAsia="en-GB"/>
        </w:rPr>
        <w:t xml:space="preserve"> </w:t>
      </w:r>
    </w:p>
    <w:p w14:paraId="39876E9A" w14:textId="77777777" w:rsidR="00E13125" w:rsidRPr="0078056B" w:rsidRDefault="00E13125" w:rsidP="00E13125">
      <w:pPr>
        <w:spacing w:before="120" w:after="0"/>
      </w:pPr>
      <w:r w:rsidRPr="0078056B">
        <w:t>VisitBritain (2023a). ‘Inbound visits and spend: annual, regional’</w:t>
      </w:r>
    </w:p>
    <w:p w14:paraId="7778656D" w14:textId="12A168EF" w:rsidR="00E13125" w:rsidRPr="0078056B" w:rsidRDefault="00000000" w:rsidP="00E13125">
      <w:pPr>
        <w:spacing w:before="0" w:after="120"/>
      </w:pPr>
      <w:hyperlink r:id="rId217" w:history="1">
        <w:r w:rsidR="00E13125" w:rsidRPr="0078056B">
          <w:rPr>
            <w:rStyle w:val="Hyperlink"/>
          </w:rPr>
          <w:t>https://www.visitbritain.org/research-insights/inbound-visits-and-spend-annual-regional</w:t>
        </w:r>
      </w:hyperlink>
    </w:p>
    <w:p w14:paraId="60D7FB69" w14:textId="77777777" w:rsidR="00E13125" w:rsidRPr="0078056B" w:rsidRDefault="00E13125" w:rsidP="00E13125">
      <w:pPr>
        <w:spacing w:before="120" w:after="0"/>
      </w:pPr>
      <w:r w:rsidRPr="0078056B">
        <w:t>VisitBritain (2023b). ‘Inbound visits and spend: trends by UK town’</w:t>
      </w:r>
    </w:p>
    <w:p w14:paraId="528B595D" w14:textId="1231D361" w:rsidR="003B0877" w:rsidRPr="0078056B" w:rsidRDefault="00000000" w:rsidP="001361A2">
      <w:pPr>
        <w:spacing w:before="0" w:after="120"/>
      </w:pPr>
      <w:hyperlink r:id="rId218" w:history="1">
        <w:r w:rsidR="00E13125" w:rsidRPr="0078056B">
          <w:rPr>
            <w:rStyle w:val="Hyperlink"/>
          </w:rPr>
          <w:t>https://www.visitbritain.org/research-insights/inbound-visits-and-spend-trends-uk-town</w:t>
        </w:r>
      </w:hyperlink>
    </w:p>
    <w:p w14:paraId="0C579541" w14:textId="5D67A93F" w:rsidR="006758D1" w:rsidRPr="0078056B" w:rsidRDefault="006758D1">
      <w:pPr>
        <w:spacing w:before="0" w:after="200" w:line="276" w:lineRule="auto"/>
        <w:jc w:val="left"/>
      </w:pPr>
      <w:r w:rsidRPr="0078056B">
        <w:br w:type="page"/>
      </w:r>
    </w:p>
    <w:p w14:paraId="6CD4CFB8" w14:textId="6749DC77" w:rsidR="006758D1" w:rsidRPr="0078056B" w:rsidRDefault="006758D1" w:rsidP="006758D1">
      <w:pPr>
        <w:pStyle w:val="AnnexHeading1"/>
        <w:rPr>
          <w:rStyle w:val="HeaderRepeat"/>
        </w:rPr>
      </w:pPr>
      <w:bookmarkStart w:id="426" w:name="_Toc168652151"/>
      <w:r w:rsidRPr="0078056B">
        <w:rPr>
          <w:rStyle w:val="HeaderRepeat"/>
        </w:rPr>
        <w:lastRenderedPageBreak/>
        <w:t>Technical annex</w:t>
      </w:r>
      <w:bookmarkEnd w:id="426"/>
    </w:p>
    <w:p w14:paraId="3D96D9DF" w14:textId="398B5F4C" w:rsidR="00B30001" w:rsidRPr="0078056B" w:rsidRDefault="00B30001" w:rsidP="00B30001">
      <w:pPr>
        <w:pStyle w:val="AnnexHeading2"/>
      </w:pPr>
      <w:bookmarkStart w:id="427" w:name="_Ref162272356"/>
      <w:bookmarkStart w:id="428" w:name="_Toc168652152"/>
      <w:r w:rsidRPr="0078056B">
        <w:t>Multi-regional Input-Output tables</w:t>
      </w:r>
      <w:bookmarkEnd w:id="427"/>
      <w:bookmarkEnd w:id="428"/>
    </w:p>
    <w:p w14:paraId="42F7F270" w14:textId="77777777" w:rsidR="00B30001" w:rsidRPr="0078056B" w:rsidRDefault="00B30001" w:rsidP="00B30001">
      <w:pPr>
        <w:pStyle w:val="AnnexHeading3"/>
      </w:pPr>
      <w:bookmarkStart w:id="429" w:name="_Ref150434337"/>
      <w:bookmarkStart w:id="430" w:name="_Toc156480233"/>
      <w:r w:rsidRPr="0078056B">
        <w:t>Derivation of economic multipliers from multi-regional Input-Output tables</w:t>
      </w:r>
      <w:bookmarkEnd w:id="429"/>
      <w:bookmarkEnd w:id="430"/>
    </w:p>
    <w:p w14:paraId="3D1C8230" w14:textId="09495C38" w:rsidR="00B30001" w:rsidRPr="0078056B" w:rsidRDefault="00B30001" w:rsidP="00B30001">
      <w:r w:rsidRPr="0078056B">
        <w:t xml:space="preserve">This section provides further detail on the economic multipliers utilised in this analysis, as first introduced in Section </w:t>
      </w:r>
      <w:r w:rsidRPr="0078056B">
        <w:fldChar w:fldCharType="begin"/>
      </w:r>
      <w:r w:rsidRPr="0078056B">
        <w:instrText xml:space="preserve"> REF _Ref160114268 \r \h  \* MERGEFORMAT </w:instrText>
      </w:r>
      <w:r w:rsidRPr="0078056B">
        <w:fldChar w:fldCharType="separate"/>
      </w:r>
      <w:r w:rsidR="00E33157">
        <w:t>2.1.3</w:t>
      </w:r>
      <w:r w:rsidRPr="0078056B">
        <w:fldChar w:fldCharType="end"/>
      </w:r>
      <w:r w:rsidRPr="0078056B">
        <w:t xml:space="preserve">. </w:t>
      </w:r>
    </w:p>
    <w:p w14:paraId="09BB3A91" w14:textId="5A3F34E4" w:rsidR="00B30001" w:rsidRPr="0078056B" w:rsidRDefault="00B30001" w:rsidP="00B30001">
      <w:r w:rsidRPr="0078056B">
        <w:t xml:space="preserve">The fundamental idea of the multi-regional Input-Output analysis is that region </w:t>
      </w:r>
      <w:r w:rsidRPr="0078056B">
        <w:rPr>
          <w:i/>
        </w:rPr>
        <w:t>i</w:t>
      </w:r>
      <w:r w:rsidRPr="0078056B">
        <w:t xml:space="preserve">’s demand for region </w:t>
      </w:r>
      <w:r w:rsidRPr="0078056B">
        <w:rPr>
          <w:i/>
        </w:rPr>
        <w:t>j</w:t>
      </w:r>
      <w:r w:rsidRPr="0078056B">
        <w:t>’s output is related to the friction involved in shipments from one region to another (which we proxy by the distance between the two regions), and that cross-regional trade can be explained by the relative gross value added of the sector in all regions. The multi-regional Input-Output model was derived by combining UK-level Input-Output tables with data on geographical distances between regions; GVA and compensation of employees by sector and region (</w:t>
      </w:r>
      <w:hyperlink r:id="rId219" w:history="1">
        <w:r w:rsidRPr="0078056B">
          <w:rPr>
            <w:rStyle w:val="Hyperlink"/>
          </w:rPr>
          <w:t>here</w:t>
        </w:r>
      </w:hyperlink>
      <w:r w:rsidRPr="0078056B">
        <w:t>); employment by sector and region (</w:t>
      </w:r>
      <w:hyperlink r:id="rId220" w:history="1">
        <w:r w:rsidRPr="0078056B">
          <w:rPr>
            <w:rStyle w:val="Hyperlink"/>
          </w:rPr>
          <w:t>here</w:t>
        </w:r>
      </w:hyperlink>
      <w:r w:rsidRPr="0078056B">
        <w:t>); gross disposable household income by region (</w:t>
      </w:r>
      <w:hyperlink r:id="rId221" w:history="1">
        <w:r w:rsidRPr="0078056B">
          <w:rPr>
            <w:rStyle w:val="Hyperlink"/>
          </w:rPr>
          <w:t>here</w:t>
        </w:r>
      </w:hyperlink>
      <w:r w:rsidRPr="0078056B">
        <w:t>); population by region (</w:t>
      </w:r>
      <w:hyperlink r:id="rId222" w:history="1">
        <w:r w:rsidRPr="0078056B">
          <w:rPr>
            <w:rStyle w:val="Hyperlink"/>
          </w:rPr>
          <w:t>here</w:t>
        </w:r>
      </w:hyperlink>
      <w:r w:rsidRPr="0078056B">
        <w:t>); mean weekly total paid hours worked by industry, for full-time vs. part-time employees (</w:t>
      </w:r>
      <w:hyperlink r:id="rId223" w:history="1">
        <w:r w:rsidRPr="0078056B">
          <w:rPr>
            <w:rStyle w:val="Hyperlink"/>
          </w:rPr>
          <w:t>here</w:t>
        </w:r>
      </w:hyperlink>
      <w:r w:rsidRPr="0078056B">
        <w:t>); employed residents by region of usual residence and region of workplace (</w:t>
      </w:r>
      <w:hyperlink r:id="rId224" w:history="1">
        <w:r w:rsidRPr="0078056B">
          <w:rPr>
            <w:rStyle w:val="Hyperlink"/>
          </w:rPr>
          <w:t>here</w:t>
        </w:r>
      </w:hyperlink>
      <w:r w:rsidRPr="0078056B">
        <w:t>); and UK imports into each region and exports by each region, by commodity (</w:t>
      </w:r>
      <w:hyperlink r:id="rId225" w:history="1">
        <w:r w:rsidRPr="0078056B">
          <w:rPr>
            <w:rStyle w:val="Hyperlink"/>
          </w:rPr>
          <w:t>here</w:t>
        </w:r>
      </w:hyperlink>
      <w:r w:rsidRPr="0078056B">
        <w:t>).</w:t>
      </w:r>
    </w:p>
    <w:p w14:paraId="6EC278F5" w14:textId="2AC7C0D5" w:rsidR="00B30001" w:rsidRPr="0078056B" w:rsidRDefault="00B30001" w:rsidP="00B30001">
      <w:r w:rsidRPr="0078056B">
        <w:t xml:space="preserve">In terms of sector breakdown, the original UK Input-Output tables are broken down into 105 relatively granular sectors. However, the wide range of regional-level data required to generate the multi-regional Input-Output model is not available for such a granular sector breakdown. Instead, the multi-regional Input-Output model is broken down into 10 more high-level sector groups (see </w:t>
      </w:r>
      <w:r w:rsidRPr="0078056B">
        <w:fldChar w:fldCharType="begin"/>
      </w:r>
      <w:r w:rsidRPr="0078056B">
        <w:instrText xml:space="preserve"> REF _Ref147844515 \r \h  \* MERGEFORMAT </w:instrText>
      </w:r>
      <w:r w:rsidRPr="0078056B">
        <w:fldChar w:fldCharType="separate"/>
      </w:r>
      <w:r w:rsidR="00E33157">
        <w:t>Table 14</w:t>
      </w:r>
      <w:r w:rsidRPr="0078056B">
        <w:fldChar w:fldCharType="end"/>
      </w:r>
      <w:r w:rsidRPr="0078056B">
        <w:t xml:space="preserve"> below). </w:t>
      </w:r>
    </w:p>
    <w:p w14:paraId="35A73642" w14:textId="77777777" w:rsidR="00B30001" w:rsidRPr="0078056B" w:rsidRDefault="00B30001" w:rsidP="00B30001">
      <w:r w:rsidRPr="0078056B">
        <w:t xml:space="preserve">While Input-Output analyses are a useful tool to assess the total economic impacts generated by a wide range of activities, it is important to note several key limitations associated with this type of analysis. Input-Output analyses assume that inputs are complements, and that there are constant returns to scale in the production function (i.e., that there are no economies of scale). The interpretation of these assumptions is that the prevailing breakdown of inputs from all sectors (employees, and imports) is a good approximation of the breakdown that would prevail if total demand (and therefore output) were marginally different. In addition, Input-Output analyses do not account for any price effects resulting from a change in demand for a given industry/output. </w:t>
      </w:r>
    </w:p>
    <w:p w14:paraId="6AD94124" w14:textId="77777777" w:rsidR="00B30001" w:rsidRPr="0078056B" w:rsidRDefault="00B30001" w:rsidP="00B30001">
      <w:pPr>
        <w:pStyle w:val="AnnexHeading3"/>
      </w:pPr>
      <w:bookmarkStart w:id="431" w:name="_Ref162272294"/>
      <w:r w:rsidRPr="0078056B">
        <w:t>Industry classifications for multi-regional Input-Output analysis</w:t>
      </w:r>
      <w:bookmarkEnd w:id="431"/>
    </w:p>
    <w:p w14:paraId="2BA4E0A4" w14:textId="6E7D2EE7" w:rsidR="00B30001" w:rsidRPr="0078056B" w:rsidRDefault="00B30001" w:rsidP="00B30001">
      <w:r w:rsidRPr="0078056B">
        <w:fldChar w:fldCharType="begin"/>
      </w:r>
      <w:r w:rsidRPr="0078056B">
        <w:instrText xml:space="preserve"> REF _Ref147844515 \r \h  \* MERGEFORMAT </w:instrText>
      </w:r>
      <w:r w:rsidRPr="0078056B">
        <w:fldChar w:fldCharType="separate"/>
      </w:r>
      <w:r w:rsidR="00E33157">
        <w:t>Table 14</w:t>
      </w:r>
      <w:r w:rsidRPr="0078056B">
        <w:fldChar w:fldCharType="end"/>
      </w:r>
      <w:r w:rsidRPr="0078056B">
        <w:t xml:space="preserve"> provides an overview of the high-level industry classifications used throughout the multi-regional Input-Output analysis. </w:t>
      </w:r>
    </w:p>
    <w:p w14:paraId="6F4AB00B" w14:textId="77777777" w:rsidR="00B30001" w:rsidRPr="0078056B" w:rsidRDefault="00B30001" w:rsidP="00B30001">
      <w:pPr>
        <w:pStyle w:val="TableTitle"/>
      </w:pPr>
      <w:bookmarkStart w:id="432" w:name="_Ref147844515"/>
      <w:bookmarkStart w:id="433" w:name="_Toc155603356"/>
      <w:bookmarkStart w:id="434" w:name="_Toc160803958"/>
      <w:bookmarkStart w:id="435" w:name="_Toc168652169"/>
      <w:r w:rsidRPr="0078056B">
        <w:t>Industry grouping used as part of the multi-regional Input-Output analysis</w:t>
      </w:r>
      <w:bookmarkEnd w:id="432"/>
      <w:bookmarkEnd w:id="433"/>
      <w:bookmarkEnd w:id="434"/>
      <w:bookmarkEnd w:id="435"/>
    </w:p>
    <w:tbl>
      <w:tblPr>
        <w:tblW w:w="8844" w:type="dxa"/>
        <w:tblBorders>
          <w:top w:val="single" w:sz="4" w:space="0" w:color="BFBFBF"/>
          <w:bottom w:val="single" w:sz="4" w:space="0" w:color="BFBFBF"/>
          <w:insideH w:val="single" w:sz="4" w:space="0" w:color="BFBFBF"/>
          <w:insideV w:val="single" w:sz="4" w:space="0" w:color="BFBFBF"/>
        </w:tblBorders>
        <w:tblLayout w:type="fixed"/>
        <w:tblCellMar>
          <w:left w:w="0" w:type="dxa"/>
          <w:right w:w="0" w:type="dxa"/>
        </w:tblCellMar>
        <w:tblLook w:val="0620" w:firstRow="1" w:lastRow="0" w:firstColumn="0" w:lastColumn="0" w:noHBand="1" w:noVBand="1"/>
      </w:tblPr>
      <w:tblGrid>
        <w:gridCol w:w="6521"/>
        <w:gridCol w:w="2323"/>
      </w:tblGrid>
      <w:tr w:rsidR="00B30001" w:rsidRPr="0078056B" w14:paraId="397AC6F3" w14:textId="77777777" w:rsidTr="00C042A1">
        <w:trPr>
          <w:tblHeader/>
        </w:trPr>
        <w:tc>
          <w:tcPr>
            <w:tcW w:w="6521" w:type="dxa"/>
            <w:tcBorders>
              <w:top w:val="single" w:sz="4" w:space="0" w:color="06357A"/>
              <w:bottom w:val="single" w:sz="4" w:space="0" w:color="06357A"/>
            </w:tcBorders>
            <w:shd w:val="clear" w:color="auto" w:fill="auto"/>
          </w:tcPr>
          <w:p w14:paraId="1F50863E" w14:textId="77777777" w:rsidR="00B30001" w:rsidRPr="0078056B" w:rsidRDefault="00B30001" w:rsidP="00C042A1">
            <w:pPr>
              <w:pStyle w:val="TableHeading"/>
            </w:pPr>
            <w:r w:rsidRPr="0078056B">
              <w:t>Industries included in original UK Input-Output table</w:t>
            </w:r>
          </w:p>
        </w:tc>
        <w:tc>
          <w:tcPr>
            <w:tcW w:w="2323" w:type="dxa"/>
            <w:tcBorders>
              <w:top w:val="single" w:sz="4" w:space="0" w:color="06357A"/>
              <w:bottom w:val="single" w:sz="4" w:space="0" w:color="06357A"/>
            </w:tcBorders>
            <w:shd w:val="clear" w:color="auto" w:fill="auto"/>
          </w:tcPr>
          <w:p w14:paraId="6F3AAFE5" w14:textId="77777777" w:rsidR="00B30001" w:rsidRPr="0078056B" w:rsidRDefault="00B30001" w:rsidP="00C042A1">
            <w:pPr>
              <w:pStyle w:val="TableHeading"/>
            </w:pPr>
            <w:r w:rsidRPr="0078056B">
              <w:t>High-level industry group [and UK SIC Codes]</w:t>
            </w:r>
          </w:p>
        </w:tc>
      </w:tr>
      <w:tr w:rsidR="00B30001" w:rsidRPr="0078056B" w14:paraId="105B688C" w14:textId="77777777" w:rsidTr="00C042A1">
        <w:tc>
          <w:tcPr>
            <w:tcW w:w="6521" w:type="dxa"/>
            <w:tcBorders>
              <w:top w:val="single" w:sz="4" w:space="0" w:color="06357A"/>
            </w:tcBorders>
            <w:shd w:val="clear" w:color="auto" w:fill="auto"/>
          </w:tcPr>
          <w:p w14:paraId="362F1B57" w14:textId="77777777" w:rsidR="00B30001" w:rsidRPr="0078056B" w:rsidRDefault="00B30001" w:rsidP="00C042A1">
            <w:pPr>
              <w:pStyle w:val="TableText"/>
            </w:pPr>
            <w:r w:rsidRPr="0078056B">
              <w:t>Crop and animal production, hunting and related service activities</w:t>
            </w:r>
          </w:p>
        </w:tc>
        <w:tc>
          <w:tcPr>
            <w:tcW w:w="2323" w:type="dxa"/>
            <w:vMerge w:val="restart"/>
            <w:tcBorders>
              <w:top w:val="single" w:sz="4" w:space="0" w:color="06357A"/>
            </w:tcBorders>
            <w:shd w:val="clear" w:color="auto" w:fill="auto"/>
          </w:tcPr>
          <w:p w14:paraId="4838A1E3" w14:textId="77777777" w:rsidR="00B30001" w:rsidRPr="0078056B" w:rsidRDefault="00B30001" w:rsidP="00C042A1">
            <w:pPr>
              <w:pStyle w:val="TableText"/>
              <w:rPr>
                <w:rFonts w:asciiTheme="minorHAnsi" w:hAnsiTheme="minorHAnsi" w:cstheme="minorHAnsi"/>
              </w:rPr>
            </w:pPr>
            <w:r w:rsidRPr="0078056B">
              <w:rPr>
                <w:rFonts w:asciiTheme="minorHAnsi" w:hAnsiTheme="minorHAnsi" w:cstheme="minorHAnsi"/>
              </w:rPr>
              <w:t>Agriculture [1-3]</w:t>
            </w:r>
          </w:p>
          <w:p w14:paraId="3FA74DAB" w14:textId="77777777" w:rsidR="00B30001" w:rsidRPr="0078056B" w:rsidRDefault="00B30001" w:rsidP="00C042A1">
            <w:pPr>
              <w:pStyle w:val="TableText"/>
              <w:rPr>
                <w:rFonts w:asciiTheme="minorHAnsi" w:hAnsiTheme="minorHAnsi" w:cstheme="minorHAnsi"/>
              </w:rPr>
            </w:pPr>
          </w:p>
        </w:tc>
      </w:tr>
      <w:tr w:rsidR="00B30001" w:rsidRPr="0078056B" w14:paraId="18191E39" w14:textId="77777777" w:rsidTr="00C042A1">
        <w:tc>
          <w:tcPr>
            <w:tcW w:w="6521" w:type="dxa"/>
            <w:shd w:val="clear" w:color="auto" w:fill="auto"/>
          </w:tcPr>
          <w:p w14:paraId="1DC68B05" w14:textId="77777777" w:rsidR="00B30001" w:rsidRPr="0078056B" w:rsidRDefault="00B30001" w:rsidP="00C042A1">
            <w:pPr>
              <w:pStyle w:val="TableText"/>
            </w:pPr>
            <w:r w:rsidRPr="0078056B">
              <w:t>Forestry and logging</w:t>
            </w:r>
          </w:p>
        </w:tc>
        <w:tc>
          <w:tcPr>
            <w:tcW w:w="2323" w:type="dxa"/>
            <w:vMerge/>
            <w:shd w:val="clear" w:color="auto" w:fill="auto"/>
          </w:tcPr>
          <w:p w14:paraId="64CFEF38" w14:textId="77777777" w:rsidR="00B30001" w:rsidRPr="0078056B" w:rsidRDefault="00B30001" w:rsidP="00C042A1">
            <w:pPr>
              <w:pStyle w:val="TableText"/>
              <w:rPr>
                <w:rFonts w:asciiTheme="minorHAnsi" w:hAnsiTheme="minorHAnsi" w:cstheme="minorHAnsi"/>
              </w:rPr>
            </w:pPr>
          </w:p>
        </w:tc>
      </w:tr>
      <w:tr w:rsidR="00B30001" w:rsidRPr="0078056B" w14:paraId="7FB2CCCC" w14:textId="77777777" w:rsidTr="00C042A1">
        <w:tc>
          <w:tcPr>
            <w:tcW w:w="6521" w:type="dxa"/>
            <w:shd w:val="clear" w:color="auto" w:fill="auto"/>
          </w:tcPr>
          <w:p w14:paraId="16A9333F" w14:textId="77777777" w:rsidR="00B30001" w:rsidRPr="0078056B" w:rsidRDefault="00B30001" w:rsidP="00C042A1">
            <w:pPr>
              <w:pStyle w:val="TableText"/>
            </w:pPr>
            <w:r w:rsidRPr="0078056B">
              <w:t>Fishing and aquaculture</w:t>
            </w:r>
          </w:p>
        </w:tc>
        <w:tc>
          <w:tcPr>
            <w:tcW w:w="2323" w:type="dxa"/>
            <w:vMerge/>
            <w:shd w:val="clear" w:color="auto" w:fill="auto"/>
          </w:tcPr>
          <w:p w14:paraId="741FB6C0" w14:textId="77777777" w:rsidR="00B30001" w:rsidRPr="0078056B" w:rsidRDefault="00B30001" w:rsidP="00C042A1">
            <w:pPr>
              <w:pStyle w:val="TableText"/>
              <w:rPr>
                <w:rFonts w:asciiTheme="minorHAnsi" w:hAnsiTheme="minorHAnsi" w:cstheme="minorHAnsi"/>
              </w:rPr>
            </w:pPr>
          </w:p>
        </w:tc>
      </w:tr>
      <w:tr w:rsidR="00B30001" w:rsidRPr="0078056B" w14:paraId="2852AA2E" w14:textId="77777777" w:rsidTr="00C042A1">
        <w:tc>
          <w:tcPr>
            <w:tcW w:w="6521" w:type="dxa"/>
            <w:shd w:val="clear" w:color="auto" w:fill="auto"/>
          </w:tcPr>
          <w:p w14:paraId="0967A16D" w14:textId="77777777" w:rsidR="00B30001" w:rsidRPr="0078056B" w:rsidRDefault="00B30001" w:rsidP="00C042A1">
            <w:pPr>
              <w:pStyle w:val="TableText"/>
            </w:pPr>
            <w:r w:rsidRPr="0078056B">
              <w:t>Mining and quarrying</w:t>
            </w:r>
          </w:p>
        </w:tc>
        <w:tc>
          <w:tcPr>
            <w:tcW w:w="2323" w:type="dxa"/>
            <w:vMerge w:val="restart"/>
            <w:shd w:val="clear" w:color="auto" w:fill="auto"/>
          </w:tcPr>
          <w:p w14:paraId="67A89B0D" w14:textId="77777777" w:rsidR="00B30001" w:rsidRPr="0078056B" w:rsidRDefault="00B30001" w:rsidP="00C042A1">
            <w:pPr>
              <w:pStyle w:val="TableText"/>
              <w:rPr>
                <w:rFonts w:asciiTheme="minorHAnsi" w:hAnsiTheme="minorHAnsi" w:cstheme="minorHAnsi"/>
              </w:rPr>
            </w:pPr>
            <w:r w:rsidRPr="0078056B">
              <w:rPr>
                <w:rFonts w:asciiTheme="minorHAnsi" w:hAnsiTheme="minorHAnsi" w:cstheme="minorHAnsi"/>
              </w:rPr>
              <w:t>Production [5-39]</w:t>
            </w:r>
          </w:p>
          <w:p w14:paraId="4A51345D" w14:textId="77777777" w:rsidR="00B30001" w:rsidRPr="0078056B" w:rsidRDefault="00B30001" w:rsidP="00C042A1">
            <w:pPr>
              <w:pStyle w:val="TableText"/>
              <w:rPr>
                <w:rFonts w:asciiTheme="minorHAnsi" w:hAnsiTheme="minorHAnsi" w:cstheme="minorHAnsi"/>
              </w:rPr>
            </w:pPr>
          </w:p>
        </w:tc>
      </w:tr>
      <w:tr w:rsidR="00B30001" w:rsidRPr="0078056B" w14:paraId="3A993666" w14:textId="77777777" w:rsidTr="00C042A1">
        <w:tc>
          <w:tcPr>
            <w:tcW w:w="6521" w:type="dxa"/>
            <w:shd w:val="clear" w:color="auto" w:fill="auto"/>
          </w:tcPr>
          <w:p w14:paraId="06576AC0" w14:textId="77777777" w:rsidR="00B30001" w:rsidRPr="0078056B" w:rsidRDefault="00B30001" w:rsidP="00C042A1">
            <w:pPr>
              <w:pStyle w:val="TableText"/>
            </w:pPr>
            <w:r w:rsidRPr="0078056B">
              <w:t>Manufacture of food products, beverages, and tobacco products</w:t>
            </w:r>
          </w:p>
        </w:tc>
        <w:tc>
          <w:tcPr>
            <w:tcW w:w="2323" w:type="dxa"/>
            <w:vMerge/>
            <w:shd w:val="clear" w:color="auto" w:fill="auto"/>
          </w:tcPr>
          <w:p w14:paraId="62A6F887" w14:textId="77777777" w:rsidR="00B30001" w:rsidRPr="0078056B" w:rsidRDefault="00B30001" w:rsidP="00C042A1">
            <w:pPr>
              <w:pStyle w:val="TableText"/>
              <w:rPr>
                <w:rFonts w:asciiTheme="minorHAnsi" w:hAnsiTheme="minorHAnsi" w:cstheme="minorHAnsi"/>
              </w:rPr>
            </w:pPr>
          </w:p>
        </w:tc>
      </w:tr>
      <w:tr w:rsidR="00B30001" w:rsidRPr="0078056B" w14:paraId="5F5D75C4" w14:textId="77777777" w:rsidTr="00C042A1">
        <w:tc>
          <w:tcPr>
            <w:tcW w:w="6521" w:type="dxa"/>
            <w:shd w:val="clear" w:color="auto" w:fill="auto"/>
          </w:tcPr>
          <w:p w14:paraId="22C8BB5A" w14:textId="77777777" w:rsidR="00B30001" w:rsidRPr="0078056B" w:rsidRDefault="00B30001" w:rsidP="00C042A1">
            <w:pPr>
              <w:pStyle w:val="TableText"/>
            </w:pPr>
            <w:r w:rsidRPr="0078056B">
              <w:t>Manufacture of textiles, wearing apparel and leather products</w:t>
            </w:r>
          </w:p>
        </w:tc>
        <w:tc>
          <w:tcPr>
            <w:tcW w:w="2323" w:type="dxa"/>
            <w:vMerge/>
            <w:shd w:val="clear" w:color="auto" w:fill="auto"/>
          </w:tcPr>
          <w:p w14:paraId="09C82C70" w14:textId="77777777" w:rsidR="00B30001" w:rsidRPr="0078056B" w:rsidRDefault="00B30001" w:rsidP="00C042A1">
            <w:pPr>
              <w:pStyle w:val="TableText"/>
              <w:rPr>
                <w:rFonts w:asciiTheme="minorHAnsi" w:hAnsiTheme="minorHAnsi" w:cstheme="minorHAnsi"/>
              </w:rPr>
            </w:pPr>
          </w:p>
        </w:tc>
      </w:tr>
      <w:tr w:rsidR="00B30001" w:rsidRPr="0078056B" w14:paraId="51F55DEE" w14:textId="77777777" w:rsidTr="00C042A1">
        <w:tc>
          <w:tcPr>
            <w:tcW w:w="6521" w:type="dxa"/>
            <w:shd w:val="clear" w:color="auto" w:fill="auto"/>
          </w:tcPr>
          <w:p w14:paraId="1F7BB912" w14:textId="77777777" w:rsidR="00B30001" w:rsidRPr="0078056B" w:rsidRDefault="00B30001" w:rsidP="00C042A1">
            <w:pPr>
              <w:pStyle w:val="TableText"/>
            </w:pPr>
            <w:r w:rsidRPr="0078056B">
              <w:lastRenderedPageBreak/>
              <w:t>Manufacture of wood and of products of wood and cork, except furniture; manufacture of articles of straw and plaiting materials</w:t>
            </w:r>
          </w:p>
        </w:tc>
        <w:tc>
          <w:tcPr>
            <w:tcW w:w="2323" w:type="dxa"/>
            <w:vMerge/>
            <w:shd w:val="clear" w:color="auto" w:fill="auto"/>
          </w:tcPr>
          <w:p w14:paraId="6877AB59" w14:textId="77777777" w:rsidR="00B30001" w:rsidRPr="0078056B" w:rsidRDefault="00B30001" w:rsidP="00C042A1">
            <w:pPr>
              <w:pStyle w:val="TableText"/>
              <w:rPr>
                <w:rFonts w:asciiTheme="minorHAnsi" w:hAnsiTheme="minorHAnsi" w:cstheme="minorHAnsi"/>
              </w:rPr>
            </w:pPr>
          </w:p>
        </w:tc>
      </w:tr>
      <w:tr w:rsidR="00B30001" w:rsidRPr="0078056B" w14:paraId="70CFDF67" w14:textId="77777777" w:rsidTr="00C042A1">
        <w:tc>
          <w:tcPr>
            <w:tcW w:w="6521" w:type="dxa"/>
            <w:shd w:val="clear" w:color="auto" w:fill="auto"/>
          </w:tcPr>
          <w:p w14:paraId="4D21632E" w14:textId="77777777" w:rsidR="00B30001" w:rsidRPr="0078056B" w:rsidRDefault="00B30001" w:rsidP="00C042A1">
            <w:pPr>
              <w:pStyle w:val="TableText"/>
            </w:pPr>
            <w:r w:rsidRPr="0078056B">
              <w:t>Manufacture of paper and paper products</w:t>
            </w:r>
          </w:p>
        </w:tc>
        <w:tc>
          <w:tcPr>
            <w:tcW w:w="2323" w:type="dxa"/>
            <w:vMerge/>
            <w:shd w:val="clear" w:color="auto" w:fill="auto"/>
          </w:tcPr>
          <w:p w14:paraId="14E6AEE2" w14:textId="77777777" w:rsidR="00B30001" w:rsidRPr="0078056B" w:rsidRDefault="00B30001" w:rsidP="00C042A1">
            <w:pPr>
              <w:pStyle w:val="TableText"/>
              <w:rPr>
                <w:rFonts w:asciiTheme="minorHAnsi" w:hAnsiTheme="minorHAnsi" w:cstheme="minorHAnsi"/>
              </w:rPr>
            </w:pPr>
          </w:p>
        </w:tc>
      </w:tr>
      <w:tr w:rsidR="00B30001" w:rsidRPr="0078056B" w14:paraId="65EF620B" w14:textId="77777777" w:rsidTr="00C042A1">
        <w:tc>
          <w:tcPr>
            <w:tcW w:w="6521" w:type="dxa"/>
            <w:shd w:val="clear" w:color="auto" w:fill="auto"/>
          </w:tcPr>
          <w:p w14:paraId="71BA614F" w14:textId="77777777" w:rsidR="00B30001" w:rsidRPr="0078056B" w:rsidRDefault="00B30001" w:rsidP="00C042A1">
            <w:pPr>
              <w:pStyle w:val="TableText"/>
            </w:pPr>
            <w:r w:rsidRPr="0078056B">
              <w:t>Printing and reproduction of recorded media</w:t>
            </w:r>
          </w:p>
        </w:tc>
        <w:tc>
          <w:tcPr>
            <w:tcW w:w="2323" w:type="dxa"/>
            <w:vMerge/>
            <w:shd w:val="clear" w:color="auto" w:fill="auto"/>
          </w:tcPr>
          <w:p w14:paraId="16340D50" w14:textId="77777777" w:rsidR="00B30001" w:rsidRPr="0078056B" w:rsidRDefault="00B30001" w:rsidP="00C042A1">
            <w:pPr>
              <w:pStyle w:val="TableText"/>
              <w:rPr>
                <w:rFonts w:asciiTheme="minorHAnsi" w:hAnsiTheme="minorHAnsi" w:cstheme="minorHAnsi"/>
              </w:rPr>
            </w:pPr>
          </w:p>
        </w:tc>
      </w:tr>
      <w:tr w:rsidR="00B30001" w:rsidRPr="0078056B" w14:paraId="093CC706" w14:textId="77777777" w:rsidTr="00C042A1">
        <w:tc>
          <w:tcPr>
            <w:tcW w:w="6521" w:type="dxa"/>
            <w:shd w:val="clear" w:color="auto" w:fill="auto"/>
          </w:tcPr>
          <w:p w14:paraId="2B9131BD" w14:textId="77777777" w:rsidR="00B30001" w:rsidRPr="0078056B" w:rsidRDefault="00B30001" w:rsidP="00C042A1">
            <w:pPr>
              <w:pStyle w:val="TableText"/>
            </w:pPr>
            <w:r w:rsidRPr="0078056B">
              <w:t xml:space="preserve">Manufacture of coke and refined petroleum products </w:t>
            </w:r>
          </w:p>
        </w:tc>
        <w:tc>
          <w:tcPr>
            <w:tcW w:w="2323" w:type="dxa"/>
            <w:vMerge/>
            <w:shd w:val="clear" w:color="auto" w:fill="auto"/>
          </w:tcPr>
          <w:p w14:paraId="7C2DEF28" w14:textId="77777777" w:rsidR="00B30001" w:rsidRPr="0078056B" w:rsidRDefault="00B30001" w:rsidP="00C042A1">
            <w:pPr>
              <w:pStyle w:val="TableText"/>
              <w:rPr>
                <w:rFonts w:asciiTheme="minorHAnsi" w:hAnsiTheme="minorHAnsi" w:cstheme="minorHAnsi"/>
              </w:rPr>
            </w:pPr>
          </w:p>
        </w:tc>
      </w:tr>
      <w:tr w:rsidR="00B30001" w:rsidRPr="0078056B" w14:paraId="5E8B676D" w14:textId="77777777" w:rsidTr="00C042A1">
        <w:tc>
          <w:tcPr>
            <w:tcW w:w="6521" w:type="dxa"/>
            <w:shd w:val="clear" w:color="auto" w:fill="auto"/>
          </w:tcPr>
          <w:p w14:paraId="7BABDD76" w14:textId="77777777" w:rsidR="00B30001" w:rsidRPr="0078056B" w:rsidRDefault="00B30001" w:rsidP="00C042A1">
            <w:pPr>
              <w:pStyle w:val="TableText"/>
            </w:pPr>
            <w:r w:rsidRPr="0078056B">
              <w:t>Manufacture of chemicals and chemical products</w:t>
            </w:r>
          </w:p>
        </w:tc>
        <w:tc>
          <w:tcPr>
            <w:tcW w:w="2323" w:type="dxa"/>
            <w:vMerge/>
            <w:shd w:val="clear" w:color="auto" w:fill="auto"/>
          </w:tcPr>
          <w:p w14:paraId="0B5BDF1F" w14:textId="77777777" w:rsidR="00B30001" w:rsidRPr="0078056B" w:rsidRDefault="00B30001" w:rsidP="00C042A1">
            <w:pPr>
              <w:pStyle w:val="TableText"/>
              <w:rPr>
                <w:rFonts w:asciiTheme="minorHAnsi" w:hAnsiTheme="minorHAnsi" w:cstheme="minorHAnsi"/>
              </w:rPr>
            </w:pPr>
          </w:p>
        </w:tc>
      </w:tr>
      <w:tr w:rsidR="00B30001" w:rsidRPr="0078056B" w14:paraId="09D98DED" w14:textId="77777777" w:rsidTr="00C042A1">
        <w:tc>
          <w:tcPr>
            <w:tcW w:w="6521" w:type="dxa"/>
            <w:shd w:val="clear" w:color="auto" w:fill="auto"/>
          </w:tcPr>
          <w:p w14:paraId="250B9F29" w14:textId="77777777" w:rsidR="00B30001" w:rsidRPr="0078056B" w:rsidRDefault="00B30001" w:rsidP="00C042A1">
            <w:pPr>
              <w:pStyle w:val="TableText"/>
            </w:pPr>
            <w:r w:rsidRPr="0078056B">
              <w:t>Manufacture of basic pharmaceutical products and pharmaceutical preparations</w:t>
            </w:r>
          </w:p>
        </w:tc>
        <w:tc>
          <w:tcPr>
            <w:tcW w:w="2323" w:type="dxa"/>
            <w:vMerge/>
            <w:shd w:val="clear" w:color="auto" w:fill="auto"/>
          </w:tcPr>
          <w:p w14:paraId="49E5A436" w14:textId="77777777" w:rsidR="00B30001" w:rsidRPr="0078056B" w:rsidRDefault="00B30001" w:rsidP="00C042A1">
            <w:pPr>
              <w:pStyle w:val="TableText"/>
              <w:rPr>
                <w:rFonts w:asciiTheme="minorHAnsi" w:hAnsiTheme="minorHAnsi" w:cstheme="minorHAnsi"/>
              </w:rPr>
            </w:pPr>
          </w:p>
        </w:tc>
      </w:tr>
      <w:tr w:rsidR="00B30001" w:rsidRPr="0078056B" w14:paraId="67CEA5F2" w14:textId="77777777" w:rsidTr="00C042A1">
        <w:tc>
          <w:tcPr>
            <w:tcW w:w="6521" w:type="dxa"/>
            <w:shd w:val="clear" w:color="auto" w:fill="auto"/>
          </w:tcPr>
          <w:p w14:paraId="7A267C8F" w14:textId="77777777" w:rsidR="00B30001" w:rsidRPr="0078056B" w:rsidRDefault="00B30001" w:rsidP="00C042A1">
            <w:pPr>
              <w:pStyle w:val="TableText"/>
            </w:pPr>
            <w:r w:rsidRPr="0078056B">
              <w:t>Manufacture of rubber and plastic products</w:t>
            </w:r>
          </w:p>
        </w:tc>
        <w:tc>
          <w:tcPr>
            <w:tcW w:w="2323" w:type="dxa"/>
            <w:vMerge/>
            <w:shd w:val="clear" w:color="auto" w:fill="auto"/>
          </w:tcPr>
          <w:p w14:paraId="31857462" w14:textId="77777777" w:rsidR="00B30001" w:rsidRPr="0078056B" w:rsidRDefault="00B30001" w:rsidP="00C042A1">
            <w:pPr>
              <w:pStyle w:val="TableText"/>
              <w:rPr>
                <w:rFonts w:asciiTheme="minorHAnsi" w:hAnsiTheme="minorHAnsi" w:cstheme="minorHAnsi"/>
              </w:rPr>
            </w:pPr>
          </w:p>
        </w:tc>
      </w:tr>
      <w:tr w:rsidR="00B30001" w:rsidRPr="0078056B" w14:paraId="4B0A929B" w14:textId="77777777" w:rsidTr="00C042A1">
        <w:tc>
          <w:tcPr>
            <w:tcW w:w="6521" w:type="dxa"/>
            <w:shd w:val="clear" w:color="auto" w:fill="auto"/>
          </w:tcPr>
          <w:p w14:paraId="7DC126A7" w14:textId="77777777" w:rsidR="00B30001" w:rsidRPr="0078056B" w:rsidRDefault="00B30001" w:rsidP="00C042A1">
            <w:pPr>
              <w:pStyle w:val="TableText"/>
            </w:pPr>
            <w:r w:rsidRPr="0078056B">
              <w:t>Manufacture of other non-metallic mineral products</w:t>
            </w:r>
          </w:p>
        </w:tc>
        <w:tc>
          <w:tcPr>
            <w:tcW w:w="2323" w:type="dxa"/>
            <w:vMerge/>
            <w:shd w:val="clear" w:color="auto" w:fill="auto"/>
          </w:tcPr>
          <w:p w14:paraId="75F4CA87" w14:textId="77777777" w:rsidR="00B30001" w:rsidRPr="0078056B" w:rsidRDefault="00B30001" w:rsidP="00C042A1">
            <w:pPr>
              <w:pStyle w:val="TableText"/>
              <w:rPr>
                <w:rFonts w:asciiTheme="minorHAnsi" w:hAnsiTheme="minorHAnsi" w:cstheme="minorHAnsi"/>
              </w:rPr>
            </w:pPr>
          </w:p>
        </w:tc>
      </w:tr>
      <w:tr w:rsidR="00B30001" w:rsidRPr="0078056B" w14:paraId="411A72EE" w14:textId="77777777" w:rsidTr="00C042A1">
        <w:tc>
          <w:tcPr>
            <w:tcW w:w="6521" w:type="dxa"/>
            <w:shd w:val="clear" w:color="auto" w:fill="auto"/>
          </w:tcPr>
          <w:p w14:paraId="6FA71DFF" w14:textId="77777777" w:rsidR="00B30001" w:rsidRPr="0078056B" w:rsidRDefault="00B30001" w:rsidP="00C042A1">
            <w:pPr>
              <w:pStyle w:val="TableText"/>
            </w:pPr>
            <w:r w:rsidRPr="0078056B">
              <w:t>Manufacture of basic metals</w:t>
            </w:r>
          </w:p>
        </w:tc>
        <w:tc>
          <w:tcPr>
            <w:tcW w:w="2323" w:type="dxa"/>
            <w:vMerge/>
            <w:shd w:val="clear" w:color="auto" w:fill="auto"/>
          </w:tcPr>
          <w:p w14:paraId="7936A9BB" w14:textId="77777777" w:rsidR="00B30001" w:rsidRPr="0078056B" w:rsidRDefault="00B30001" w:rsidP="00C042A1">
            <w:pPr>
              <w:pStyle w:val="TableText"/>
              <w:rPr>
                <w:rFonts w:asciiTheme="minorHAnsi" w:hAnsiTheme="minorHAnsi" w:cstheme="minorHAnsi"/>
              </w:rPr>
            </w:pPr>
          </w:p>
        </w:tc>
      </w:tr>
      <w:tr w:rsidR="00B30001" w:rsidRPr="0078056B" w14:paraId="7684AA42" w14:textId="77777777" w:rsidTr="00C042A1">
        <w:tc>
          <w:tcPr>
            <w:tcW w:w="6521" w:type="dxa"/>
            <w:shd w:val="clear" w:color="auto" w:fill="auto"/>
          </w:tcPr>
          <w:p w14:paraId="2EB7E203" w14:textId="77777777" w:rsidR="00B30001" w:rsidRPr="0078056B" w:rsidRDefault="00B30001" w:rsidP="00C042A1">
            <w:pPr>
              <w:pStyle w:val="TableText"/>
            </w:pPr>
            <w:r w:rsidRPr="0078056B">
              <w:t>Manufacture of fabricated metal products, except machinery and equipment</w:t>
            </w:r>
          </w:p>
        </w:tc>
        <w:tc>
          <w:tcPr>
            <w:tcW w:w="2323" w:type="dxa"/>
            <w:vMerge/>
            <w:shd w:val="clear" w:color="auto" w:fill="auto"/>
          </w:tcPr>
          <w:p w14:paraId="5F6666DA" w14:textId="77777777" w:rsidR="00B30001" w:rsidRPr="0078056B" w:rsidRDefault="00B30001" w:rsidP="00C042A1">
            <w:pPr>
              <w:pStyle w:val="TableText"/>
              <w:rPr>
                <w:rFonts w:asciiTheme="minorHAnsi" w:hAnsiTheme="minorHAnsi" w:cstheme="minorHAnsi"/>
              </w:rPr>
            </w:pPr>
          </w:p>
        </w:tc>
      </w:tr>
      <w:tr w:rsidR="00B30001" w:rsidRPr="0078056B" w14:paraId="547741A2" w14:textId="77777777" w:rsidTr="00C042A1">
        <w:tc>
          <w:tcPr>
            <w:tcW w:w="6521" w:type="dxa"/>
            <w:shd w:val="clear" w:color="auto" w:fill="auto"/>
          </w:tcPr>
          <w:p w14:paraId="5A84A9D9" w14:textId="77777777" w:rsidR="00B30001" w:rsidRPr="0078056B" w:rsidRDefault="00B30001" w:rsidP="00C042A1">
            <w:pPr>
              <w:pStyle w:val="TableText"/>
            </w:pPr>
            <w:r w:rsidRPr="0078056B">
              <w:t>Manufacture of computer, electronic and optical products</w:t>
            </w:r>
          </w:p>
        </w:tc>
        <w:tc>
          <w:tcPr>
            <w:tcW w:w="2323" w:type="dxa"/>
            <w:vMerge/>
            <w:shd w:val="clear" w:color="auto" w:fill="auto"/>
          </w:tcPr>
          <w:p w14:paraId="2E74DE0C" w14:textId="77777777" w:rsidR="00B30001" w:rsidRPr="0078056B" w:rsidRDefault="00B30001" w:rsidP="00C042A1">
            <w:pPr>
              <w:pStyle w:val="TableText"/>
              <w:rPr>
                <w:rFonts w:asciiTheme="minorHAnsi" w:hAnsiTheme="minorHAnsi" w:cstheme="minorHAnsi"/>
              </w:rPr>
            </w:pPr>
          </w:p>
        </w:tc>
      </w:tr>
      <w:tr w:rsidR="00B30001" w:rsidRPr="0078056B" w14:paraId="110A6402" w14:textId="77777777" w:rsidTr="00C042A1">
        <w:tc>
          <w:tcPr>
            <w:tcW w:w="6521" w:type="dxa"/>
            <w:shd w:val="clear" w:color="auto" w:fill="auto"/>
          </w:tcPr>
          <w:p w14:paraId="7E1DC46E" w14:textId="77777777" w:rsidR="00B30001" w:rsidRPr="0078056B" w:rsidRDefault="00B30001" w:rsidP="00C042A1">
            <w:pPr>
              <w:pStyle w:val="TableText"/>
            </w:pPr>
            <w:r w:rsidRPr="0078056B">
              <w:t>Manufacture of electrical equipment</w:t>
            </w:r>
          </w:p>
        </w:tc>
        <w:tc>
          <w:tcPr>
            <w:tcW w:w="2323" w:type="dxa"/>
            <w:vMerge/>
            <w:shd w:val="clear" w:color="auto" w:fill="auto"/>
          </w:tcPr>
          <w:p w14:paraId="5705B555" w14:textId="77777777" w:rsidR="00B30001" w:rsidRPr="0078056B" w:rsidRDefault="00B30001" w:rsidP="00C042A1">
            <w:pPr>
              <w:pStyle w:val="TableText"/>
              <w:rPr>
                <w:rFonts w:asciiTheme="minorHAnsi" w:hAnsiTheme="minorHAnsi" w:cstheme="minorHAnsi"/>
              </w:rPr>
            </w:pPr>
          </w:p>
        </w:tc>
      </w:tr>
      <w:tr w:rsidR="00B30001" w:rsidRPr="0078056B" w14:paraId="49741373" w14:textId="77777777" w:rsidTr="00C042A1">
        <w:tc>
          <w:tcPr>
            <w:tcW w:w="6521" w:type="dxa"/>
            <w:shd w:val="clear" w:color="auto" w:fill="auto"/>
          </w:tcPr>
          <w:p w14:paraId="56AB6A4E" w14:textId="77777777" w:rsidR="00B30001" w:rsidRPr="0078056B" w:rsidRDefault="00B30001" w:rsidP="00C042A1">
            <w:pPr>
              <w:pStyle w:val="TableText"/>
            </w:pPr>
            <w:r w:rsidRPr="0078056B">
              <w:t>Manufacture of machinery and equipment n.e.c.</w:t>
            </w:r>
          </w:p>
        </w:tc>
        <w:tc>
          <w:tcPr>
            <w:tcW w:w="2323" w:type="dxa"/>
            <w:vMerge/>
            <w:shd w:val="clear" w:color="auto" w:fill="auto"/>
          </w:tcPr>
          <w:p w14:paraId="091A1A6A" w14:textId="77777777" w:rsidR="00B30001" w:rsidRPr="0078056B" w:rsidRDefault="00B30001" w:rsidP="00C042A1">
            <w:pPr>
              <w:pStyle w:val="TableText"/>
              <w:rPr>
                <w:rFonts w:asciiTheme="minorHAnsi" w:hAnsiTheme="minorHAnsi" w:cstheme="minorHAnsi"/>
              </w:rPr>
            </w:pPr>
          </w:p>
        </w:tc>
      </w:tr>
      <w:tr w:rsidR="00B30001" w:rsidRPr="0078056B" w14:paraId="48FE328C" w14:textId="77777777" w:rsidTr="00C042A1">
        <w:tc>
          <w:tcPr>
            <w:tcW w:w="6521" w:type="dxa"/>
            <w:shd w:val="clear" w:color="auto" w:fill="auto"/>
          </w:tcPr>
          <w:p w14:paraId="051AEC70" w14:textId="77777777" w:rsidR="00B30001" w:rsidRPr="0078056B" w:rsidRDefault="00B30001" w:rsidP="00C042A1">
            <w:pPr>
              <w:pStyle w:val="TableText"/>
            </w:pPr>
            <w:r w:rsidRPr="0078056B">
              <w:t>Manufacture of motor vehicles, trailers and semi-trailers</w:t>
            </w:r>
          </w:p>
        </w:tc>
        <w:tc>
          <w:tcPr>
            <w:tcW w:w="2323" w:type="dxa"/>
            <w:vMerge/>
            <w:shd w:val="clear" w:color="auto" w:fill="auto"/>
          </w:tcPr>
          <w:p w14:paraId="74ED2700" w14:textId="77777777" w:rsidR="00B30001" w:rsidRPr="0078056B" w:rsidRDefault="00B30001" w:rsidP="00C042A1">
            <w:pPr>
              <w:pStyle w:val="TableText"/>
              <w:rPr>
                <w:rFonts w:asciiTheme="minorHAnsi" w:hAnsiTheme="minorHAnsi" w:cstheme="minorHAnsi"/>
              </w:rPr>
            </w:pPr>
          </w:p>
        </w:tc>
      </w:tr>
      <w:tr w:rsidR="00B30001" w:rsidRPr="0078056B" w14:paraId="123DD161" w14:textId="77777777" w:rsidTr="00C042A1">
        <w:tc>
          <w:tcPr>
            <w:tcW w:w="6521" w:type="dxa"/>
            <w:shd w:val="clear" w:color="auto" w:fill="auto"/>
          </w:tcPr>
          <w:p w14:paraId="5AE5EEF6" w14:textId="77777777" w:rsidR="00B30001" w:rsidRPr="0078056B" w:rsidRDefault="00B30001" w:rsidP="00C042A1">
            <w:pPr>
              <w:pStyle w:val="TableText"/>
            </w:pPr>
            <w:r w:rsidRPr="0078056B">
              <w:t>Manufacture of other transport equipment</w:t>
            </w:r>
          </w:p>
        </w:tc>
        <w:tc>
          <w:tcPr>
            <w:tcW w:w="2323" w:type="dxa"/>
            <w:vMerge/>
            <w:shd w:val="clear" w:color="auto" w:fill="auto"/>
          </w:tcPr>
          <w:p w14:paraId="420D45DC" w14:textId="77777777" w:rsidR="00B30001" w:rsidRPr="0078056B" w:rsidRDefault="00B30001" w:rsidP="00C042A1">
            <w:pPr>
              <w:pStyle w:val="TableText"/>
              <w:rPr>
                <w:rFonts w:asciiTheme="minorHAnsi" w:hAnsiTheme="minorHAnsi" w:cstheme="minorHAnsi"/>
              </w:rPr>
            </w:pPr>
          </w:p>
        </w:tc>
      </w:tr>
      <w:tr w:rsidR="00B30001" w:rsidRPr="0078056B" w14:paraId="181B525F" w14:textId="77777777" w:rsidTr="00C042A1">
        <w:tc>
          <w:tcPr>
            <w:tcW w:w="6521" w:type="dxa"/>
            <w:shd w:val="clear" w:color="auto" w:fill="auto"/>
          </w:tcPr>
          <w:p w14:paraId="68964283" w14:textId="77777777" w:rsidR="00B30001" w:rsidRPr="0078056B" w:rsidRDefault="00B30001" w:rsidP="00C042A1">
            <w:pPr>
              <w:pStyle w:val="TableText"/>
            </w:pPr>
            <w:r w:rsidRPr="0078056B">
              <w:t>Manufacture of furniture; other manufacturing</w:t>
            </w:r>
          </w:p>
        </w:tc>
        <w:tc>
          <w:tcPr>
            <w:tcW w:w="2323" w:type="dxa"/>
            <w:vMerge/>
            <w:shd w:val="clear" w:color="auto" w:fill="auto"/>
          </w:tcPr>
          <w:p w14:paraId="67829858" w14:textId="77777777" w:rsidR="00B30001" w:rsidRPr="0078056B" w:rsidRDefault="00B30001" w:rsidP="00C042A1">
            <w:pPr>
              <w:pStyle w:val="TableText"/>
              <w:rPr>
                <w:rFonts w:asciiTheme="minorHAnsi" w:hAnsiTheme="minorHAnsi" w:cstheme="minorHAnsi"/>
              </w:rPr>
            </w:pPr>
          </w:p>
        </w:tc>
      </w:tr>
      <w:tr w:rsidR="00B30001" w:rsidRPr="0078056B" w14:paraId="649D799A" w14:textId="77777777" w:rsidTr="00C042A1">
        <w:tc>
          <w:tcPr>
            <w:tcW w:w="6521" w:type="dxa"/>
            <w:shd w:val="clear" w:color="auto" w:fill="auto"/>
          </w:tcPr>
          <w:p w14:paraId="6B33B74A" w14:textId="77777777" w:rsidR="00B30001" w:rsidRPr="0078056B" w:rsidRDefault="00B30001" w:rsidP="00C042A1">
            <w:pPr>
              <w:pStyle w:val="TableText"/>
            </w:pPr>
            <w:r w:rsidRPr="0078056B">
              <w:t>Repair and installation of machinery and equipment</w:t>
            </w:r>
          </w:p>
        </w:tc>
        <w:tc>
          <w:tcPr>
            <w:tcW w:w="2323" w:type="dxa"/>
            <w:vMerge/>
            <w:shd w:val="clear" w:color="auto" w:fill="auto"/>
          </w:tcPr>
          <w:p w14:paraId="3A0B753D" w14:textId="77777777" w:rsidR="00B30001" w:rsidRPr="0078056B" w:rsidRDefault="00B30001" w:rsidP="00C042A1">
            <w:pPr>
              <w:pStyle w:val="TableText"/>
              <w:rPr>
                <w:rFonts w:asciiTheme="minorHAnsi" w:hAnsiTheme="minorHAnsi" w:cstheme="minorHAnsi"/>
              </w:rPr>
            </w:pPr>
          </w:p>
        </w:tc>
      </w:tr>
      <w:tr w:rsidR="00B30001" w:rsidRPr="0078056B" w14:paraId="18022801" w14:textId="77777777" w:rsidTr="00C042A1">
        <w:tc>
          <w:tcPr>
            <w:tcW w:w="6521" w:type="dxa"/>
            <w:shd w:val="clear" w:color="auto" w:fill="auto"/>
          </w:tcPr>
          <w:p w14:paraId="084EFDFD" w14:textId="77777777" w:rsidR="00B30001" w:rsidRPr="0078056B" w:rsidRDefault="00B30001" w:rsidP="00C042A1">
            <w:pPr>
              <w:pStyle w:val="TableText"/>
            </w:pPr>
            <w:r w:rsidRPr="0078056B">
              <w:t>Electricity, gas, steam, and air conditioning supply</w:t>
            </w:r>
          </w:p>
        </w:tc>
        <w:tc>
          <w:tcPr>
            <w:tcW w:w="2323" w:type="dxa"/>
            <w:vMerge/>
            <w:shd w:val="clear" w:color="auto" w:fill="auto"/>
          </w:tcPr>
          <w:p w14:paraId="59727BBF" w14:textId="77777777" w:rsidR="00B30001" w:rsidRPr="0078056B" w:rsidRDefault="00B30001" w:rsidP="00C042A1">
            <w:pPr>
              <w:pStyle w:val="TableText"/>
              <w:rPr>
                <w:rFonts w:asciiTheme="minorHAnsi" w:hAnsiTheme="minorHAnsi" w:cstheme="minorHAnsi"/>
              </w:rPr>
            </w:pPr>
          </w:p>
        </w:tc>
      </w:tr>
      <w:tr w:rsidR="00B30001" w:rsidRPr="0078056B" w14:paraId="538E6420" w14:textId="77777777" w:rsidTr="00C042A1">
        <w:tc>
          <w:tcPr>
            <w:tcW w:w="6521" w:type="dxa"/>
            <w:shd w:val="clear" w:color="auto" w:fill="auto"/>
          </w:tcPr>
          <w:p w14:paraId="25C56B22" w14:textId="77777777" w:rsidR="00B30001" w:rsidRPr="0078056B" w:rsidRDefault="00B30001" w:rsidP="00C042A1">
            <w:pPr>
              <w:pStyle w:val="TableText"/>
            </w:pPr>
            <w:r w:rsidRPr="0078056B">
              <w:t>Water collection, treatment and supply</w:t>
            </w:r>
          </w:p>
        </w:tc>
        <w:tc>
          <w:tcPr>
            <w:tcW w:w="2323" w:type="dxa"/>
            <w:vMerge/>
            <w:shd w:val="clear" w:color="auto" w:fill="auto"/>
          </w:tcPr>
          <w:p w14:paraId="21ABB6BE" w14:textId="77777777" w:rsidR="00B30001" w:rsidRPr="0078056B" w:rsidRDefault="00B30001" w:rsidP="00C042A1">
            <w:pPr>
              <w:pStyle w:val="TableText"/>
              <w:rPr>
                <w:rFonts w:asciiTheme="minorHAnsi" w:hAnsiTheme="minorHAnsi" w:cstheme="minorHAnsi"/>
              </w:rPr>
            </w:pPr>
          </w:p>
        </w:tc>
      </w:tr>
      <w:tr w:rsidR="00B30001" w:rsidRPr="0078056B" w14:paraId="719BD572" w14:textId="77777777" w:rsidTr="00C042A1">
        <w:tc>
          <w:tcPr>
            <w:tcW w:w="6521" w:type="dxa"/>
            <w:shd w:val="clear" w:color="auto" w:fill="auto"/>
          </w:tcPr>
          <w:p w14:paraId="18A3F5F2" w14:textId="77777777" w:rsidR="00B30001" w:rsidRPr="0078056B" w:rsidRDefault="00B30001" w:rsidP="00C042A1">
            <w:pPr>
              <w:pStyle w:val="TableText"/>
            </w:pPr>
            <w:r w:rsidRPr="0078056B">
              <w:t xml:space="preserve">Sewerage; waste collection, treatment, and disposal activities; materials recovery; remediation activities and other waste management services </w:t>
            </w:r>
          </w:p>
        </w:tc>
        <w:tc>
          <w:tcPr>
            <w:tcW w:w="2323" w:type="dxa"/>
            <w:vMerge/>
            <w:shd w:val="clear" w:color="auto" w:fill="auto"/>
          </w:tcPr>
          <w:p w14:paraId="651F01FB" w14:textId="77777777" w:rsidR="00B30001" w:rsidRPr="0078056B" w:rsidRDefault="00B30001" w:rsidP="00C042A1">
            <w:pPr>
              <w:pStyle w:val="TableText"/>
              <w:rPr>
                <w:rFonts w:asciiTheme="minorHAnsi" w:hAnsiTheme="minorHAnsi" w:cstheme="minorHAnsi"/>
              </w:rPr>
            </w:pPr>
          </w:p>
        </w:tc>
      </w:tr>
      <w:tr w:rsidR="00B30001" w:rsidRPr="0078056B" w14:paraId="137BE372" w14:textId="77777777" w:rsidTr="00C042A1">
        <w:tc>
          <w:tcPr>
            <w:tcW w:w="6521" w:type="dxa"/>
            <w:shd w:val="clear" w:color="auto" w:fill="auto"/>
          </w:tcPr>
          <w:p w14:paraId="02585966" w14:textId="77777777" w:rsidR="00B30001" w:rsidRPr="0078056B" w:rsidRDefault="00B30001" w:rsidP="00C042A1">
            <w:pPr>
              <w:pStyle w:val="TableText"/>
            </w:pPr>
            <w:r w:rsidRPr="0078056B">
              <w:t>Construction</w:t>
            </w:r>
          </w:p>
        </w:tc>
        <w:tc>
          <w:tcPr>
            <w:tcW w:w="2323" w:type="dxa"/>
            <w:shd w:val="clear" w:color="auto" w:fill="auto"/>
          </w:tcPr>
          <w:p w14:paraId="126A4F96" w14:textId="77777777" w:rsidR="00B30001" w:rsidRPr="0078056B" w:rsidRDefault="00B30001" w:rsidP="00C042A1">
            <w:pPr>
              <w:pStyle w:val="TableText"/>
              <w:rPr>
                <w:rFonts w:asciiTheme="minorHAnsi" w:hAnsiTheme="minorHAnsi" w:cstheme="minorHAnsi"/>
              </w:rPr>
            </w:pPr>
            <w:r w:rsidRPr="0078056B">
              <w:rPr>
                <w:rFonts w:asciiTheme="minorHAnsi" w:hAnsiTheme="minorHAnsi" w:cstheme="minorHAnsi"/>
              </w:rPr>
              <w:t>Construction [41-43]</w:t>
            </w:r>
          </w:p>
        </w:tc>
      </w:tr>
      <w:tr w:rsidR="00B30001" w:rsidRPr="0078056B" w14:paraId="0A3AB299" w14:textId="77777777" w:rsidTr="00C042A1">
        <w:tc>
          <w:tcPr>
            <w:tcW w:w="6521" w:type="dxa"/>
            <w:shd w:val="clear" w:color="auto" w:fill="auto"/>
          </w:tcPr>
          <w:p w14:paraId="12D14E81" w14:textId="77777777" w:rsidR="00B30001" w:rsidRPr="0078056B" w:rsidRDefault="00B30001" w:rsidP="00C042A1">
            <w:pPr>
              <w:pStyle w:val="TableText"/>
            </w:pPr>
            <w:r w:rsidRPr="0078056B">
              <w:t>Wholesale and retail trade and repair of motor vehicles and motorcycles</w:t>
            </w:r>
          </w:p>
        </w:tc>
        <w:tc>
          <w:tcPr>
            <w:tcW w:w="2323" w:type="dxa"/>
            <w:vMerge w:val="restart"/>
            <w:shd w:val="clear" w:color="auto" w:fill="auto"/>
          </w:tcPr>
          <w:p w14:paraId="02BD6649" w14:textId="77777777" w:rsidR="00B30001" w:rsidRPr="0078056B" w:rsidRDefault="00B30001" w:rsidP="00C042A1">
            <w:pPr>
              <w:pStyle w:val="TableText"/>
              <w:rPr>
                <w:rFonts w:asciiTheme="minorHAnsi" w:hAnsiTheme="minorHAnsi" w:cstheme="minorHAnsi"/>
              </w:rPr>
            </w:pPr>
            <w:r w:rsidRPr="0078056B">
              <w:rPr>
                <w:rFonts w:asciiTheme="minorHAnsi" w:hAnsiTheme="minorHAnsi" w:cstheme="minorHAnsi"/>
              </w:rPr>
              <w:t>Distribution, transport, hotels, and restaurants [45-56]</w:t>
            </w:r>
          </w:p>
          <w:p w14:paraId="3709B392" w14:textId="77777777" w:rsidR="00B30001" w:rsidRPr="0078056B" w:rsidRDefault="00B30001" w:rsidP="00C042A1">
            <w:pPr>
              <w:pStyle w:val="TableText"/>
              <w:rPr>
                <w:rFonts w:asciiTheme="minorHAnsi" w:hAnsiTheme="minorHAnsi" w:cstheme="minorHAnsi"/>
              </w:rPr>
            </w:pPr>
          </w:p>
        </w:tc>
      </w:tr>
      <w:tr w:rsidR="00B30001" w:rsidRPr="0078056B" w14:paraId="66DEE010" w14:textId="77777777" w:rsidTr="00C042A1">
        <w:tc>
          <w:tcPr>
            <w:tcW w:w="6521" w:type="dxa"/>
            <w:shd w:val="clear" w:color="auto" w:fill="auto"/>
          </w:tcPr>
          <w:p w14:paraId="08E257CD" w14:textId="77777777" w:rsidR="00B30001" w:rsidRPr="0078056B" w:rsidRDefault="00B30001" w:rsidP="00C042A1">
            <w:pPr>
              <w:pStyle w:val="TableText"/>
            </w:pPr>
            <w:r w:rsidRPr="0078056B">
              <w:t>Wholesale trade, except of motor vehicles and motorcycles</w:t>
            </w:r>
          </w:p>
        </w:tc>
        <w:tc>
          <w:tcPr>
            <w:tcW w:w="2323" w:type="dxa"/>
            <w:vMerge/>
            <w:shd w:val="clear" w:color="auto" w:fill="auto"/>
          </w:tcPr>
          <w:p w14:paraId="6E4EFA22" w14:textId="77777777" w:rsidR="00B30001" w:rsidRPr="0078056B" w:rsidRDefault="00B30001" w:rsidP="00C042A1">
            <w:pPr>
              <w:pStyle w:val="TableText"/>
              <w:rPr>
                <w:rFonts w:asciiTheme="minorHAnsi" w:hAnsiTheme="minorHAnsi" w:cstheme="minorHAnsi"/>
              </w:rPr>
            </w:pPr>
          </w:p>
        </w:tc>
      </w:tr>
      <w:tr w:rsidR="00B30001" w:rsidRPr="0078056B" w14:paraId="1B5B4DE1" w14:textId="77777777" w:rsidTr="00C042A1">
        <w:tc>
          <w:tcPr>
            <w:tcW w:w="6521" w:type="dxa"/>
            <w:shd w:val="clear" w:color="auto" w:fill="auto"/>
          </w:tcPr>
          <w:p w14:paraId="0F46AD71" w14:textId="77777777" w:rsidR="00B30001" w:rsidRPr="0078056B" w:rsidRDefault="00B30001" w:rsidP="00C042A1">
            <w:pPr>
              <w:pStyle w:val="TableText"/>
            </w:pPr>
            <w:r w:rsidRPr="0078056B">
              <w:t>Retail trade, except of motor vehicles and motorcycles</w:t>
            </w:r>
          </w:p>
        </w:tc>
        <w:tc>
          <w:tcPr>
            <w:tcW w:w="2323" w:type="dxa"/>
            <w:vMerge/>
            <w:shd w:val="clear" w:color="auto" w:fill="auto"/>
          </w:tcPr>
          <w:p w14:paraId="2578838C" w14:textId="77777777" w:rsidR="00B30001" w:rsidRPr="0078056B" w:rsidRDefault="00B30001" w:rsidP="00C042A1">
            <w:pPr>
              <w:pStyle w:val="TableText"/>
              <w:rPr>
                <w:rFonts w:asciiTheme="minorHAnsi" w:hAnsiTheme="minorHAnsi" w:cstheme="minorHAnsi"/>
              </w:rPr>
            </w:pPr>
          </w:p>
        </w:tc>
      </w:tr>
      <w:tr w:rsidR="00B30001" w:rsidRPr="0078056B" w14:paraId="52FE7D65" w14:textId="77777777" w:rsidTr="00C042A1">
        <w:tc>
          <w:tcPr>
            <w:tcW w:w="6521" w:type="dxa"/>
            <w:shd w:val="clear" w:color="auto" w:fill="auto"/>
          </w:tcPr>
          <w:p w14:paraId="18C7772C" w14:textId="77777777" w:rsidR="00B30001" w:rsidRPr="0078056B" w:rsidRDefault="00B30001" w:rsidP="00C042A1">
            <w:pPr>
              <w:pStyle w:val="TableText"/>
            </w:pPr>
            <w:r w:rsidRPr="0078056B">
              <w:t>Land transport and transport via pipelines</w:t>
            </w:r>
          </w:p>
        </w:tc>
        <w:tc>
          <w:tcPr>
            <w:tcW w:w="2323" w:type="dxa"/>
            <w:vMerge/>
            <w:shd w:val="clear" w:color="auto" w:fill="auto"/>
          </w:tcPr>
          <w:p w14:paraId="3733A2EF" w14:textId="77777777" w:rsidR="00B30001" w:rsidRPr="0078056B" w:rsidRDefault="00B30001" w:rsidP="00C042A1">
            <w:pPr>
              <w:pStyle w:val="TableText"/>
              <w:rPr>
                <w:rFonts w:asciiTheme="minorHAnsi" w:hAnsiTheme="minorHAnsi" w:cstheme="minorHAnsi"/>
              </w:rPr>
            </w:pPr>
          </w:p>
        </w:tc>
      </w:tr>
      <w:tr w:rsidR="00B30001" w:rsidRPr="0078056B" w14:paraId="5CFE3F40" w14:textId="77777777" w:rsidTr="00C042A1">
        <w:tc>
          <w:tcPr>
            <w:tcW w:w="6521" w:type="dxa"/>
            <w:shd w:val="clear" w:color="auto" w:fill="auto"/>
          </w:tcPr>
          <w:p w14:paraId="081D6BFA" w14:textId="77777777" w:rsidR="00B30001" w:rsidRPr="0078056B" w:rsidRDefault="00B30001" w:rsidP="00C042A1">
            <w:pPr>
              <w:pStyle w:val="TableText"/>
            </w:pPr>
            <w:r w:rsidRPr="0078056B">
              <w:t>Water transport</w:t>
            </w:r>
          </w:p>
        </w:tc>
        <w:tc>
          <w:tcPr>
            <w:tcW w:w="2323" w:type="dxa"/>
            <w:vMerge/>
            <w:shd w:val="clear" w:color="auto" w:fill="auto"/>
          </w:tcPr>
          <w:p w14:paraId="6BC418F4" w14:textId="77777777" w:rsidR="00B30001" w:rsidRPr="0078056B" w:rsidRDefault="00B30001" w:rsidP="00C042A1">
            <w:pPr>
              <w:pStyle w:val="TableText"/>
              <w:rPr>
                <w:rFonts w:asciiTheme="minorHAnsi" w:hAnsiTheme="minorHAnsi" w:cstheme="minorHAnsi"/>
              </w:rPr>
            </w:pPr>
          </w:p>
        </w:tc>
      </w:tr>
      <w:tr w:rsidR="00B30001" w:rsidRPr="0078056B" w14:paraId="4233B7C1" w14:textId="77777777" w:rsidTr="00C042A1">
        <w:tc>
          <w:tcPr>
            <w:tcW w:w="6521" w:type="dxa"/>
            <w:shd w:val="clear" w:color="auto" w:fill="auto"/>
          </w:tcPr>
          <w:p w14:paraId="20CD68C5" w14:textId="77777777" w:rsidR="00B30001" w:rsidRPr="0078056B" w:rsidRDefault="00B30001" w:rsidP="00C042A1">
            <w:pPr>
              <w:pStyle w:val="TableText"/>
            </w:pPr>
            <w:r w:rsidRPr="0078056B">
              <w:t>Air transport</w:t>
            </w:r>
          </w:p>
        </w:tc>
        <w:tc>
          <w:tcPr>
            <w:tcW w:w="2323" w:type="dxa"/>
            <w:vMerge/>
            <w:shd w:val="clear" w:color="auto" w:fill="auto"/>
          </w:tcPr>
          <w:p w14:paraId="03392456" w14:textId="77777777" w:rsidR="00B30001" w:rsidRPr="0078056B" w:rsidRDefault="00B30001" w:rsidP="00C042A1">
            <w:pPr>
              <w:pStyle w:val="TableText"/>
              <w:rPr>
                <w:rFonts w:asciiTheme="minorHAnsi" w:hAnsiTheme="minorHAnsi" w:cstheme="minorHAnsi"/>
              </w:rPr>
            </w:pPr>
          </w:p>
        </w:tc>
      </w:tr>
      <w:tr w:rsidR="00B30001" w:rsidRPr="0078056B" w14:paraId="15884CC6" w14:textId="77777777" w:rsidTr="00C042A1">
        <w:tc>
          <w:tcPr>
            <w:tcW w:w="6521" w:type="dxa"/>
            <w:shd w:val="clear" w:color="auto" w:fill="auto"/>
          </w:tcPr>
          <w:p w14:paraId="551D5004" w14:textId="77777777" w:rsidR="00B30001" w:rsidRPr="0078056B" w:rsidRDefault="00B30001" w:rsidP="00C042A1">
            <w:pPr>
              <w:pStyle w:val="TableText"/>
            </w:pPr>
            <w:r w:rsidRPr="0078056B">
              <w:t>Warehousing and support activities for transportation</w:t>
            </w:r>
          </w:p>
        </w:tc>
        <w:tc>
          <w:tcPr>
            <w:tcW w:w="2323" w:type="dxa"/>
            <w:vMerge/>
            <w:shd w:val="clear" w:color="auto" w:fill="auto"/>
          </w:tcPr>
          <w:p w14:paraId="60937F52" w14:textId="77777777" w:rsidR="00B30001" w:rsidRPr="0078056B" w:rsidRDefault="00B30001" w:rsidP="00C042A1">
            <w:pPr>
              <w:pStyle w:val="TableText"/>
              <w:rPr>
                <w:rFonts w:asciiTheme="minorHAnsi" w:hAnsiTheme="minorHAnsi" w:cstheme="minorHAnsi"/>
              </w:rPr>
            </w:pPr>
          </w:p>
        </w:tc>
      </w:tr>
      <w:tr w:rsidR="00B30001" w:rsidRPr="0078056B" w14:paraId="0A291560" w14:textId="77777777" w:rsidTr="00C042A1">
        <w:tc>
          <w:tcPr>
            <w:tcW w:w="6521" w:type="dxa"/>
            <w:shd w:val="clear" w:color="auto" w:fill="auto"/>
          </w:tcPr>
          <w:p w14:paraId="28F6158F" w14:textId="77777777" w:rsidR="00B30001" w:rsidRPr="0078056B" w:rsidRDefault="00B30001" w:rsidP="00C042A1">
            <w:pPr>
              <w:pStyle w:val="TableText"/>
            </w:pPr>
            <w:r w:rsidRPr="0078056B">
              <w:t>Postal and courier activities</w:t>
            </w:r>
          </w:p>
        </w:tc>
        <w:tc>
          <w:tcPr>
            <w:tcW w:w="2323" w:type="dxa"/>
            <w:vMerge/>
            <w:shd w:val="clear" w:color="auto" w:fill="auto"/>
          </w:tcPr>
          <w:p w14:paraId="03A5C953" w14:textId="77777777" w:rsidR="00B30001" w:rsidRPr="0078056B" w:rsidRDefault="00B30001" w:rsidP="00C042A1">
            <w:pPr>
              <w:pStyle w:val="TableText"/>
              <w:rPr>
                <w:rFonts w:asciiTheme="minorHAnsi" w:hAnsiTheme="minorHAnsi" w:cstheme="minorHAnsi"/>
              </w:rPr>
            </w:pPr>
          </w:p>
        </w:tc>
      </w:tr>
      <w:tr w:rsidR="00B30001" w:rsidRPr="0078056B" w14:paraId="69CF4AA2" w14:textId="77777777" w:rsidTr="00C042A1">
        <w:tc>
          <w:tcPr>
            <w:tcW w:w="6521" w:type="dxa"/>
            <w:shd w:val="clear" w:color="auto" w:fill="auto"/>
          </w:tcPr>
          <w:p w14:paraId="6525BB65" w14:textId="77777777" w:rsidR="00B30001" w:rsidRPr="0078056B" w:rsidRDefault="00B30001" w:rsidP="00C042A1">
            <w:pPr>
              <w:pStyle w:val="TableText"/>
            </w:pPr>
            <w:r w:rsidRPr="0078056B">
              <w:t>Accommodation and food service activities</w:t>
            </w:r>
          </w:p>
        </w:tc>
        <w:tc>
          <w:tcPr>
            <w:tcW w:w="2323" w:type="dxa"/>
            <w:vMerge/>
            <w:shd w:val="clear" w:color="auto" w:fill="auto"/>
          </w:tcPr>
          <w:p w14:paraId="73930261" w14:textId="77777777" w:rsidR="00B30001" w:rsidRPr="0078056B" w:rsidRDefault="00B30001" w:rsidP="00C042A1">
            <w:pPr>
              <w:pStyle w:val="TableText"/>
              <w:rPr>
                <w:rFonts w:asciiTheme="minorHAnsi" w:hAnsiTheme="minorHAnsi" w:cstheme="minorHAnsi"/>
              </w:rPr>
            </w:pPr>
          </w:p>
        </w:tc>
      </w:tr>
      <w:tr w:rsidR="00B30001" w:rsidRPr="0078056B" w14:paraId="24E9E894" w14:textId="77777777" w:rsidTr="00C042A1">
        <w:tc>
          <w:tcPr>
            <w:tcW w:w="6521" w:type="dxa"/>
            <w:shd w:val="clear" w:color="auto" w:fill="auto"/>
          </w:tcPr>
          <w:p w14:paraId="506F0B62" w14:textId="77777777" w:rsidR="00B30001" w:rsidRPr="0078056B" w:rsidRDefault="00B30001" w:rsidP="00C042A1">
            <w:pPr>
              <w:pStyle w:val="TableText"/>
            </w:pPr>
            <w:r w:rsidRPr="0078056B">
              <w:t>Publishing activities</w:t>
            </w:r>
          </w:p>
        </w:tc>
        <w:tc>
          <w:tcPr>
            <w:tcW w:w="2323" w:type="dxa"/>
            <w:vMerge w:val="restart"/>
            <w:shd w:val="clear" w:color="auto" w:fill="auto"/>
          </w:tcPr>
          <w:p w14:paraId="4F1482F8" w14:textId="77777777" w:rsidR="00B30001" w:rsidRPr="0078056B" w:rsidRDefault="00B30001" w:rsidP="00C042A1">
            <w:pPr>
              <w:pStyle w:val="TableText"/>
              <w:rPr>
                <w:rFonts w:asciiTheme="minorHAnsi" w:hAnsiTheme="minorHAnsi" w:cstheme="minorHAnsi"/>
              </w:rPr>
            </w:pPr>
            <w:r w:rsidRPr="0078056B">
              <w:rPr>
                <w:rFonts w:asciiTheme="minorHAnsi" w:hAnsiTheme="minorHAnsi" w:cstheme="minorHAnsi"/>
              </w:rPr>
              <w:t>Information and communication [58-63]</w:t>
            </w:r>
          </w:p>
          <w:p w14:paraId="60F15229" w14:textId="77777777" w:rsidR="00B30001" w:rsidRPr="0078056B" w:rsidRDefault="00B30001" w:rsidP="00C042A1">
            <w:pPr>
              <w:pStyle w:val="TableText"/>
              <w:rPr>
                <w:rFonts w:asciiTheme="minorHAnsi" w:hAnsiTheme="minorHAnsi" w:cstheme="minorHAnsi"/>
              </w:rPr>
            </w:pPr>
          </w:p>
        </w:tc>
      </w:tr>
      <w:tr w:rsidR="00B30001" w:rsidRPr="0078056B" w14:paraId="70362D72" w14:textId="77777777" w:rsidTr="00C042A1">
        <w:tc>
          <w:tcPr>
            <w:tcW w:w="6521" w:type="dxa"/>
            <w:shd w:val="clear" w:color="auto" w:fill="auto"/>
          </w:tcPr>
          <w:p w14:paraId="3C8C4F01" w14:textId="77777777" w:rsidR="00B30001" w:rsidRPr="0078056B" w:rsidRDefault="00B30001" w:rsidP="00C042A1">
            <w:pPr>
              <w:pStyle w:val="TableText"/>
            </w:pPr>
            <w:r w:rsidRPr="0078056B">
              <w:t>Motion picture, video and television programme production, sound recording and music publishing activities; programming and broadcasting activities</w:t>
            </w:r>
          </w:p>
        </w:tc>
        <w:tc>
          <w:tcPr>
            <w:tcW w:w="2323" w:type="dxa"/>
            <w:vMerge/>
            <w:shd w:val="clear" w:color="auto" w:fill="auto"/>
          </w:tcPr>
          <w:p w14:paraId="6DBFC003" w14:textId="77777777" w:rsidR="00B30001" w:rsidRPr="0078056B" w:rsidRDefault="00B30001" w:rsidP="00C042A1">
            <w:pPr>
              <w:pStyle w:val="TableText"/>
              <w:rPr>
                <w:rFonts w:asciiTheme="minorHAnsi" w:hAnsiTheme="minorHAnsi" w:cstheme="minorHAnsi"/>
              </w:rPr>
            </w:pPr>
          </w:p>
        </w:tc>
      </w:tr>
      <w:tr w:rsidR="00B30001" w:rsidRPr="0078056B" w14:paraId="1728AE03" w14:textId="77777777" w:rsidTr="00C042A1">
        <w:tc>
          <w:tcPr>
            <w:tcW w:w="6521" w:type="dxa"/>
            <w:shd w:val="clear" w:color="auto" w:fill="auto"/>
          </w:tcPr>
          <w:p w14:paraId="697A6014" w14:textId="77777777" w:rsidR="00B30001" w:rsidRPr="0078056B" w:rsidRDefault="00B30001" w:rsidP="00C042A1">
            <w:pPr>
              <w:pStyle w:val="TableText"/>
            </w:pPr>
            <w:r w:rsidRPr="0078056B">
              <w:t>Telecommunications</w:t>
            </w:r>
          </w:p>
        </w:tc>
        <w:tc>
          <w:tcPr>
            <w:tcW w:w="2323" w:type="dxa"/>
            <w:vMerge/>
            <w:shd w:val="clear" w:color="auto" w:fill="auto"/>
          </w:tcPr>
          <w:p w14:paraId="16C4CE3D" w14:textId="77777777" w:rsidR="00B30001" w:rsidRPr="0078056B" w:rsidRDefault="00B30001" w:rsidP="00C042A1">
            <w:pPr>
              <w:pStyle w:val="TableText"/>
              <w:rPr>
                <w:rFonts w:asciiTheme="minorHAnsi" w:hAnsiTheme="minorHAnsi" w:cstheme="minorHAnsi"/>
              </w:rPr>
            </w:pPr>
          </w:p>
        </w:tc>
      </w:tr>
      <w:tr w:rsidR="00B30001" w:rsidRPr="0078056B" w14:paraId="637688CC" w14:textId="77777777" w:rsidTr="00C042A1">
        <w:tc>
          <w:tcPr>
            <w:tcW w:w="6521" w:type="dxa"/>
            <w:shd w:val="clear" w:color="auto" w:fill="auto"/>
          </w:tcPr>
          <w:p w14:paraId="0EA8773E" w14:textId="77777777" w:rsidR="00B30001" w:rsidRPr="0078056B" w:rsidRDefault="00B30001" w:rsidP="00C042A1">
            <w:pPr>
              <w:pStyle w:val="TableText"/>
            </w:pPr>
            <w:r w:rsidRPr="0078056B">
              <w:t>Computer programming, consultancy and related activities; information service activities</w:t>
            </w:r>
          </w:p>
        </w:tc>
        <w:tc>
          <w:tcPr>
            <w:tcW w:w="2323" w:type="dxa"/>
            <w:vMerge/>
            <w:shd w:val="clear" w:color="auto" w:fill="auto"/>
          </w:tcPr>
          <w:p w14:paraId="6FF34A4E" w14:textId="77777777" w:rsidR="00B30001" w:rsidRPr="0078056B" w:rsidRDefault="00B30001" w:rsidP="00C042A1">
            <w:pPr>
              <w:pStyle w:val="TableText"/>
              <w:rPr>
                <w:rFonts w:asciiTheme="minorHAnsi" w:hAnsiTheme="minorHAnsi" w:cstheme="minorHAnsi"/>
              </w:rPr>
            </w:pPr>
          </w:p>
        </w:tc>
      </w:tr>
      <w:tr w:rsidR="00B30001" w:rsidRPr="0078056B" w14:paraId="34F669AC" w14:textId="77777777" w:rsidTr="00C042A1">
        <w:tc>
          <w:tcPr>
            <w:tcW w:w="6521" w:type="dxa"/>
            <w:shd w:val="clear" w:color="auto" w:fill="auto"/>
          </w:tcPr>
          <w:p w14:paraId="556ADAB1" w14:textId="77777777" w:rsidR="00B30001" w:rsidRPr="0078056B" w:rsidRDefault="00B30001" w:rsidP="00C042A1">
            <w:pPr>
              <w:pStyle w:val="TableText"/>
            </w:pPr>
            <w:r w:rsidRPr="0078056B">
              <w:t>Financial service activities, except insurance and pension funding</w:t>
            </w:r>
          </w:p>
        </w:tc>
        <w:tc>
          <w:tcPr>
            <w:tcW w:w="2323" w:type="dxa"/>
            <w:vMerge w:val="restart"/>
            <w:shd w:val="clear" w:color="auto" w:fill="auto"/>
          </w:tcPr>
          <w:p w14:paraId="7F54974E" w14:textId="77777777" w:rsidR="00B30001" w:rsidRPr="0078056B" w:rsidRDefault="00B30001" w:rsidP="00C042A1">
            <w:pPr>
              <w:pStyle w:val="TableText"/>
              <w:rPr>
                <w:rFonts w:asciiTheme="minorHAnsi" w:hAnsiTheme="minorHAnsi" w:cstheme="minorHAnsi"/>
              </w:rPr>
            </w:pPr>
            <w:r w:rsidRPr="0078056B">
              <w:rPr>
                <w:rFonts w:asciiTheme="minorHAnsi" w:hAnsiTheme="minorHAnsi" w:cstheme="minorHAnsi"/>
              </w:rPr>
              <w:t>Financial and insurance [64-66]</w:t>
            </w:r>
          </w:p>
          <w:p w14:paraId="6B3D97D3" w14:textId="77777777" w:rsidR="00B30001" w:rsidRPr="0078056B" w:rsidRDefault="00B30001" w:rsidP="00C042A1">
            <w:pPr>
              <w:pStyle w:val="TableText"/>
              <w:rPr>
                <w:rFonts w:asciiTheme="minorHAnsi" w:hAnsiTheme="minorHAnsi" w:cstheme="minorHAnsi"/>
              </w:rPr>
            </w:pPr>
          </w:p>
        </w:tc>
      </w:tr>
      <w:tr w:rsidR="00B30001" w:rsidRPr="0078056B" w14:paraId="4794731F" w14:textId="77777777" w:rsidTr="00C042A1">
        <w:tc>
          <w:tcPr>
            <w:tcW w:w="6521" w:type="dxa"/>
            <w:shd w:val="clear" w:color="auto" w:fill="auto"/>
          </w:tcPr>
          <w:p w14:paraId="6C40B43D" w14:textId="77777777" w:rsidR="00B30001" w:rsidRPr="0078056B" w:rsidRDefault="00B30001" w:rsidP="00C042A1">
            <w:pPr>
              <w:pStyle w:val="TableText"/>
            </w:pPr>
            <w:r w:rsidRPr="0078056B">
              <w:t>Insurance, reinsurance and pension funding, except compulsory social security</w:t>
            </w:r>
          </w:p>
        </w:tc>
        <w:tc>
          <w:tcPr>
            <w:tcW w:w="2323" w:type="dxa"/>
            <w:vMerge/>
            <w:shd w:val="clear" w:color="auto" w:fill="auto"/>
          </w:tcPr>
          <w:p w14:paraId="094F7050" w14:textId="77777777" w:rsidR="00B30001" w:rsidRPr="0078056B" w:rsidRDefault="00B30001" w:rsidP="00C042A1">
            <w:pPr>
              <w:pStyle w:val="TableText"/>
              <w:rPr>
                <w:rFonts w:asciiTheme="minorHAnsi" w:hAnsiTheme="minorHAnsi" w:cstheme="minorHAnsi"/>
              </w:rPr>
            </w:pPr>
          </w:p>
        </w:tc>
      </w:tr>
      <w:tr w:rsidR="00B30001" w:rsidRPr="0078056B" w14:paraId="632AA094" w14:textId="77777777" w:rsidTr="00C042A1">
        <w:tc>
          <w:tcPr>
            <w:tcW w:w="6521" w:type="dxa"/>
            <w:shd w:val="clear" w:color="auto" w:fill="auto"/>
          </w:tcPr>
          <w:p w14:paraId="25113FBC" w14:textId="77777777" w:rsidR="00B30001" w:rsidRPr="0078056B" w:rsidRDefault="00B30001" w:rsidP="00C042A1">
            <w:pPr>
              <w:pStyle w:val="TableText"/>
            </w:pPr>
            <w:r w:rsidRPr="0078056B">
              <w:t>Activities auxiliary to financial services and insurance activities</w:t>
            </w:r>
          </w:p>
        </w:tc>
        <w:tc>
          <w:tcPr>
            <w:tcW w:w="2323" w:type="dxa"/>
            <w:vMerge/>
            <w:shd w:val="clear" w:color="auto" w:fill="auto"/>
          </w:tcPr>
          <w:p w14:paraId="21C6D01D" w14:textId="77777777" w:rsidR="00B30001" w:rsidRPr="0078056B" w:rsidRDefault="00B30001" w:rsidP="00C042A1">
            <w:pPr>
              <w:pStyle w:val="TableText"/>
              <w:rPr>
                <w:rFonts w:asciiTheme="minorHAnsi" w:hAnsiTheme="minorHAnsi" w:cstheme="minorHAnsi"/>
              </w:rPr>
            </w:pPr>
          </w:p>
        </w:tc>
      </w:tr>
      <w:tr w:rsidR="00B30001" w:rsidRPr="0078056B" w14:paraId="191BF366" w14:textId="77777777" w:rsidTr="00C042A1">
        <w:tc>
          <w:tcPr>
            <w:tcW w:w="6521" w:type="dxa"/>
            <w:shd w:val="clear" w:color="auto" w:fill="auto"/>
          </w:tcPr>
          <w:p w14:paraId="755F48DF" w14:textId="77777777" w:rsidR="00B30001" w:rsidRPr="0078056B" w:rsidRDefault="00B30001" w:rsidP="00C042A1">
            <w:pPr>
              <w:pStyle w:val="TableText"/>
            </w:pPr>
            <w:r w:rsidRPr="0078056B">
              <w:t>Real estate activities excluding imputed rents</w:t>
            </w:r>
          </w:p>
        </w:tc>
        <w:tc>
          <w:tcPr>
            <w:tcW w:w="2323" w:type="dxa"/>
            <w:vMerge w:val="restart"/>
            <w:shd w:val="clear" w:color="auto" w:fill="auto"/>
          </w:tcPr>
          <w:p w14:paraId="637B7D8F" w14:textId="77777777" w:rsidR="00B30001" w:rsidRPr="0078056B" w:rsidRDefault="00B30001" w:rsidP="00C042A1">
            <w:pPr>
              <w:pStyle w:val="TableText"/>
              <w:rPr>
                <w:rFonts w:asciiTheme="minorHAnsi" w:hAnsiTheme="minorHAnsi" w:cstheme="minorHAnsi"/>
              </w:rPr>
            </w:pPr>
            <w:r w:rsidRPr="0078056B">
              <w:rPr>
                <w:rFonts w:asciiTheme="minorHAnsi" w:hAnsiTheme="minorHAnsi" w:cstheme="minorHAnsi"/>
              </w:rPr>
              <w:t>Real estate [68.1-2-68.3]</w:t>
            </w:r>
          </w:p>
          <w:p w14:paraId="138CBC2E" w14:textId="77777777" w:rsidR="00B30001" w:rsidRPr="0078056B" w:rsidRDefault="00B30001" w:rsidP="00C042A1">
            <w:pPr>
              <w:pStyle w:val="TableText"/>
              <w:rPr>
                <w:rFonts w:asciiTheme="minorHAnsi" w:hAnsiTheme="minorHAnsi" w:cstheme="minorHAnsi"/>
              </w:rPr>
            </w:pPr>
          </w:p>
        </w:tc>
      </w:tr>
      <w:tr w:rsidR="00B30001" w:rsidRPr="0078056B" w14:paraId="0F11C9B4" w14:textId="77777777" w:rsidTr="00C042A1">
        <w:tc>
          <w:tcPr>
            <w:tcW w:w="6521" w:type="dxa"/>
            <w:shd w:val="clear" w:color="auto" w:fill="auto"/>
          </w:tcPr>
          <w:p w14:paraId="60555CDB" w14:textId="77777777" w:rsidR="00B30001" w:rsidRPr="0078056B" w:rsidRDefault="00B30001" w:rsidP="00C042A1">
            <w:pPr>
              <w:pStyle w:val="TableText"/>
            </w:pPr>
            <w:r w:rsidRPr="0078056B">
              <w:t>Imputed rents of owner-occupied dwellings</w:t>
            </w:r>
          </w:p>
        </w:tc>
        <w:tc>
          <w:tcPr>
            <w:tcW w:w="2323" w:type="dxa"/>
            <w:vMerge/>
            <w:shd w:val="clear" w:color="auto" w:fill="auto"/>
          </w:tcPr>
          <w:p w14:paraId="45D81E5E" w14:textId="77777777" w:rsidR="00B30001" w:rsidRPr="0078056B" w:rsidRDefault="00B30001" w:rsidP="00C042A1">
            <w:pPr>
              <w:pStyle w:val="TableText"/>
              <w:rPr>
                <w:rFonts w:asciiTheme="minorHAnsi" w:hAnsiTheme="minorHAnsi" w:cstheme="minorHAnsi"/>
              </w:rPr>
            </w:pPr>
          </w:p>
        </w:tc>
      </w:tr>
      <w:tr w:rsidR="00B30001" w:rsidRPr="0078056B" w14:paraId="5212D4BC" w14:textId="77777777" w:rsidTr="00C042A1">
        <w:tc>
          <w:tcPr>
            <w:tcW w:w="6521" w:type="dxa"/>
            <w:shd w:val="clear" w:color="auto" w:fill="auto"/>
          </w:tcPr>
          <w:p w14:paraId="3873B1CB" w14:textId="77777777" w:rsidR="00B30001" w:rsidRPr="0078056B" w:rsidRDefault="00B30001" w:rsidP="00C042A1">
            <w:pPr>
              <w:pStyle w:val="TableText"/>
            </w:pPr>
            <w:r w:rsidRPr="0078056B">
              <w:t>Legal and accounting activities; activities of head offices; management consultancy activities</w:t>
            </w:r>
          </w:p>
        </w:tc>
        <w:tc>
          <w:tcPr>
            <w:tcW w:w="2323" w:type="dxa"/>
            <w:vMerge w:val="restart"/>
            <w:shd w:val="clear" w:color="auto" w:fill="auto"/>
          </w:tcPr>
          <w:p w14:paraId="49788373" w14:textId="77777777" w:rsidR="00B30001" w:rsidRPr="0078056B" w:rsidRDefault="00B30001" w:rsidP="00C042A1">
            <w:pPr>
              <w:pStyle w:val="TableText"/>
              <w:rPr>
                <w:rFonts w:asciiTheme="minorHAnsi" w:hAnsiTheme="minorHAnsi" w:cstheme="minorHAnsi"/>
              </w:rPr>
            </w:pPr>
            <w:r w:rsidRPr="0078056B">
              <w:rPr>
                <w:rFonts w:asciiTheme="minorHAnsi" w:hAnsiTheme="minorHAnsi" w:cstheme="minorHAnsi"/>
              </w:rPr>
              <w:t>Professional and support activities [69.1-82]</w:t>
            </w:r>
          </w:p>
          <w:p w14:paraId="2F57B04A" w14:textId="77777777" w:rsidR="00B30001" w:rsidRPr="0078056B" w:rsidRDefault="00B30001" w:rsidP="00C042A1">
            <w:pPr>
              <w:pStyle w:val="TableText"/>
              <w:rPr>
                <w:rFonts w:asciiTheme="minorHAnsi" w:hAnsiTheme="minorHAnsi" w:cstheme="minorHAnsi"/>
              </w:rPr>
            </w:pPr>
          </w:p>
        </w:tc>
      </w:tr>
      <w:tr w:rsidR="00B30001" w:rsidRPr="0078056B" w14:paraId="04E506C6" w14:textId="77777777" w:rsidTr="00C042A1">
        <w:tc>
          <w:tcPr>
            <w:tcW w:w="6521" w:type="dxa"/>
            <w:shd w:val="clear" w:color="auto" w:fill="auto"/>
          </w:tcPr>
          <w:p w14:paraId="3777FF92" w14:textId="77777777" w:rsidR="00B30001" w:rsidRPr="0078056B" w:rsidRDefault="00B30001" w:rsidP="00C042A1">
            <w:pPr>
              <w:pStyle w:val="TableText"/>
            </w:pPr>
            <w:r w:rsidRPr="0078056B">
              <w:t>Architectural and engineering activities; technical testing and analysis</w:t>
            </w:r>
          </w:p>
        </w:tc>
        <w:tc>
          <w:tcPr>
            <w:tcW w:w="2323" w:type="dxa"/>
            <w:vMerge/>
            <w:shd w:val="clear" w:color="auto" w:fill="auto"/>
          </w:tcPr>
          <w:p w14:paraId="119464A0" w14:textId="77777777" w:rsidR="00B30001" w:rsidRPr="0078056B" w:rsidRDefault="00B30001" w:rsidP="00C042A1">
            <w:pPr>
              <w:pStyle w:val="TableText"/>
              <w:rPr>
                <w:rFonts w:asciiTheme="minorHAnsi" w:hAnsiTheme="minorHAnsi" w:cstheme="minorHAnsi"/>
              </w:rPr>
            </w:pPr>
          </w:p>
        </w:tc>
      </w:tr>
      <w:tr w:rsidR="00B30001" w:rsidRPr="0078056B" w14:paraId="45663199" w14:textId="77777777" w:rsidTr="00C042A1">
        <w:tc>
          <w:tcPr>
            <w:tcW w:w="6521" w:type="dxa"/>
            <w:shd w:val="clear" w:color="auto" w:fill="auto"/>
          </w:tcPr>
          <w:p w14:paraId="614199B1" w14:textId="77777777" w:rsidR="00B30001" w:rsidRPr="0078056B" w:rsidRDefault="00B30001" w:rsidP="00C042A1">
            <w:pPr>
              <w:pStyle w:val="TableText"/>
            </w:pPr>
            <w:r w:rsidRPr="0078056B">
              <w:t>Scientific research and development</w:t>
            </w:r>
          </w:p>
        </w:tc>
        <w:tc>
          <w:tcPr>
            <w:tcW w:w="2323" w:type="dxa"/>
            <w:vMerge/>
            <w:shd w:val="clear" w:color="auto" w:fill="auto"/>
          </w:tcPr>
          <w:p w14:paraId="2CB20B3F" w14:textId="77777777" w:rsidR="00B30001" w:rsidRPr="0078056B" w:rsidRDefault="00B30001" w:rsidP="00C042A1">
            <w:pPr>
              <w:pStyle w:val="TableText"/>
              <w:rPr>
                <w:rFonts w:asciiTheme="minorHAnsi" w:hAnsiTheme="minorHAnsi" w:cstheme="minorHAnsi"/>
              </w:rPr>
            </w:pPr>
          </w:p>
        </w:tc>
      </w:tr>
      <w:tr w:rsidR="00B30001" w:rsidRPr="0078056B" w14:paraId="71171B04" w14:textId="77777777" w:rsidTr="00C042A1">
        <w:tc>
          <w:tcPr>
            <w:tcW w:w="6521" w:type="dxa"/>
            <w:shd w:val="clear" w:color="auto" w:fill="auto"/>
          </w:tcPr>
          <w:p w14:paraId="7C899FE2" w14:textId="77777777" w:rsidR="00B30001" w:rsidRPr="0078056B" w:rsidRDefault="00B30001" w:rsidP="00C042A1">
            <w:pPr>
              <w:pStyle w:val="TableText"/>
            </w:pPr>
            <w:r w:rsidRPr="0078056B">
              <w:t>Advertising and market research</w:t>
            </w:r>
          </w:p>
        </w:tc>
        <w:tc>
          <w:tcPr>
            <w:tcW w:w="2323" w:type="dxa"/>
            <w:vMerge/>
            <w:shd w:val="clear" w:color="auto" w:fill="auto"/>
          </w:tcPr>
          <w:p w14:paraId="46C7911F" w14:textId="77777777" w:rsidR="00B30001" w:rsidRPr="0078056B" w:rsidRDefault="00B30001" w:rsidP="00C042A1">
            <w:pPr>
              <w:pStyle w:val="TableText"/>
              <w:rPr>
                <w:rFonts w:asciiTheme="minorHAnsi" w:hAnsiTheme="minorHAnsi" w:cstheme="minorHAnsi"/>
              </w:rPr>
            </w:pPr>
          </w:p>
        </w:tc>
      </w:tr>
      <w:tr w:rsidR="00B30001" w:rsidRPr="0078056B" w14:paraId="4791B99E" w14:textId="77777777" w:rsidTr="00C042A1">
        <w:tc>
          <w:tcPr>
            <w:tcW w:w="6521" w:type="dxa"/>
            <w:shd w:val="clear" w:color="auto" w:fill="auto"/>
          </w:tcPr>
          <w:p w14:paraId="1E74509B" w14:textId="77777777" w:rsidR="00B30001" w:rsidRPr="0078056B" w:rsidRDefault="00B30001" w:rsidP="00C042A1">
            <w:pPr>
              <w:pStyle w:val="TableText"/>
            </w:pPr>
            <w:r w:rsidRPr="0078056B">
              <w:t>Other professional, scientific, and technical activities; veterinary activities</w:t>
            </w:r>
          </w:p>
        </w:tc>
        <w:tc>
          <w:tcPr>
            <w:tcW w:w="2323" w:type="dxa"/>
            <w:vMerge/>
            <w:shd w:val="clear" w:color="auto" w:fill="auto"/>
          </w:tcPr>
          <w:p w14:paraId="6F45105D" w14:textId="77777777" w:rsidR="00B30001" w:rsidRPr="0078056B" w:rsidRDefault="00B30001" w:rsidP="00C042A1">
            <w:pPr>
              <w:pStyle w:val="TableText"/>
              <w:rPr>
                <w:rFonts w:asciiTheme="minorHAnsi" w:hAnsiTheme="minorHAnsi" w:cstheme="minorHAnsi"/>
              </w:rPr>
            </w:pPr>
          </w:p>
        </w:tc>
      </w:tr>
      <w:tr w:rsidR="00B30001" w:rsidRPr="0078056B" w14:paraId="77C0D616" w14:textId="77777777" w:rsidTr="00C042A1">
        <w:tc>
          <w:tcPr>
            <w:tcW w:w="6521" w:type="dxa"/>
            <w:shd w:val="clear" w:color="auto" w:fill="auto"/>
          </w:tcPr>
          <w:p w14:paraId="3C8AC9BA" w14:textId="77777777" w:rsidR="00B30001" w:rsidRPr="0078056B" w:rsidRDefault="00B30001" w:rsidP="00C042A1">
            <w:pPr>
              <w:pStyle w:val="TableText"/>
            </w:pPr>
            <w:r w:rsidRPr="0078056B">
              <w:t>Rental and leasing activities</w:t>
            </w:r>
          </w:p>
        </w:tc>
        <w:tc>
          <w:tcPr>
            <w:tcW w:w="2323" w:type="dxa"/>
            <w:vMerge/>
            <w:shd w:val="clear" w:color="auto" w:fill="auto"/>
          </w:tcPr>
          <w:p w14:paraId="3369AA8E" w14:textId="77777777" w:rsidR="00B30001" w:rsidRPr="0078056B" w:rsidRDefault="00B30001" w:rsidP="00C042A1">
            <w:pPr>
              <w:pStyle w:val="TableText"/>
              <w:rPr>
                <w:rFonts w:asciiTheme="minorHAnsi" w:hAnsiTheme="minorHAnsi" w:cstheme="minorHAnsi"/>
              </w:rPr>
            </w:pPr>
          </w:p>
        </w:tc>
      </w:tr>
      <w:tr w:rsidR="00B30001" w:rsidRPr="0078056B" w14:paraId="226610A4" w14:textId="77777777" w:rsidTr="00C042A1">
        <w:tc>
          <w:tcPr>
            <w:tcW w:w="6521" w:type="dxa"/>
            <w:shd w:val="clear" w:color="auto" w:fill="auto"/>
          </w:tcPr>
          <w:p w14:paraId="3BE1F54A" w14:textId="77777777" w:rsidR="00B30001" w:rsidRPr="0078056B" w:rsidRDefault="00B30001" w:rsidP="00C042A1">
            <w:pPr>
              <w:pStyle w:val="TableText"/>
            </w:pPr>
            <w:r w:rsidRPr="0078056B">
              <w:t>Employment activities</w:t>
            </w:r>
          </w:p>
        </w:tc>
        <w:tc>
          <w:tcPr>
            <w:tcW w:w="2323" w:type="dxa"/>
            <w:vMerge/>
            <w:shd w:val="clear" w:color="auto" w:fill="auto"/>
          </w:tcPr>
          <w:p w14:paraId="668BF5EA" w14:textId="77777777" w:rsidR="00B30001" w:rsidRPr="0078056B" w:rsidRDefault="00B30001" w:rsidP="00C042A1">
            <w:pPr>
              <w:pStyle w:val="TableText"/>
              <w:rPr>
                <w:rFonts w:asciiTheme="minorHAnsi" w:hAnsiTheme="minorHAnsi" w:cstheme="minorHAnsi"/>
              </w:rPr>
            </w:pPr>
          </w:p>
        </w:tc>
      </w:tr>
      <w:tr w:rsidR="00B30001" w:rsidRPr="0078056B" w14:paraId="05A53267" w14:textId="77777777" w:rsidTr="00C042A1">
        <w:tc>
          <w:tcPr>
            <w:tcW w:w="6521" w:type="dxa"/>
            <w:shd w:val="clear" w:color="auto" w:fill="auto"/>
          </w:tcPr>
          <w:p w14:paraId="40991601" w14:textId="77777777" w:rsidR="00B30001" w:rsidRPr="0078056B" w:rsidRDefault="00B30001" w:rsidP="00C042A1">
            <w:pPr>
              <w:pStyle w:val="TableText"/>
            </w:pPr>
            <w:r w:rsidRPr="0078056B">
              <w:lastRenderedPageBreak/>
              <w:t>Travel agency, tour operator reservation service and related activities</w:t>
            </w:r>
          </w:p>
        </w:tc>
        <w:tc>
          <w:tcPr>
            <w:tcW w:w="2323" w:type="dxa"/>
            <w:vMerge/>
            <w:shd w:val="clear" w:color="auto" w:fill="auto"/>
          </w:tcPr>
          <w:p w14:paraId="4BEE0791" w14:textId="77777777" w:rsidR="00B30001" w:rsidRPr="0078056B" w:rsidRDefault="00B30001" w:rsidP="00C042A1">
            <w:pPr>
              <w:pStyle w:val="TableText"/>
              <w:rPr>
                <w:rFonts w:asciiTheme="minorHAnsi" w:hAnsiTheme="minorHAnsi" w:cstheme="minorHAnsi"/>
              </w:rPr>
            </w:pPr>
          </w:p>
        </w:tc>
      </w:tr>
      <w:tr w:rsidR="00B30001" w:rsidRPr="0078056B" w14:paraId="5BF0EC46" w14:textId="77777777" w:rsidTr="00C042A1">
        <w:tc>
          <w:tcPr>
            <w:tcW w:w="6521" w:type="dxa"/>
            <w:shd w:val="clear" w:color="auto" w:fill="auto"/>
          </w:tcPr>
          <w:p w14:paraId="2D8B3C09" w14:textId="77777777" w:rsidR="00B30001" w:rsidRPr="0078056B" w:rsidRDefault="00B30001" w:rsidP="00C042A1">
            <w:pPr>
              <w:pStyle w:val="TableText"/>
            </w:pPr>
            <w:r w:rsidRPr="0078056B">
              <w:t>Security and investigation activities; services to buildings and landscape activities; office administrative, office support and other business support activities</w:t>
            </w:r>
          </w:p>
        </w:tc>
        <w:tc>
          <w:tcPr>
            <w:tcW w:w="2323" w:type="dxa"/>
            <w:vMerge/>
            <w:shd w:val="clear" w:color="auto" w:fill="auto"/>
          </w:tcPr>
          <w:p w14:paraId="518AFBF6" w14:textId="77777777" w:rsidR="00B30001" w:rsidRPr="0078056B" w:rsidRDefault="00B30001" w:rsidP="00C042A1">
            <w:pPr>
              <w:pStyle w:val="TableText"/>
              <w:rPr>
                <w:rFonts w:asciiTheme="minorHAnsi" w:hAnsiTheme="minorHAnsi" w:cstheme="minorHAnsi"/>
              </w:rPr>
            </w:pPr>
          </w:p>
        </w:tc>
      </w:tr>
      <w:tr w:rsidR="00B30001" w:rsidRPr="0078056B" w14:paraId="0EA3B7DC" w14:textId="77777777" w:rsidTr="00C042A1">
        <w:tc>
          <w:tcPr>
            <w:tcW w:w="6521" w:type="dxa"/>
            <w:shd w:val="clear" w:color="auto" w:fill="auto"/>
          </w:tcPr>
          <w:p w14:paraId="44A52673" w14:textId="77777777" w:rsidR="00B30001" w:rsidRPr="0078056B" w:rsidRDefault="00B30001" w:rsidP="00C042A1">
            <w:pPr>
              <w:pStyle w:val="TableText"/>
            </w:pPr>
            <w:r w:rsidRPr="0078056B">
              <w:t>Public administration and defence; compulsory social security</w:t>
            </w:r>
          </w:p>
        </w:tc>
        <w:tc>
          <w:tcPr>
            <w:tcW w:w="2323" w:type="dxa"/>
            <w:vMerge w:val="restart"/>
            <w:shd w:val="clear" w:color="auto" w:fill="auto"/>
          </w:tcPr>
          <w:p w14:paraId="0EC0EEA2" w14:textId="77777777" w:rsidR="00B30001" w:rsidRPr="0078056B" w:rsidRDefault="00B30001" w:rsidP="00C042A1">
            <w:pPr>
              <w:pStyle w:val="TableText"/>
              <w:rPr>
                <w:rFonts w:asciiTheme="minorHAnsi" w:hAnsiTheme="minorHAnsi" w:cstheme="minorHAnsi"/>
              </w:rPr>
            </w:pPr>
            <w:r w:rsidRPr="0078056B">
              <w:rPr>
                <w:rFonts w:asciiTheme="minorHAnsi" w:hAnsiTheme="minorHAnsi" w:cstheme="minorHAnsi"/>
              </w:rPr>
              <w:t>Government, health &amp; education [84-88]</w:t>
            </w:r>
          </w:p>
          <w:p w14:paraId="1A8F8310" w14:textId="77777777" w:rsidR="00B30001" w:rsidRPr="0078056B" w:rsidRDefault="00B30001" w:rsidP="00C042A1">
            <w:pPr>
              <w:pStyle w:val="TableText"/>
              <w:rPr>
                <w:rFonts w:asciiTheme="minorHAnsi" w:hAnsiTheme="minorHAnsi" w:cstheme="minorHAnsi"/>
              </w:rPr>
            </w:pPr>
          </w:p>
        </w:tc>
      </w:tr>
      <w:tr w:rsidR="00B30001" w:rsidRPr="0078056B" w14:paraId="13332187" w14:textId="77777777" w:rsidTr="00C042A1">
        <w:tc>
          <w:tcPr>
            <w:tcW w:w="6521" w:type="dxa"/>
            <w:shd w:val="clear" w:color="auto" w:fill="auto"/>
          </w:tcPr>
          <w:p w14:paraId="39D12B7E" w14:textId="77777777" w:rsidR="00B30001" w:rsidRPr="0078056B" w:rsidRDefault="00B30001" w:rsidP="00C042A1">
            <w:pPr>
              <w:pStyle w:val="TableText"/>
            </w:pPr>
            <w:r w:rsidRPr="0078056B">
              <w:t>Education</w:t>
            </w:r>
          </w:p>
        </w:tc>
        <w:tc>
          <w:tcPr>
            <w:tcW w:w="2323" w:type="dxa"/>
            <w:vMerge/>
            <w:shd w:val="clear" w:color="auto" w:fill="auto"/>
          </w:tcPr>
          <w:p w14:paraId="287E5FEF" w14:textId="77777777" w:rsidR="00B30001" w:rsidRPr="0078056B" w:rsidRDefault="00B30001" w:rsidP="00C042A1">
            <w:pPr>
              <w:pStyle w:val="TableText"/>
              <w:rPr>
                <w:rFonts w:asciiTheme="minorHAnsi" w:hAnsiTheme="minorHAnsi" w:cstheme="minorHAnsi"/>
              </w:rPr>
            </w:pPr>
          </w:p>
        </w:tc>
      </w:tr>
      <w:tr w:rsidR="00B30001" w:rsidRPr="0078056B" w14:paraId="36AD2F13" w14:textId="77777777" w:rsidTr="00C042A1">
        <w:tc>
          <w:tcPr>
            <w:tcW w:w="6521" w:type="dxa"/>
            <w:shd w:val="clear" w:color="auto" w:fill="auto"/>
          </w:tcPr>
          <w:p w14:paraId="2B99F962" w14:textId="77777777" w:rsidR="00B30001" w:rsidRPr="0078056B" w:rsidRDefault="00B30001" w:rsidP="00C042A1">
            <w:pPr>
              <w:pStyle w:val="TableText"/>
            </w:pPr>
            <w:r w:rsidRPr="0078056B">
              <w:t>Human health activities</w:t>
            </w:r>
          </w:p>
        </w:tc>
        <w:tc>
          <w:tcPr>
            <w:tcW w:w="2323" w:type="dxa"/>
            <w:vMerge/>
            <w:shd w:val="clear" w:color="auto" w:fill="auto"/>
          </w:tcPr>
          <w:p w14:paraId="4D00E710" w14:textId="77777777" w:rsidR="00B30001" w:rsidRPr="0078056B" w:rsidRDefault="00B30001" w:rsidP="00C042A1">
            <w:pPr>
              <w:pStyle w:val="TableText"/>
              <w:rPr>
                <w:rFonts w:asciiTheme="minorHAnsi" w:hAnsiTheme="minorHAnsi" w:cstheme="minorHAnsi"/>
              </w:rPr>
            </w:pPr>
          </w:p>
        </w:tc>
      </w:tr>
      <w:tr w:rsidR="00B30001" w:rsidRPr="0078056B" w14:paraId="6F1D04D3" w14:textId="77777777" w:rsidTr="00C042A1">
        <w:tc>
          <w:tcPr>
            <w:tcW w:w="6521" w:type="dxa"/>
            <w:shd w:val="clear" w:color="auto" w:fill="auto"/>
          </w:tcPr>
          <w:p w14:paraId="2CF3B2B6" w14:textId="77777777" w:rsidR="00B30001" w:rsidRPr="0078056B" w:rsidRDefault="00B30001" w:rsidP="00C042A1">
            <w:pPr>
              <w:pStyle w:val="TableText"/>
            </w:pPr>
            <w:r w:rsidRPr="0078056B">
              <w:t>Social work activities</w:t>
            </w:r>
          </w:p>
        </w:tc>
        <w:tc>
          <w:tcPr>
            <w:tcW w:w="2323" w:type="dxa"/>
            <w:vMerge/>
            <w:shd w:val="clear" w:color="auto" w:fill="auto"/>
          </w:tcPr>
          <w:p w14:paraId="1C1BBC8C" w14:textId="77777777" w:rsidR="00B30001" w:rsidRPr="0078056B" w:rsidRDefault="00B30001" w:rsidP="00C042A1">
            <w:pPr>
              <w:pStyle w:val="TableText"/>
              <w:rPr>
                <w:rFonts w:asciiTheme="minorHAnsi" w:hAnsiTheme="minorHAnsi" w:cstheme="minorHAnsi"/>
              </w:rPr>
            </w:pPr>
          </w:p>
        </w:tc>
      </w:tr>
      <w:tr w:rsidR="00B30001" w:rsidRPr="0078056B" w14:paraId="4FF4EB68" w14:textId="77777777" w:rsidTr="00C042A1">
        <w:tc>
          <w:tcPr>
            <w:tcW w:w="6521" w:type="dxa"/>
            <w:shd w:val="clear" w:color="auto" w:fill="auto"/>
          </w:tcPr>
          <w:p w14:paraId="474EF4CF" w14:textId="77777777" w:rsidR="00B30001" w:rsidRPr="0078056B" w:rsidRDefault="00B30001" w:rsidP="00C042A1">
            <w:pPr>
              <w:pStyle w:val="TableText"/>
            </w:pPr>
            <w:r w:rsidRPr="0078056B">
              <w:t>Creative, arts and entertainment activities; libraries, archives, museums, and other cultural activities; gambling and betting activities</w:t>
            </w:r>
          </w:p>
        </w:tc>
        <w:tc>
          <w:tcPr>
            <w:tcW w:w="2323" w:type="dxa"/>
            <w:vMerge w:val="restart"/>
            <w:shd w:val="clear" w:color="auto" w:fill="auto"/>
          </w:tcPr>
          <w:p w14:paraId="3B12813E" w14:textId="77777777" w:rsidR="00B30001" w:rsidRPr="0078056B" w:rsidRDefault="00B30001" w:rsidP="00C042A1">
            <w:pPr>
              <w:pStyle w:val="TableText"/>
              <w:rPr>
                <w:rFonts w:asciiTheme="minorHAnsi" w:hAnsiTheme="minorHAnsi" w:cstheme="minorHAnsi"/>
              </w:rPr>
            </w:pPr>
            <w:r w:rsidRPr="0078056B">
              <w:rPr>
                <w:rFonts w:asciiTheme="minorHAnsi" w:hAnsiTheme="minorHAnsi" w:cstheme="minorHAnsi"/>
              </w:rPr>
              <w:t>Other services [90-97]</w:t>
            </w:r>
          </w:p>
        </w:tc>
      </w:tr>
      <w:tr w:rsidR="00B30001" w:rsidRPr="0078056B" w14:paraId="04561F03" w14:textId="77777777" w:rsidTr="00C042A1">
        <w:tc>
          <w:tcPr>
            <w:tcW w:w="6521" w:type="dxa"/>
            <w:shd w:val="clear" w:color="auto" w:fill="auto"/>
          </w:tcPr>
          <w:p w14:paraId="01F7E45B" w14:textId="77777777" w:rsidR="00B30001" w:rsidRPr="0078056B" w:rsidRDefault="00B30001" w:rsidP="00C042A1">
            <w:pPr>
              <w:pStyle w:val="TableText"/>
            </w:pPr>
            <w:r w:rsidRPr="0078056B">
              <w:t>Sports activities and amusement and recreation activities</w:t>
            </w:r>
          </w:p>
        </w:tc>
        <w:tc>
          <w:tcPr>
            <w:tcW w:w="2323" w:type="dxa"/>
            <w:vMerge/>
            <w:shd w:val="clear" w:color="auto" w:fill="auto"/>
            <w:vAlign w:val="center"/>
          </w:tcPr>
          <w:p w14:paraId="1E0015EE" w14:textId="77777777" w:rsidR="00B30001" w:rsidRPr="0078056B" w:rsidRDefault="00B30001" w:rsidP="00C042A1">
            <w:pPr>
              <w:pStyle w:val="TableText"/>
            </w:pPr>
          </w:p>
        </w:tc>
      </w:tr>
      <w:tr w:rsidR="00B30001" w:rsidRPr="0078056B" w14:paraId="3CDDC981" w14:textId="77777777" w:rsidTr="00C042A1">
        <w:tc>
          <w:tcPr>
            <w:tcW w:w="6521" w:type="dxa"/>
            <w:shd w:val="clear" w:color="auto" w:fill="auto"/>
          </w:tcPr>
          <w:p w14:paraId="76F06E82" w14:textId="77777777" w:rsidR="00B30001" w:rsidRPr="0078056B" w:rsidRDefault="00B30001" w:rsidP="00C042A1">
            <w:pPr>
              <w:pStyle w:val="TableText"/>
            </w:pPr>
            <w:r w:rsidRPr="0078056B">
              <w:t>Activities of membership organisations</w:t>
            </w:r>
          </w:p>
        </w:tc>
        <w:tc>
          <w:tcPr>
            <w:tcW w:w="2323" w:type="dxa"/>
            <w:vMerge/>
            <w:shd w:val="clear" w:color="auto" w:fill="auto"/>
            <w:vAlign w:val="center"/>
          </w:tcPr>
          <w:p w14:paraId="00CC68D1" w14:textId="77777777" w:rsidR="00B30001" w:rsidRPr="0078056B" w:rsidRDefault="00B30001" w:rsidP="00C042A1">
            <w:pPr>
              <w:pStyle w:val="TableText"/>
            </w:pPr>
          </w:p>
        </w:tc>
      </w:tr>
      <w:tr w:rsidR="00B30001" w:rsidRPr="0078056B" w14:paraId="45173848" w14:textId="77777777" w:rsidTr="00C042A1">
        <w:tc>
          <w:tcPr>
            <w:tcW w:w="6521" w:type="dxa"/>
            <w:shd w:val="clear" w:color="auto" w:fill="auto"/>
          </w:tcPr>
          <w:p w14:paraId="238840D1" w14:textId="77777777" w:rsidR="00B30001" w:rsidRPr="0078056B" w:rsidRDefault="00B30001" w:rsidP="00C042A1">
            <w:pPr>
              <w:pStyle w:val="TableText"/>
            </w:pPr>
            <w:r w:rsidRPr="0078056B">
              <w:t>Repair of computers and personal and household goods</w:t>
            </w:r>
          </w:p>
        </w:tc>
        <w:tc>
          <w:tcPr>
            <w:tcW w:w="2323" w:type="dxa"/>
            <w:vMerge/>
            <w:shd w:val="clear" w:color="auto" w:fill="auto"/>
            <w:vAlign w:val="center"/>
          </w:tcPr>
          <w:p w14:paraId="3D2B66E5" w14:textId="77777777" w:rsidR="00B30001" w:rsidRPr="0078056B" w:rsidRDefault="00B30001" w:rsidP="00C042A1">
            <w:pPr>
              <w:pStyle w:val="TableText"/>
            </w:pPr>
          </w:p>
        </w:tc>
      </w:tr>
      <w:tr w:rsidR="00B30001" w:rsidRPr="0078056B" w14:paraId="14CC76BB" w14:textId="77777777" w:rsidTr="00C042A1">
        <w:tc>
          <w:tcPr>
            <w:tcW w:w="6521" w:type="dxa"/>
            <w:shd w:val="clear" w:color="auto" w:fill="auto"/>
          </w:tcPr>
          <w:p w14:paraId="26D6FAE0" w14:textId="77777777" w:rsidR="00B30001" w:rsidRPr="0078056B" w:rsidRDefault="00B30001" w:rsidP="00C042A1">
            <w:pPr>
              <w:pStyle w:val="TableText"/>
            </w:pPr>
            <w:r w:rsidRPr="0078056B">
              <w:t>Other personal service activities</w:t>
            </w:r>
          </w:p>
        </w:tc>
        <w:tc>
          <w:tcPr>
            <w:tcW w:w="2323" w:type="dxa"/>
            <w:vMerge/>
            <w:shd w:val="clear" w:color="auto" w:fill="auto"/>
            <w:vAlign w:val="center"/>
          </w:tcPr>
          <w:p w14:paraId="20631940" w14:textId="77777777" w:rsidR="00B30001" w:rsidRPr="0078056B" w:rsidRDefault="00B30001" w:rsidP="00C042A1">
            <w:pPr>
              <w:pStyle w:val="TableText"/>
            </w:pPr>
          </w:p>
        </w:tc>
      </w:tr>
      <w:tr w:rsidR="00B30001" w:rsidRPr="0078056B" w14:paraId="7BC6987B" w14:textId="77777777" w:rsidTr="00C042A1">
        <w:tc>
          <w:tcPr>
            <w:tcW w:w="6521" w:type="dxa"/>
            <w:shd w:val="clear" w:color="auto" w:fill="auto"/>
          </w:tcPr>
          <w:p w14:paraId="02F3AC8B" w14:textId="77777777" w:rsidR="00B30001" w:rsidRPr="0078056B" w:rsidRDefault="00B30001" w:rsidP="00C042A1">
            <w:pPr>
              <w:pStyle w:val="TableText"/>
            </w:pPr>
            <w:r w:rsidRPr="0078056B">
              <w:t>Activities of households as employers; undifferentiated goods- and services-producing activities of households for own use</w:t>
            </w:r>
          </w:p>
        </w:tc>
        <w:tc>
          <w:tcPr>
            <w:tcW w:w="2323" w:type="dxa"/>
            <w:vMerge/>
            <w:shd w:val="clear" w:color="auto" w:fill="auto"/>
            <w:vAlign w:val="center"/>
          </w:tcPr>
          <w:p w14:paraId="592F0458" w14:textId="77777777" w:rsidR="00B30001" w:rsidRPr="0078056B" w:rsidRDefault="00B30001" w:rsidP="00C042A1">
            <w:pPr>
              <w:pStyle w:val="TableText"/>
            </w:pPr>
          </w:p>
        </w:tc>
      </w:tr>
    </w:tbl>
    <w:p w14:paraId="0CD4A8D6" w14:textId="77777777" w:rsidR="00B30001" w:rsidRPr="0078056B" w:rsidRDefault="00B30001" w:rsidP="00B30001">
      <w:pPr>
        <w:pStyle w:val="TableNote"/>
      </w:pPr>
      <w:r w:rsidRPr="0078056B">
        <w:t>Note: ‘n.e.c.’ = not elsewhere classified</w:t>
      </w:r>
    </w:p>
    <w:p w14:paraId="555DE0D9" w14:textId="77777777" w:rsidR="00B30001" w:rsidRPr="0078056B" w:rsidRDefault="00B30001" w:rsidP="00B30001">
      <w:pPr>
        <w:pStyle w:val="TableSource"/>
      </w:pPr>
      <w:r w:rsidRPr="0078056B">
        <w:t>Source: London Economics’ analysis, based on Office for National Statistics (2023) and UK SIC Codes (see Office for National Statistics, 2022)</w:t>
      </w:r>
    </w:p>
    <w:p w14:paraId="57F7798A" w14:textId="088E85D5" w:rsidR="00B30001" w:rsidRPr="0078056B" w:rsidRDefault="00B30001" w:rsidP="00B30001">
      <w:pPr>
        <w:pStyle w:val="AnnexHeading2"/>
      </w:pPr>
      <w:bookmarkStart w:id="436" w:name="_Toc168652153"/>
      <w:bookmarkStart w:id="437" w:name="_Ref153273517"/>
      <w:r w:rsidRPr="0078056B">
        <w:t>Impact of</w:t>
      </w:r>
      <w:r w:rsidR="00FB2B49" w:rsidRPr="0078056B">
        <w:t xml:space="preserve"> the University’s</w:t>
      </w:r>
      <w:r w:rsidRPr="0078056B">
        <w:t xml:space="preserve"> research and knowledge exchange activities</w:t>
      </w:r>
      <w:bookmarkEnd w:id="436"/>
    </w:p>
    <w:p w14:paraId="72B08423" w14:textId="44825B5B" w:rsidR="009B693C" w:rsidRPr="0078056B" w:rsidRDefault="009B693C" w:rsidP="00B30001">
      <w:pPr>
        <w:pStyle w:val="AnnexHeading3"/>
      </w:pPr>
      <w:bookmarkStart w:id="438" w:name="_Ref162517617"/>
      <w:r w:rsidRPr="0078056B">
        <w:t>Overview of the analysis of research and wider knowledge exchange activities</w:t>
      </w:r>
      <w:bookmarkEnd w:id="437"/>
      <w:bookmarkEnd w:id="438"/>
    </w:p>
    <w:p w14:paraId="78CA3769" w14:textId="076D7954" w:rsidR="009B693C" w:rsidRPr="0078056B" w:rsidRDefault="009B693C" w:rsidP="009B693C">
      <w:r w:rsidRPr="0078056B">
        <w:fldChar w:fldCharType="begin"/>
      </w:r>
      <w:r w:rsidRPr="0078056B">
        <w:instrText xml:space="preserve"> REF _Ref153355579 \r \h  \* MERGEFORMAT </w:instrText>
      </w:r>
      <w:r w:rsidRPr="0078056B">
        <w:fldChar w:fldCharType="separate"/>
      </w:r>
      <w:r w:rsidR="00E33157">
        <w:t>Figure 41</w:t>
      </w:r>
      <w:r w:rsidRPr="0078056B">
        <w:fldChar w:fldCharType="end"/>
      </w:r>
      <w:r w:rsidRPr="0078056B">
        <w:t xml:space="preserve"> provides an overview of the methodological approach adopted to analyse the economic impact of the University of Birmingham’s research and knowledge exchange activities in terms of:</w:t>
      </w:r>
    </w:p>
    <w:p w14:paraId="00BCAB5D" w14:textId="23D7788F" w:rsidR="009B693C" w:rsidRPr="0078056B" w:rsidRDefault="009B693C" w:rsidP="003A6119">
      <w:pPr>
        <w:pStyle w:val="MinorBullet1"/>
        <w:numPr>
          <w:ilvl w:val="0"/>
          <w:numId w:val="21"/>
        </w:numPr>
      </w:pPr>
      <w:r w:rsidRPr="0078056B">
        <w:t xml:space="preserve">The direct, indirect, and induced impact of research (Section </w:t>
      </w:r>
      <w:r w:rsidRPr="0078056B">
        <w:fldChar w:fldCharType="begin"/>
      </w:r>
      <w:r w:rsidRPr="0078056B">
        <w:instrText xml:space="preserve"> REF _Ref160114268 \r \h  \* MERGEFORMAT </w:instrText>
      </w:r>
      <w:r w:rsidRPr="0078056B">
        <w:fldChar w:fldCharType="separate"/>
      </w:r>
      <w:r w:rsidR="00E33157">
        <w:t>2.1.3</w:t>
      </w:r>
      <w:r w:rsidRPr="0078056B">
        <w:fldChar w:fldCharType="end"/>
      </w:r>
      <w:r w:rsidRPr="0078056B">
        <w:t>);</w:t>
      </w:r>
    </w:p>
    <w:p w14:paraId="6106B7C5" w14:textId="485C2EB1" w:rsidR="009B693C" w:rsidRPr="0078056B" w:rsidRDefault="009B693C" w:rsidP="003A6119">
      <w:pPr>
        <w:pStyle w:val="MinorBullet1"/>
        <w:numPr>
          <w:ilvl w:val="0"/>
          <w:numId w:val="21"/>
        </w:numPr>
      </w:pPr>
      <w:r w:rsidRPr="0078056B">
        <w:t xml:space="preserve">Productivity spillovers from research (Section </w:t>
      </w:r>
      <w:r w:rsidRPr="0078056B">
        <w:fldChar w:fldCharType="begin"/>
      </w:r>
      <w:r w:rsidRPr="0078056B">
        <w:instrText xml:space="preserve"> REF _Ref160114284 \r \h  \* MERGEFORMAT </w:instrText>
      </w:r>
      <w:r w:rsidRPr="0078056B">
        <w:fldChar w:fldCharType="separate"/>
      </w:r>
      <w:r w:rsidR="00E33157">
        <w:t>2.1.4</w:t>
      </w:r>
      <w:r w:rsidRPr="0078056B">
        <w:fldChar w:fldCharType="end"/>
      </w:r>
      <w:r w:rsidRPr="0078056B">
        <w:t>); and,</w:t>
      </w:r>
    </w:p>
    <w:p w14:paraId="59C4E81E" w14:textId="7F49E804" w:rsidR="009B693C" w:rsidRPr="0078056B" w:rsidRDefault="009B693C" w:rsidP="003A6119">
      <w:pPr>
        <w:pStyle w:val="MinorBullet1"/>
        <w:numPr>
          <w:ilvl w:val="0"/>
          <w:numId w:val="21"/>
        </w:numPr>
      </w:pPr>
      <w:r w:rsidRPr="0078056B">
        <w:t xml:space="preserve">The direct, indirect, and induced impact of wider knowledge exchange activities (Section </w:t>
      </w:r>
      <w:r w:rsidR="000D6329">
        <w:fldChar w:fldCharType="begin"/>
      </w:r>
      <w:r w:rsidR="000D6329">
        <w:instrText xml:space="preserve"> REF _Ref162533067 \r \h </w:instrText>
      </w:r>
      <w:r w:rsidR="000D6329">
        <w:fldChar w:fldCharType="separate"/>
      </w:r>
      <w:r w:rsidR="00E33157">
        <w:t>2.2</w:t>
      </w:r>
      <w:r w:rsidR="000D6329">
        <w:fldChar w:fldCharType="end"/>
      </w:r>
      <w:r w:rsidRPr="0078056B">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9B693C" w:rsidRPr="0078056B" w14:paraId="78484EBB" w14:textId="77777777" w:rsidTr="000A186C">
        <w:trPr>
          <w:cantSplit/>
        </w:trPr>
        <w:tc>
          <w:tcPr>
            <w:tcW w:w="0" w:type="auto"/>
          </w:tcPr>
          <w:p w14:paraId="7209AD3F" w14:textId="77777777" w:rsidR="009B693C" w:rsidRPr="0078056B" w:rsidRDefault="009B693C" w:rsidP="000A186C">
            <w:pPr>
              <w:pStyle w:val="FigureTitle"/>
            </w:pPr>
            <w:bookmarkStart w:id="439" w:name="_Ref153355579"/>
            <w:bookmarkStart w:id="440" w:name="_Toc155603372"/>
            <w:bookmarkStart w:id="441" w:name="_Toc160803975"/>
            <w:bookmarkStart w:id="442" w:name="_Ref162517614"/>
            <w:bookmarkStart w:id="443" w:name="_Toc168652222"/>
            <w:r w:rsidRPr="0078056B">
              <w:lastRenderedPageBreak/>
              <w:t>Overview of the analysis of research and wider knowledge exchange activities</w:t>
            </w:r>
            <w:bookmarkEnd w:id="439"/>
            <w:bookmarkEnd w:id="440"/>
            <w:bookmarkEnd w:id="441"/>
            <w:bookmarkEnd w:id="442"/>
            <w:bookmarkEnd w:id="443"/>
          </w:p>
        </w:tc>
      </w:tr>
      <w:tr w:rsidR="009B693C" w:rsidRPr="0078056B" w14:paraId="1483391A" w14:textId="77777777" w:rsidTr="000A186C">
        <w:trPr>
          <w:cantSplit/>
        </w:trPr>
        <w:tc>
          <w:tcPr>
            <w:tcW w:w="0" w:type="auto"/>
          </w:tcPr>
          <w:p w14:paraId="09015E16" w14:textId="77777777" w:rsidR="009B693C" w:rsidRPr="0078056B" w:rsidRDefault="009B693C" w:rsidP="0021730A">
            <w:pPr>
              <w:pStyle w:val="PlaceholderText"/>
            </w:pPr>
            <w:r w:rsidRPr="0078056B">
              <w:rPr>
                <w:noProof/>
              </w:rPr>
              <w:drawing>
                <wp:inline distT="0" distB="0" distL="0" distR="0" wp14:anchorId="34F47E47" wp14:editId="57B55896">
                  <wp:extent cx="5363102" cy="3054985"/>
                  <wp:effectExtent l="0" t="0" r="0" b="0"/>
                  <wp:docPr id="704853835" name="Picture 70485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53835" name="Picture 704853835"/>
                          <pic:cNvPicPr/>
                        </pic:nvPicPr>
                        <pic:blipFill>
                          <a:blip r:embed="rId226">
                            <a:extLst>
                              <a:ext uri="{28A0092B-C50C-407E-A947-70E740481C1C}">
                                <a14:useLocalDpi xmlns:a14="http://schemas.microsoft.com/office/drawing/2010/main" val="0"/>
                              </a:ext>
                              <a:ext uri="{96DAC541-7B7A-43D3-8B79-37D633B846F1}">
                                <asvg:svgBlip xmlns:asvg="http://schemas.microsoft.com/office/drawing/2016/SVG/main" r:embed="rId227"/>
                              </a:ext>
                            </a:extLst>
                          </a:blip>
                          <a:stretch>
                            <a:fillRect/>
                          </a:stretch>
                        </pic:blipFill>
                        <pic:spPr>
                          <a:xfrm>
                            <a:off x="0" y="0"/>
                            <a:ext cx="5363102" cy="3054985"/>
                          </a:xfrm>
                          <a:prstGeom prst="rect">
                            <a:avLst/>
                          </a:prstGeom>
                        </pic:spPr>
                      </pic:pic>
                    </a:graphicData>
                  </a:graphic>
                </wp:inline>
              </w:drawing>
            </w:r>
          </w:p>
        </w:tc>
      </w:tr>
      <w:tr w:rsidR="009B693C" w:rsidRPr="0078056B" w14:paraId="1404CC12" w14:textId="77777777" w:rsidTr="000A186C">
        <w:trPr>
          <w:cantSplit/>
        </w:trPr>
        <w:tc>
          <w:tcPr>
            <w:tcW w:w="0" w:type="auto"/>
          </w:tcPr>
          <w:p w14:paraId="09325C63" w14:textId="77777777" w:rsidR="009B693C" w:rsidRPr="0078056B" w:rsidRDefault="009B693C" w:rsidP="0021730A">
            <w:pPr>
              <w:pStyle w:val="TableNote"/>
            </w:pPr>
            <w:r w:rsidRPr="0078056B">
              <w:t>Note: Research funding includes collaborative research funding, which is divided into public, cash and in-kind funding. Cash and public fall under and are included in the research categories. In-kind is excluded from the impact analysis since these contributions do not represent a cash transaction for which we can robustly apply economic multipliers. To avoid double counting, contract research funding is deducted from the impact of research, as this is already included within the impact of wider knowledge exchange activities.</w:t>
            </w:r>
          </w:p>
          <w:p w14:paraId="6C0EEF72" w14:textId="77777777" w:rsidR="009B693C" w:rsidRPr="0078056B" w:rsidRDefault="009B693C" w:rsidP="0021730A">
            <w:pPr>
              <w:pStyle w:val="TableSource"/>
            </w:pPr>
            <w:r w:rsidRPr="0078056B">
              <w:t>Source: London Economics analysis</w:t>
            </w:r>
          </w:p>
        </w:tc>
      </w:tr>
    </w:tbl>
    <w:p w14:paraId="7DEF1D79" w14:textId="77777777" w:rsidR="009B693C" w:rsidRPr="0078056B" w:rsidRDefault="009B693C" w:rsidP="009B693C">
      <w:pPr>
        <w:pStyle w:val="AnnexHeading3"/>
      </w:pPr>
      <w:bookmarkStart w:id="444" w:name="_Ref148097192"/>
      <w:r w:rsidRPr="0078056B">
        <w:t>Literature discussing productivity spillovers</w:t>
      </w:r>
      <w:bookmarkEnd w:id="444"/>
    </w:p>
    <w:p w14:paraId="594AA550" w14:textId="0D131C18" w:rsidR="009B693C" w:rsidRPr="0078056B" w:rsidRDefault="009B693C" w:rsidP="009B693C">
      <w:r w:rsidRPr="0078056B">
        <w:t xml:space="preserve">This section provides further detail on the literature associated with productivity spillovers, estimated in Section </w:t>
      </w:r>
      <w:r w:rsidRPr="0078056B">
        <w:fldChar w:fldCharType="begin"/>
      </w:r>
      <w:r w:rsidRPr="0078056B">
        <w:instrText xml:space="preserve"> REF _Ref160114284 \r \h  \* MERGEFORMAT </w:instrText>
      </w:r>
      <w:r w:rsidRPr="0078056B">
        <w:fldChar w:fldCharType="separate"/>
      </w:r>
      <w:r w:rsidR="00E33157">
        <w:t>2.1.4</w:t>
      </w:r>
      <w:r w:rsidRPr="0078056B">
        <w:fldChar w:fldCharType="end"/>
      </w:r>
      <w:r w:rsidRPr="0078056B">
        <w:t xml:space="preserve">. </w:t>
      </w:r>
    </w:p>
    <w:p w14:paraId="1FB4DFBB" w14:textId="77777777" w:rsidR="009B693C" w:rsidRPr="0078056B" w:rsidRDefault="009B693C" w:rsidP="009B693C">
      <w:r w:rsidRPr="0078056B">
        <w:t>Of particular interest in the context of research conducted by universities, a study by Haskel and Wallis (2010)</w:t>
      </w:r>
      <w:r w:rsidRPr="0078056B">
        <w:rPr>
          <w:rStyle w:val="FootnoteReference"/>
          <w:rFonts w:asciiTheme="minorHAnsi" w:hAnsiTheme="minorHAnsi"/>
        </w:rPr>
        <w:footnoteReference w:id="100"/>
      </w:r>
      <w:r w:rsidRPr="0078056B">
        <w:rPr>
          <w:rFonts w:asciiTheme="minorHAnsi" w:hAnsiTheme="minorHAnsi"/>
        </w:rPr>
        <w:t xml:space="preserve"> </w:t>
      </w:r>
      <w:r w:rsidRPr="0078056B">
        <w:t xml:space="preserve">investigates evidence of </w:t>
      </w:r>
      <w:r w:rsidRPr="0078056B">
        <w:rPr>
          <w:b/>
          <w:bCs/>
          <w:color w:val="06357A" w:themeColor="text2"/>
        </w:rPr>
        <w:t>spillovers from publicly funded research &amp; development activities</w:t>
      </w:r>
      <w:r w:rsidRPr="0078056B">
        <w:t>. The authors analyse productivity spillovers to the private sector from public spending on R&amp;D by the UK Research Councils and public spending on civil and defence-related R&amp;D</w:t>
      </w:r>
      <w:r w:rsidRPr="0078056B">
        <w:rPr>
          <w:rStyle w:val="FootnoteReference"/>
          <w:rFonts w:asciiTheme="minorHAnsi" w:hAnsiTheme="minorHAnsi"/>
        </w:rPr>
        <w:footnoteReference w:id="101"/>
      </w:r>
      <w:r w:rsidRPr="0078056B">
        <w:rPr>
          <w:rFonts w:asciiTheme="minorHAnsi" w:hAnsiTheme="minorHAnsi"/>
          <w:vertAlign w:val="superscript"/>
        </w:rPr>
        <w:t xml:space="preserve">, </w:t>
      </w:r>
      <w:r w:rsidRPr="0078056B">
        <w:rPr>
          <w:rStyle w:val="FootnoteReference"/>
          <w:rFonts w:asciiTheme="minorHAnsi" w:hAnsiTheme="minorHAnsi"/>
        </w:rPr>
        <w:footnoteReference w:id="102"/>
      </w:r>
      <w:r w:rsidRPr="0078056B">
        <w:t>, and the relative effectiveness of these channels of public spending in terms of their impact on the ‘market sector’. They find strong evidence of the existence of market sector productivity spillovers from public R&amp;D expenditure originating from the UK Research Councils.</w:t>
      </w:r>
      <w:r w:rsidRPr="0078056B">
        <w:rPr>
          <w:rStyle w:val="FootnoteReference"/>
          <w:rFonts w:asciiTheme="minorHAnsi" w:hAnsiTheme="minorHAnsi"/>
        </w:rPr>
        <w:footnoteReference w:id="103"/>
      </w:r>
      <w:r w:rsidRPr="0078056B">
        <w:t xml:space="preserve"> Their findings imply that, while there is no spillover effect associated with publicly funded civil and defence R&amp;D, the marginal spillover effect of public spending on research through the Research Councils stands at </w:t>
      </w:r>
      <w:r w:rsidRPr="0078056B">
        <w:rPr>
          <w:b/>
          <w:bCs/>
          <w:color w:val="06357A" w:themeColor="text2"/>
        </w:rPr>
        <w:t>12.7 (i.e. every £1 spent on research through the Research Councils results in an additional annual output of £12.70 within the UK private sector)</w:t>
      </w:r>
      <w:r w:rsidRPr="0078056B">
        <w:t xml:space="preserve">. </w:t>
      </w:r>
    </w:p>
    <w:p w14:paraId="78F7D176" w14:textId="368F2117" w:rsidR="009B693C" w:rsidRPr="0078056B" w:rsidRDefault="009B693C" w:rsidP="009B693C">
      <w:r w:rsidRPr="0078056B">
        <w:lastRenderedPageBreak/>
        <w:t>Another study by Haskel et al. (2014) provides additional insight into the size of potential productivity spillovers from university research. Rather than estimating effects on the UK economy as a whole, the authors analyse the size of spillover effects from public research across different UK industries.</w:t>
      </w:r>
      <w:r w:rsidRPr="0078056B">
        <w:rPr>
          <w:rStyle w:val="FootnoteReference"/>
          <w:rFonts w:asciiTheme="minorHAnsi" w:hAnsiTheme="minorHAnsi"/>
        </w:rPr>
        <w:footnoteReference w:id="104"/>
      </w:r>
      <w:r w:rsidRPr="0078056B">
        <w:t xml:space="preserve"> The authors investigate the correlation between the combined research conducted by the Research Councils, the higher education sector, and central government itself (e.g. through public research laboratories)</w:t>
      </w:r>
      <w:r w:rsidRPr="0078056B">
        <w:rPr>
          <w:rStyle w:val="FootnoteReference"/>
          <w:rFonts w:asciiTheme="minorHAnsi" w:hAnsiTheme="minorHAnsi"/>
        </w:rPr>
        <w:footnoteReference w:id="105"/>
      </w:r>
      <w:r w:rsidRPr="0078056B">
        <w:t>,</w:t>
      </w:r>
      <w:r w:rsidR="007F2A6E" w:rsidRPr="0078056B">
        <w:t xml:space="preserve"> </w:t>
      </w:r>
      <w:r w:rsidRPr="0078056B">
        <w:t>interacted with measures of industry research activity, and total factor productivity within the different market sectors.</w:t>
      </w:r>
      <w:r w:rsidRPr="0078056B">
        <w:rPr>
          <w:rStyle w:val="FootnoteReference"/>
          <w:rFonts w:asciiTheme="minorHAnsi" w:hAnsiTheme="minorHAnsi"/>
        </w:rPr>
        <w:footnoteReference w:id="106"/>
      </w:r>
      <w:r w:rsidRPr="0078056B">
        <w:t xml:space="preserve"> Their findings imply a total rate of return on public sector research of </w:t>
      </w:r>
      <w:r w:rsidRPr="0078056B">
        <w:rPr>
          <w:b/>
          <w:bCs/>
          <w:color w:val="06357A" w:themeColor="text2"/>
        </w:rPr>
        <w:t>0.2 (i.e. every £1 spent on public R&amp;D results in an additional annual output of £0.20 within the UK private sector)</w:t>
      </w:r>
      <w:r w:rsidRPr="0078056B">
        <w:t>.</w:t>
      </w:r>
    </w:p>
    <w:p w14:paraId="562B957A" w14:textId="77777777" w:rsidR="009B693C" w:rsidRPr="0078056B" w:rsidRDefault="009B693C" w:rsidP="009B693C">
      <w:r w:rsidRPr="0078056B">
        <w:t xml:space="preserve">It should be noted that much of the existing literature does not assume a rate of depreciation on publicly-funded R&amp;D investments. A standard assumption of the depreciation rate from the literature is around 20-25% per year, which still implies a significant estimate of the productivity spillover. </w:t>
      </w:r>
    </w:p>
    <w:p w14:paraId="61123BAA" w14:textId="77777777" w:rsidR="009B693C" w:rsidRPr="0078056B" w:rsidRDefault="009B693C" w:rsidP="009B693C">
      <w:pPr>
        <w:pStyle w:val="Heading4"/>
      </w:pPr>
      <w:r w:rsidRPr="0078056B">
        <w:t>How do these estimates compare to the wider literature?</w:t>
      </w:r>
    </w:p>
    <w:p w14:paraId="1387DA81" w14:textId="77777777" w:rsidR="009B693C" w:rsidRPr="0078056B" w:rsidRDefault="009B693C" w:rsidP="009B693C">
      <w:r w:rsidRPr="0078056B">
        <w:t>While these research spillovers are quantitatively large; they are in line with related findings from the (relatively limited) economic literature. A report for the (former) Department for Business, Innovation and Skills (2014) replicates the Haskel and Wallis (2010) approach, using a different (publicly-available) dataset and a slightly different methodology to explore variation in types of research council R&amp;D investments in terms of their impact on private sector productivity.</w:t>
      </w:r>
      <w:r w:rsidRPr="0078056B">
        <w:rPr>
          <w:rStyle w:val="FootnoteReference"/>
        </w:rPr>
        <w:footnoteReference w:id="107"/>
      </w:r>
      <w:r w:rsidRPr="0078056B">
        <w:t xml:space="preserve"> Despite the difference in data and approach, they find qualitatively similar findings: research council R&amp;D investments yield large returns through their impact on private sector productivity.  The comparable research multiplier is estimated at 10.71. Moreover, the report finds much higher returns, depending on the precise approach and sample used. Additionally, research from Australia finds a similar research spillover to Haskel and Wallis (2010), albeit with a slightly lower research multiplier of 9.76, which may be expected given the different country studied (Elnasri and Fox, 2017).</w:t>
      </w:r>
      <w:r w:rsidRPr="0078056B">
        <w:rPr>
          <w:rStyle w:val="FootnoteReference"/>
        </w:rPr>
        <w:footnoteReference w:id="108"/>
      </w:r>
    </w:p>
    <w:p w14:paraId="7CFC3F1F" w14:textId="60BEBA02" w:rsidR="009B693C" w:rsidRPr="0078056B" w:rsidRDefault="009B693C" w:rsidP="00B30001">
      <w:r w:rsidRPr="0078056B">
        <w:t>There is more limited research associated with general R&amp;D multipliers (for other research income) although a report published for the Department for Business, Innovation and Skills, looking into the international benchmarking of the UK science and innovation system, notes a rate of return in the range of 20 to 50% (Department for Business, Innovation and Skills, 2014).</w:t>
      </w:r>
      <w:r w:rsidRPr="0078056B">
        <w:rPr>
          <w:rStyle w:val="FootnoteReference"/>
        </w:rPr>
        <w:footnoteReference w:id="109"/>
      </w:r>
      <w:r w:rsidRPr="0078056B">
        <w:t xml:space="preserve"> This demonstrates that </w:t>
      </w:r>
      <w:r w:rsidRPr="0078056B">
        <w:lastRenderedPageBreak/>
        <w:t xml:space="preserve">researchers using different methods and datasets find similar results with regard to estimates of research spillovers. </w:t>
      </w:r>
    </w:p>
    <w:p w14:paraId="38600AA0" w14:textId="0803BAAC" w:rsidR="00307258" w:rsidRPr="0078056B" w:rsidRDefault="00307258" w:rsidP="00307258">
      <w:pPr>
        <w:pStyle w:val="AnnexHeading3"/>
      </w:pPr>
      <w:bookmarkStart w:id="445" w:name="_Ref162253237"/>
      <w:r w:rsidRPr="0078056B">
        <w:t>Regional and sectoral impact of research and knowledge exchange activities</w:t>
      </w:r>
      <w:bookmarkEnd w:id="445"/>
    </w:p>
    <w:p w14:paraId="7F7169BD" w14:textId="277F74D2" w:rsidR="00307258" w:rsidRPr="0078056B" w:rsidRDefault="00307258" w:rsidP="00307258">
      <w:r w:rsidRPr="0078056B">
        <w:t xml:space="preserve">The total direct, indirect, and induced impact of the University of Birmingham’s research and knowledge exchange activities can also be broken down by </w:t>
      </w:r>
      <w:r w:rsidRPr="0078056B">
        <w:rPr>
          <w:b/>
          <w:bCs/>
          <w:color w:val="06357A"/>
        </w:rPr>
        <w:t>regions across the UK</w:t>
      </w:r>
      <w:r w:rsidRPr="0078056B">
        <w:t xml:space="preserve"> and </w:t>
      </w:r>
      <w:r w:rsidRPr="0078056B">
        <w:rPr>
          <w:b/>
          <w:bCs/>
          <w:color w:val="06357A"/>
        </w:rPr>
        <w:t>sectors in the economy</w:t>
      </w:r>
      <w:r w:rsidRPr="0078056B">
        <w:t>, and presented in GVA and FTE employment measures.</w:t>
      </w:r>
      <w:r w:rsidRPr="0078056B">
        <w:rPr>
          <w:rStyle w:val="FootnoteReference"/>
        </w:rPr>
        <w:footnoteReference w:id="110"/>
      </w:r>
      <w:r w:rsidRPr="0078056B">
        <w:t xml:space="preserve"> </w:t>
      </w:r>
      <w:r w:rsidRPr="0078056B">
        <w:fldChar w:fldCharType="begin"/>
      </w:r>
      <w:r w:rsidRPr="0078056B">
        <w:instrText xml:space="preserve"> REF _Ref142992406 \r \h  \* MERGEFORMAT </w:instrText>
      </w:r>
      <w:r w:rsidRPr="0078056B">
        <w:fldChar w:fldCharType="separate"/>
      </w:r>
      <w:r w:rsidR="00E33157">
        <w:t>Figure 42</w:t>
      </w:r>
      <w:r w:rsidRPr="0078056B">
        <w:fldChar w:fldCharType="end"/>
      </w:r>
      <w:r w:rsidRPr="0078056B">
        <w:t xml:space="preserve"> presents the aggregate impact associated with the University of Birmingham’s research and knowledge exchange activities in the 2021-22 academic year across all regions and in </w:t>
      </w:r>
      <w:r w:rsidRPr="0078056B">
        <w:fldChar w:fldCharType="begin"/>
      </w:r>
      <w:r w:rsidRPr="0078056B">
        <w:instrText xml:space="preserve"> REF _Ref142992540 \r \h  \* MERGEFORMAT </w:instrText>
      </w:r>
      <w:r w:rsidRPr="0078056B">
        <w:fldChar w:fldCharType="separate"/>
      </w:r>
      <w:r w:rsidR="00E33157">
        <w:t>Figure 43</w:t>
      </w:r>
      <w:r w:rsidRPr="0078056B">
        <w:fldChar w:fldCharType="end"/>
      </w:r>
      <w:r w:rsidRPr="0078056B">
        <w:t xml:space="preserve"> by sector.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307258" w:rsidRPr="0078056B" w14:paraId="3A918631" w14:textId="77777777" w:rsidTr="00C042A1">
        <w:trPr>
          <w:cantSplit/>
        </w:trPr>
        <w:tc>
          <w:tcPr>
            <w:tcW w:w="0" w:type="auto"/>
          </w:tcPr>
          <w:p w14:paraId="3CF26821" w14:textId="77777777" w:rsidR="00307258" w:rsidRPr="0078056B" w:rsidRDefault="00307258" w:rsidP="00C042A1">
            <w:pPr>
              <w:pStyle w:val="FigureTitle"/>
            </w:pPr>
            <w:bookmarkStart w:id="446" w:name="_Ref142992406"/>
            <w:bookmarkStart w:id="447" w:name="_Toc156480260"/>
            <w:bookmarkStart w:id="448" w:name="_Toc160803973"/>
            <w:bookmarkStart w:id="449" w:name="_Toc168652223"/>
            <w:r w:rsidRPr="0078056B">
              <w:lastRenderedPageBreak/>
              <w:t>Estimated total economic impact associated with the University of Birmingham’s research and knowledge exchange activities in 2021-22, by region</w:t>
            </w:r>
            <w:bookmarkEnd w:id="446"/>
            <w:bookmarkEnd w:id="447"/>
            <w:bookmarkEnd w:id="448"/>
            <w:bookmarkEnd w:id="449"/>
          </w:p>
        </w:tc>
      </w:tr>
      <w:tr w:rsidR="00307258" w:rsidRPr="0078056B" w14:paraId="5561DA3A" w14:textId="77777777" w:rsidTr="00C042A1">
        <w:trPr>
          <w:cantSplit/>
        </w:trPr>
        <w:tc>
          <w:tcPr>
            <w:tcW w:w="0" w:type="auto"/>
          </w:tcPr>
          <w:p w14:paraId="7BD5D539" w14:textId="77777777" w:rsidR="00307258" w:rsidRPr="0078056B" w:rsidRDefault="00307258" w:rsidP="00C042A1">
            <w:pPr>
              <w:pStyle w:val="PlaceholderText"/>
              <w:jc w:val="center"/>
            </w:pPr>
            <w:r w:rsidRPr="0078056B">
              <w:rPr>
                <w:noProof/>
              </w:rPr>
              <w:drawing>
                <wp:inline distT="0" distB="0" distL="0" distR="0" wp14:anchorId="2CC63C66" wp14:editId="4C07E4B4">
                  <wp:extent cx="5400000" cy="1911136"/>
                  <wp:effectExtent l="0" t="0" r="0" b="0"/>
                  <wp:docPr id="1459624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24390" name="Picture 2"/>
                          <pic:cNvPicPr>
                            <a:picLocks noChangeAspect="1" noChangeArrowheads="1"/>
                          </pic:cNvPicPr>
                        </pic:nvPicPr>
                        <pic:blipFill>
                          <a:blip r:embed="rId228">
                            <a:extLst>
                              <a:ext uri="{28A0092B-C50C-407E-A947-70E740481C1C}">
                                <a14:useLocalDpi xmlns:a14="http://schemas.microsoft.com/office/drawing/2010/main" val="0"/>
                              </a:ext>
                              <a:ext uri="{96DAC541-7B7A-43D3-8B79-37D633B846F1}">
                                <asvg:svgBlip xmlns:asvg="http://schemas.microsoft.com/office/drawing/2016/SVG/main" r:embed="rId229"/>
                              </a:ext>
                            </a:extLst>
                          </a:blip>
                          <a:stretch>
                            <a:fillRect/>
                          </a:stretch>
                        </pic:blipFill>
                        <pic:spPr bwMode="auto">
                          <a:xfrm>
                            <a:off x="0" y="0"/>
                            <a:ext cx="5400000" cy="1911136"/>
                          </a:xfrm>
                          <a:prstGeom prst="rect">
                            <a:avLst/>
                          </a:prstGeom>
                        </pic:spPr>
                      </pic:pic>
                    </a:graphicData>
                  </a:graphic>
                </wp:inline>
              </w:drawing>
            </w:r>
          </w:p>
        </w:tc>
      </w:tr>
      <w:tr w:rsidR="00307258" w:rsidRPr="0078056B" w14:paraId="11D20D7E" w14:textId="77777777" w:rsidTr="00C042A1">
        <w:trPr>
          <w:cantSplit/>
        </w:trPr>
        <w:tc>
          <w:tcPr>
            <w:tcW w:w="0" w:type="auto"/>
          </w:tcPr>
          <w:p w14:paraId="25FDB9EA" w14:textId="77777777" w:rsidR="00307258" w:rsidRPr="0078056B" w:rsidRDefault="00307258" w:rsidP="00C042A1">
            <w:pPr>
              <w:pStyle w:val="PlaceholderText"/>
              <w:jc w:val="center"/>
            </w:pPr>
            <w:r w:rsidRPr="0078056B">
              <w:rPr>
                <w:noProof/>
              </w:rPr>
              <w:drawing>
                <wp:inline distT="0" distB="0" distL="0" distR="0" wp14:anchorId="65DDAA73" wp14:editId="03E0EE8C">
                  <wp:extent cx="5400000" cy="1911136"/>
                  <wp:effectExtent l="0" t="0" r="0" b="0"/>
                  <wp:docPr id="2850671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67182" name="Picture 2"/>
                          <pic:cNvPicPr>
                            <a:picLocks noChangeAspect="1" noChangeArrowheads="1"/>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bwMode="auto">
                          <a:xfrm>
                            <a:off x="0" y="0"/>
                            <a:ext cx="5400000" cy="1911136"/>
                          </a:xfrm>
                          <a:prstGeom prst="rect">
                            <a:avLst/>
                          </a:prstGeom>
                        </pic:spPr>
                      </pic:pic>
                    </a:graphicData>
                  </a:graphic>
                </wp:inline>
              </w:drawing>
            </w:r>
          </w:p>
        </w:tc>
      </w:tr>
      <w:tr w:rsidR="00307258" w:rsidRPr="0078056B" w14:paraId="6BD66C0A" w14:textId="77777777" w:rsidTr="00C042A1">
        <w:trPr>
          <w:cantSplit/>
        </w:trPr>
        <w:tc>
          <w:tcPr>
            <w:tcW w:w="0" w:type="auto"/>
          </w:tcPr>
          <w:p w14:paraId="425C5930" w14:textId="77777777" w:rsidR="00307258" w:rsidRPr="0078056B" w:rsidRDefault="00307258" w:rsidP="00C042A1">
            <w:pPr>
              <w:pStyle w:val="PlaceholderText"/>
              <w:jc w:val="center"/>
            </w:pPr>
            <w:r w:rsidRPr="0078056B">
              <w:rPr>
                <w:noProof/>
              </w:rPr>
              <w:drawing>
                <wp:inline distT="0" distB="0" distL="0" distR="0" wp14:anchorId="672C327F" wp14:editId="259A1079">
                  <wp:extent cx="5400000" cy="2095700"/>
                  <wp:effectExtent l="0" t="0" r="0" b="0"/>
                  <wp:docPr id="17772946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94634" name="Picture 4"/>
                          <pic:cNvPicPr>
                            <a:picLocks noChangeAspect="1" noChangeArrowheads="1"/>
                          </pic:cNvPicPr>
                        </pic:nvPicPr>
                        <pic:blipFill>
                          <a:blip r:embed="rId232">
                            <a:extLst>
                              <a:ext uri="{28A0092B-C50C-407E-A947-70E740481C1C}">
                                <a14:useLocalDpi xmlns:a14="http://schemas.microsoft.com/office/drawing/2010/main" val="0"/>
                              </a:ext>
                              <a:ext uri="{96DAC541-7B7A-43D3-8B79-37D633B846F1}">
                                <asvg:svgBlip xmlns:asvg="http://schemas.microsoft.com/office/drawing/2016/SVG/main" r:embed="rId233"/>
                              </a:ext>
                            </a:extLst>
                          </a:blip>
                          <a:stretch>
                            <a:fillRect/>
                          </a:stretch>
                        </pic:blipFill>
                        <pic:spPr bwMode="auto">
                          <a:xfrm>
                            <a:off x="0" y="0"/>
                            <a:ext cx="5400000" cy="2095700"/>
                          </a:xfrm>
                          <a:prstGeom prst="rect">
                            <a:avLst/>
                          </a:prstGeom>
                        </pic:spPr>
                      </pic:pic>
                    </a:graphicData>
                  </a:graphic>
                </wp:inline>
              </w:drawing>
            </w:r>
          </w:p>
        </w:tc>
      </w:tr>
      <w:tr w:rsidR="00307258" w:rsidRPr="0078056B" w14:paraId="20E9A4B2" w14:textId="77777777" w:rsidTr="00C042A1">
        <w:trPr>
          <w:cantSplit/>
        </w:trPr>
        <w:tc>
          <w:tcPr>
            <w:tcW w:w="0" w:type="auto"/>
          </w:tcPr>
          <w:p w14:paraId="1BFBA12A" w14:textId="77777777" w:rsidR="00307258" w:rsidRPr="0078056B" w:rsidRDefault="00307258" w:rsidP="00C042A1">
            <w:pPr>
              <w:pStyle w:val="TableSource"/>
              <w:jc w:val="both"/>
              <w:rPr>
                <w:b w:val="0"/>
                <w:i w:val="0"/>
              </w:rPr>
            </w:pPr>
            <w:r w:rsidRPr="0078056B">
              <w:rPr>
                <w:b w:val="0"/>
                <w:i w:val="0"/>
              </w:rPr>
              <w:t>Note: Monetary estimates are presented in 2021-22 prices, rounded to the nearest £1 million, and may not add up precisely to the totals indicated. Employment estimates are rounded to the nearest 5, and again may not add up precisely to the totals indicated.</w:t>
            </w:r>
          </w:p>
          <w:p w14:paraId="1F628088" w14:textId="77777777" w:rsidR="00307258" w:rsidRPr="0078056B" w:rsidRDefault="00307258" w:rsidP="00C042A1">
            <w:pPr>
              <w:pStyle w:val="TableSource"/>
              <w:jc w:val="both"/>
            </w:pPr>
            <w:r w:rsidRPr="0078056B">
              <w:t>Source: London Economics’ analysis</w:t>
            </w:r>
          </w:p>
        </w:tc>
      </w:tr>
    </w:tbl>
    <w:p w14:paraId="3E5FF87C" w14:textId="77777777" w:rsidR="00307258" w:rsidRPr="0078056B" w:rsidRDefault="00307258" w:rsidP="00307258">
      <w:r w:rsidRPr="0078056B">
        <w:t xml:space="preserve">Considering the breakdown by region, in terms of </w:t>
      </w:r>
      <w:r w:rsidRPr="0078056B">
        <w:rPr>
          <w:b/>
          <w:bCs/>
          <w:color w:val="06357A"/>
        </w:rPr>
        <w:t>economic output</w:t>
      </w:r>
      <w:r w:rsidRPr="0078056B">
        <w:rPr>
          <w:b/>
          <w:bCs/>
          <w:color w:val="06357A" w:themeColor="accent1"/>
        </w:rPr>
        <w:t xml:space="preserve"> </w:t>
      </w:r>
      <w:r w:rsidRPr="0078056B">
        <w:t>(top panel), more than half of the total impact</w:t>
      </w:r>
      <w:r w:rsidRPr="0078056B">
        <w:rPr>
          <w:rStyle w:val="FootnoteReference"/>
        </w:rPr>
        <w:footnoteReference w:id="111"/>
      </w:r>
      <w:r w:rsidRPr="0078056B">
        <w:t xml:space="preserve"> (</w:t>
      </w:r>
      <w:r w:rsidRPr="0078056B">
        <w:rPr>
          <w:b/>
          <w:bCs/>
          <w:color w:val="06357A"/>
        </w:rPr>
        <w:t>£541 million</w:t>
      </w:r>
      <w:r w:rsidRPr="0078056B">
        <w:t>) of the University of Birmingham’s research and knowledge exchange activities (</w:t>
      </w:r>
      <w:r w:rsidRPr="0078056B">
        <w:rPr>
          <w:b/>
          <w:bCs/>
          <w:color w:val="06357A"/>
        </w:rPr>
        <w:t>£304 million</w:t>
      </w:r>
      <w:r w:rsidRPr="0078056B">
        <w:t>,</w:t>
      </w:r>
      <w:r w:rsidRPr="0078056B">
        <w:rPr>
          <w:b/>
          <w:bCs/>
          <w:color w:val="06357A" w:themeColor="accent1"/>
        </w:rPr>
        <w:t xml:space="preserve"> </w:t>
      </w:r>
      <w:r w:rsidRPr="0078056B">
        <w:rPr>
          <w:b/>
          <w:bCs/>
          <w:color w:val="06357A"/>
        </w:rPr>
        <w:t>56%</w:t>
      </w:r>
      <w:r w:rsidRPr="0078056B">
        <w:t>) occurred in the</w:t>
      </w:r>
      <w:r w:rsidRPr="0078056B">
        <w:rPr>
          <w:b/>
          <w:bCs/>
          <w:color w:val="06357A"/>
        </w:rPr>
        <w:t xml:space="preserve"> West Midlands</w:t>
      </w:r>
      <w:r w:rsidRPr="0078056B">
        <w:t xml:space="preserve">, but there were also significant impacts occurring in other regions across the UK, particularly in </w:t>
      </w:r>
      <w:r w:rsidRPr="0078056B">
        <w:rPr>
          <w:b/>
          <w:bCs/>
          <w:color w:val="06357A"/>
        </w:rPr>
        <w:t>London</w:t>
      </w:r>
      <w:r w:rsidRPr="0078056B">
        <w:rPr>
          <w:b/>
          <w:bCs/>
          <w:color w:val="06357A" w:themeColor="accent1"/>
        </w:rPr>
        <w:t xml:space="preserve"> </w:t>
      </w:r>
      <w:r w:rsidRPr="0078056B">
        <w:t>(</w:t>
      </w:r>
      <w:r w:rsidRPr="0078056B">
        <w:rPr>
          <w:b/>
          <w:bCs/>
          <w:color w:val="06357A"/>
        </w:rPr>
        <w:t>£62 million</w:t>
      </w:r>
      <w:r w:rsidRPr="0078056B">
        <w:t xml:space="preserve">, </w:t>
      </w:r>
      <w:r w:rsidRPr="0078056B">
        <w:rPr>
          <w:b/>
          <w:bCs/>
          <w:color w:val="06357A"/>
        </w:rPr>
        <w:t>12%</w:t>
      </w:r>
      <w:r w:rsidRPr="0078056B">
        <w:t xml:space="preserve">), and the </w:t>
      </w:r>
      <w:r w:rsidRPr="0078056B">
        <w:rPr>
          <w:b/>
          <w:bCs/>
          <w:color w:val="06357A"/>
        </w:rPr>
        <w:t>East of England</w:t>
      </w:r>
      <w:r w:rsidRPr="0078056B">
        <w:rPr>
          <w:color w:val="06357A" w:themeColor="accent1"/>
        </w:rPr>
        <w:t xml:space="preserve"> </w:t>
      </w:r>
      <w:r w:rsidRPr="0078056B">
        <w:t>(</w:t>
      </w:r>
      <w:r w:rsidRPr="0078056B">
        <w:rPr>
          <w:b/>
          <w:bCs/>
          <w:color w:val="06357A"/>
        </w:rPr>
        <w:t>£31 million</w:t>
      </w:r>
      <w:r w:rsidRPr="0078056B">
        <w:t xml:space="preserve">, </w:t>
      </w:r>
      <w:r w:rsidRPr="0078056B">
        <w:rPr>
          <w:b/>
          <w:bCs/>
          <w:color w:val="06357A"/>
        </w:rPr>
        <w:t>6%</w:t>
      </w:r>
      <w:r w:rsidRPr="0078056B">
        <w:t>).</w:t>
      </w:r>
    </w:p>
    <w:p w14:paraId="02CC9341" w14:textId="1CB5C2A2" w:rsidR="00307258" w:rsidRPr="0078056B" w:rsidRDefault="00307258" w:rsidP="00307258">
      <w:r w:rsidRPr="0078056B">
        <w:lastRenderedPageBreak/>
        <w:t xml:space="preserve">Additionally, in terms of </w:t>
      </w:r>
      <w:r w:rsidRPr="0078056B">
        <w:rPr>
          <w:b/>
          <w:bCs/>
          <w:color w:val="06357A"/>
        </w:rPr>
        <w:t xml:space="preserve">GVA </w:t>
      </w:r>
      <w:r w:rsidRPr="0078056B">
        <w:t xml:space="preserve">(middle panel), the impact was estimated to be approximately </w:t>
      </w:r>
      <w:r w:rsidRPr="0078056B">
        <w:rPr>
          <w:b/>
          <w:bCs/>
          <w:color w:val="06357A"/>
        </w:rPr>
        <w:t>£324 million</w:t>
      </w:r>
      <w:r w:rsidRPr="0078056B">
        <w:rPr>
          <w:color w:val="06357A" w:themeColor="accent1"/>
        </w:rPr>
        <w:t xml:space="preserve"> </w:t>
      </w:r>
      <w:r w:rsidRPr="0078056B">
        <w:t xml:space="preserve">across the UK economy as a whole, of which </w:t>
      </w:r>
      <w:r w:rsidRPr="0078056B">
        <w:rPr>
          <w:b/>
          <w:bCs/>
          <w:color w:val="06357A"/>
        </w:rPr>
        <w:t>£196 million</w:t>
      </w:r>
      <w:r w:rsidRPr="0078056B">
        <w:rPr>
          <w:color w:val="06357A" w:themeColor="accent1"/>
        </w:rPr>
        <w:t xml:space="preserve"> </w:t>
      </w:r>
      <w:r w:rsidRPr="0078056B">
        <w:t>occurr</w:t>
      </w:r>
      <w:r w:rsidR="007F2A6E" w:rsidRPr="0078056B">
        <w:t>ed</w:t>
      </w:r>
      <w:r w:rsidRPr="0078056B">
        <w:t xml:space="preserve"> in the </w:t>
      </w:r>
      <w:r w:rsidRPr="0078056B">
        <w:rPr>
          <w:b/>
          <w:bCs/>
          <w:color w:val="06357A"/>
        </w:rPr>
        <w:t>West Midlands</w:t>
      </w:r>
      <w:r w:rsidRPr="0078056B">
        <w:t xml:space="preserve">. Finally, of the estimated </w:t>
      </w:r>
      <w:r w:rsidRPr="0078056B">
        <w:rPr>
          <w:b/>
          <w:bCs/>
          <w:color w:val="06357A"/>
        </w:rPr>
        <w:t>6,880 FTE jobs</w:t>
      </w:r>
      <w:r w:rsidRPr="0078056B">
        <w:rPr>
          <w:color w:val="000000" w:themeColor="text1"/>
        </w:rPr>
        <w:t xml:space="preserve"> (bottom panel) that were supported by </w:t>
      </w:r>
      <w:r w:rsidR="001279B4" w:rsidRPr="0078056B">
        <w:rPr>
          <w:color w:val="000000" w:themeColor="text1"/>
        </w:rPr>
        <w:t>the University’s</w:t>
      </w:r>
      <w:r w:rsidRPr="0078056B">
        <w:t xml:space="preserve"> research and knowledge exchange activities </w:t>
      </w:r>
      <w:r w:rsidRPr="0078056B">
        <w:rPr>
          <w:color w:val="000000" w:themeColor="text1"/>
        </w:rPr>
        <w:t xml:space="preserve">across </w:t>
      </w:r>
      <w:r w:rsidRPr="0078056B">
        <w:t xml:space="preserve">the UK as a whole, the majority (approximately </w:t>
      </w:r>
      <w:r w:rsidRPr="0078056B">
        <w:rPr>
          <w:b/>
          <w:bCs/>
          <w:color w:val="06357A"/>
        </w:rPr>
        <w:t>3,875</w:t>
      </w:r>
      <w:r w:rsidRPr="0078056B">
        <w:t xml:space="preserve">) were located within the </w:t>
      </w:r>
      <w:r w:rsidRPr="0078056B">
        <w:rPr>
          <w:b/>
          <w:bCs/>
          <w:color w:val="06357A"/>
        </w:rPr>
        <w:t>West Midlands</w:t>
      </w:r>
      <w:r w:rsidRPr="0078056B">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307258" w:rsidRPr="0078056B" w14:paraId="2DBF4C11" w14:textId="77777777" w:rsidTr="00C042A1">
        <w:trPr>
          <w:cantSplit/>
        </w:trPr>
        <w:tc>
          <w:tcPr>
            <w:tcW w:w="0" w:type="auto"/>
          </w:tcPr>
          <w:p w14:paraId="7D39CECB" w14:textId="77777777" w:rsidR="00307258" w:rsidRPr="0078056B" w:rsidRDefault="00307258" w:rsidP="00C042A1">
            <w:pPr>
              <w:pStyle w:val="FigureTitle"/>
            </w:pPr>
            <w:bookmarkStart w:id="450" w:name="_Ref142992540"/>
            <w:bookmarkStart w:id="451" w:name="_Toc156480261"/>
            <w:bookmarkStart w:id="452" w:name="_Toc160803974"/>
            <w:bookmarkStart w:id="453" w:name="_Toc168652224"/>
            <w:r w:rsidRPr="0078056B">
              <w:t>Estimated total economic impact associated with the University of Birmingham’s research and knowledge exchange activities in 2021-22, by sector</w:t>
            </w:r>
            <w:bookmarkEnd w:id="450"/>
            <w:bookmarkEnd w:id="451"/>
            <w:bookmarkEnd w:id="452"/>
            <w:bookmarkEnd w:id="453"/>
          </w:p>
        </w:tc>
      </w:tr>
      <w:tr w:rsidR="00307258" w:rsidRPr="0078056B" w14:paraId="1293EB14" w14:textId="77777777" w:rsidTr="00C042A1">
        <w:trPr>
          <w:cantSplit/>
        </w:trPr>
        <w:tc>
          <w:tcPr>
            <w:tcW w:w="0" w:type="auto"/>
          </w:tcPr>
          <w:p w14:paraId="1ED5FE92" w14:textId="77777777" w:rsidR="00307258" w:rsidRPr="0078056B" w:rsidRDefault="00307258" w:rsidP="00C042A1">
            <w:pPr>
              <w:pStyle w:val="PlaceholderText"/>
            </w:pPr>
            <w:r w:rsidRPr="0078056B">
              <w:rPr>
                <w:noProof/>
              </w:rPr>
              <w:drawing>
                <wp:inline distT="0" distB="0" distL="0" distR="0" wp14:anchorId="2276BFBC" wp14:editId="40A6579A">
                  <wp:extent cx="5616000" cy="1822915"/>
                  <wp:effectExtent l="0" t="0" r="3810" b="6350"/>
                  <wp:docPr id="13723546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54637" name="Picture 5"/>
                          <pic:cNvPicPr>
                            <a:picLocks noChangeAspect="1" noChangeArrowheads="1"/>
                          </pic:cNvPicPr>
                        </pic:nvPicPr>
                        <pic:blipFill>
                          <a:blip r:embed="rId234">
                            <a:extLst>
                              <a:ext uri="{28A0092B-C50C-407E-A947-70E740481C1C}">
                                <a14:useLocalDpi xmlns:a14="http://schemas.microsoft.com/office/drawing/2010/main" val="0"/>
                              </a:ext>
                              <a:ext uri="{96DAC541-7B7A-43D3-8B79-37D633B846F1}">
                                <asvg:svgBlip xmlns:asvg="http://schemas.microsoft.com/office/drawing/2016/SVG/main" r:embed="rId235"/>
                              </a:ext>
                            </a:extLst>
                          </a:blip>
                          <a:stretch>
                            <a:fillRect/>
                          </a:stretch>
                        </pic:blipFill>
                        <pic:spPr bwMode="auto">
                          <a:xfrm>
                            <a:off x="0" y="0"/>
                            <a:ext cx="5616000" cy="1822915"/>
                          </a:xfrm>
                          <a:prstGeom prst="rect">
                            <a:avLst/>
                          </a:prstGeom>
                        </pic:spPr>
                      </pic:pic>
                    </a:graphicData>
                  </a:graphic>
                </wp:inline>
              </w:drawing>
            </w:r>
          </w:p>
        </w:tc>
      </w:tr>
      <w:tr w:rsidR="00307258" w:rsidRPr="0078056B" w14:paraId="6383FC59" w14:textId="77777777" w:rsidTr="00C042A1">
        <w:trPr>
          <w:cantSplit/>
        </w:trPr>
        <w:tc>
          <w:tcPr>
            <w:tcW w:w="0" w:type="auto"/>
          </w:tcPr>
          <w:p w14:paraId="4FAE0F0B" w14:textId="77777777" w:rsidR="00307258" w:rsidRPr="0078056B" w:rsidRDefault="00307258" w:rsidP="00C042A1">
            <w:pPr>
              <w:pStyle w:val="PlaceholderText"/>
            </w:pPr>
            <w:r w:rsidRPr="0078056B">
              <w:rPr>
                <w:noProof/>
              </w:rPr>
              <w:drawing>
                <wp:inline distT="0" distB="0" distL="0" distR="0" wp14:anchorId="487B93A6" wp14:editId="47DC25F0">
                  <wp:extent cx="5616000" cy="1742189"/>
                  <wp:effectExtent l="0" t="0" r="3810" b="0"/>
                  <wp:docPr id="4038015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01573" name="Picture 5"/>
                          <pic:cNvPicPr>
                            <a:picLocks noChangeAspect="1" noChangeArrowheads="1"/>
                          </pic:cNvPicPr>
                        </pic:nvPicPr>
                        <pic:blipFill>
                          <a:blip r:embed="rId236">
                            <a:extLst>
                              <a:ext uri="{28A0092B-C50C-407E-A947-70E740481C1C}">
                                <a14:useLocalDpi xmlns:a14="http://schemas.microsoft.com/office/drawing/2010/main" val="0"/>
                              </a:ext>
                              <a:ext uri="{96DAC541-7B7A-43D3-8B79-37D633B846F1}">
                                <asvg:svgBlip xmlns:asvg="http://schemas.microsoft.com/office/drawing/2016/SVG/main" r:embed="rId237"/>
                              </a:ext>
                            </a:extLst>
                          </a:blip>
                          <a:stretch>
                            <a:fillRect/>
                          </a:stretch>
                        </pic:blipFill>
                        <pic:spPr bwMode="auto">
                          <a:xfrm>
                            <a:off x="0" y="0"/>
                            <a:ext cx="5616000" cy="1742189"/>
                          </a:xfrm>
                          <a:prstGeom prst="rect">
                            <a:avLst/>
                          </a:prstGeom>
                        </pic:spPr>
                      </pic:pic>
                    </a:graphicData>
                  </a:graphic>
                </wp:inline>
              </w:drawing>
            </w:r>
          </w:p>
        </w:tc>
      </w:tr>
      <w:tr w:rsidR="00307258" w:rsidRPr="0078056B" w14:paraId="734EBD02" w14:textId="77777777" w:rsidTr="00C042A1">
        <w:trPr>
          <w:cantSplit/>
        </w:trPr>
        <w:tc>
          <w:tcPr>
            <w:tcW w:w="0" w:type="auto"/>
          </w:tcPr>
          <w:p w14:paraId="5974DCFD" w14:textId="77777777" w:rsidR="00307258" w:rsidRPr="0078056B" w:rsidRDefault="00307258" w:rsidP="00C042A1">
            <w:pPr>
              <w:pStyle w:val="PlaceholderText"/>
            </w:pPr>
            <w:r w:rsidRPr="0078056B">
              <w:rPr>
                <w:noProof/>
              </w:rPr>
              <w:drawing>
                <wp:inline distT="0" distB="0" distL="0" distR="0" wp14:anchorId="63A851D6" wp14:editId="4B585CED">
                  <wp:extent cx="5616000" cy="1822915"/>
                  <wp:effectExtent l="0" t="0" r="3810" b="6350"/>
                  <wp:docPr id="12536243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24332" name="Picture 8"/>
                          <pic:cNvPicPr>
                            <a:picLocks noChangeAspect="1" noChangeArrowheads="1"/>
                          </pic:cNvPicPr>
                        </pic:nvPicPr>
                        <pic:blipFill>
                          <a:blip r:embed="rId238">
                            <a:extLst>
                              <a:ext uri="{28A0092B-C50C-407E-A947-70E740481C1C}">
                                <a14:useLocalDpi xmlns:a14="http://schemas.microsoft.com/office/drawing/2010/main" val="0"/>
                              </a:ext>
                              <a:ext uri="{96DAC541-7B7A-43D3-8B79-37D633B846F1}">
                                <asvg:svgBlip xmlns:asvg="http://schemas.microsoft.com/office/drawing/2016/SVG/main" r:embed="rId239"/>
                              </a:ext>
                            </a:extLst>
                          </a:blip>
                          <a:stretch>
                            <a:fillRect/>
                          </a:stretch>
                        </pic:blipFill>
                        <pic:spPr bwMode="auto">
                          <a:xfrm>
                            <a:off x="0" y="0"/>
                            <a:ext cx="5616000" cy="1822915"/>
                          </a:xfrm>
                          <a:prstGeom prst="rect">
                            <a:avLst/>
                          </a:prstGeom>
                        </pic:spPr>
                      </pic:pic>
                    </a:graphicData>
                  </a:graphic>
                </wp:inline>
              </w:drawing>
            </w:r>
          </w:p>
        </w:tc>
      </w:tr>
      <w:tr w:rsidR="00307258" w:rsidRPr="0078056B" w14:paraId="330AFE1D" w14:textId="77777777" w:rsidTr="00C042A1">
        <w:trPr>
          <w:cantSplit/>
        </w:trPr>
        <w:tc>
          <w:tcPr>
            <w:tcW w:w="0" w:type="auto"/>
          </w:tcPr>
          <w:p w14:paraId="2EB5F388" w14:textId="77777777" w:rsidR="00307258" w:rsidRPr="0078056B" w:rsidRDefault="00307258" w:rsidP="00C042A1">
            <w:pPr>
              <w:pStyle w:val="TableSource"/>
              <w:jc w:val="both"/>
              <w:rPr>
                <w:b w:val="0"/>
                <w:i w:val="0"/>
              </w:rPr>
            </w:pPr>
            <w:r w:rsidRPr="0078056B">
              <w:rPr>
                <w:b w:val="0"/>
                <w:i w:val="0"/>
              </w:rPr>
              <w:t>Note: Monetary estimates are presented in 2021-22 prices, rounded to the nearest £1 million, and may not add up precisely to the totals indicated. Employment estimates are rounded to the nearest 5, and again may not add up precisely to the totals indicated.</w:t>
            </w:r>
          </w:p>
          <w:p w14:paraId="154C8159" w14:textId="77777777" w:rsidR="00307258" w:rsidRPr="0078056B" w:rsidRDefault="00307258" w:rsidP="00C042A1">
            <w:pPr>
              <w:pStyle w:val="TableSource"/>
              <w:jc w:val="both"/>
            </w:pPr>
            <w:r w:rsidRPr="0078056B">
              <w:t>Source: London Economics’ analysis</w:t>
            </w:r>
          </w:p>
        </w:tc>
      </w:tr>
    </w:tbl>
    <w:p w14:paraId="58F94A29" w14:textId="052EBAE3" w:rsidR="00307258" w:rsidRPr="0078056B" w:rsidRDefault="00307258" w:rsidP="00307258">
      <w:r w:rsidRPr="0078056B">
        <w:t xml:space="preserve">In terms of sector, </w:t>
      </w:r>
      <w:r w:rsidR="001279B4" w:rsidRPr="0078056B">
        <w:t>the University’s</w:t>
      </w:r>
      <w:r w:rsidRPr="0078056B">
        <w:t xml:space="preserve"> research and knowledge exchange activities resulted in particularly large impacts within the </w:t>
      </w:r>
      <w:r w:rsidRPr="0078056B">
        <w:rPr>
          <w:b/>
          <w:bCs/>
          <w:color w:val="06357A"/>
        </w:rPr>
        <w:t>government, health &amp; education</w:t>
      </w:r>
      <w:r w:rsidRPr="0078056B">
        <w:t xml:space="preserve"> (</w:t>
      </w:r>
      <w:r w:rsidRPr="0078056B">
        <w:rPr>
          <w:b/>
          <w:bCs/>
          <w:color w:val="06357A"/>
        </w:rPr>
        <w:t>£248 million</w:t>
      </w:r>
      <w:r w:rsidRPr="0078056B">
        <w:t xml:space="preserve">, </w:t>
      </w:r>
      <w:r w:rsidRPr="0078056B">
        <w:rPr>
          <w:b/>
          <w:bCs/>
          <w:color w:val="06357A"/>
        </w:rPr>
        <w:t>46%</w:t>
      </w:r>
      <w:r w:rsidRPr="0078056B">
        <w:t xml:space="preserve">), the </w:t>
      </w:r>
      <w:r w:rsidRPr="0078056B">
        <w:rPr>
          <w:b/>
          <w:bCs/>
          <w:color w:val="06357A"/>
        </w:rPr>
        <w:t>distribution, transport, hotels, and restaurant sector</w:t>
      </w:r>
      <w:r w:rsidRPr="0078056B">
        <w:rPr>
          <w:color w:val="06357A" w:themeColor="accent1"/>
        </w:rPr>
        <w:t xml:space="preserve"> </w:t>
      </w:r>
      <w:r w:rsidRPr="0078056B">
        <w:t>(</w:t>
      </w:r>
      <w:r w:rsidRPr="0078056B">
        <w:rPr>
          <w:b/>
          <w:bCs/>
          <w:color w:val="06357A"/>
        </w:rPr>
        <w:t>£69 million</w:t>
      </w:r>
      <w:r w:rsidRPr="0078056B">
        <w:t xml:space="preserve">, </w:t>
      </w:r>
      <w:r w:rsidRPr="0078056B">
        <w:rPr>
          <w:b/>
          <w:bCs/>
          <w:color w:val="06357A"/>
        </w:rPr>
        <w:t>13%</w:t>
      </w:r>
      <w:r w:rsidRPr="0078056B">
        <w:t xml:space="preserve">), and the </w:t>
      </w:r>
      <w:r w:rsidRPr="0078056B">
        <w:rPr>
          <w:b/>
          <w:bCs/>
          <w:color w:val="06357A"/>
        </w:rPr>
        <w:t xml:space="preserve">production sector </w:t>
      </w:r>
      <w:r w:rsidRPr="0078056B">
        <w:t>(</w:t>
      </w:r>
      <w:r w:rsidRPr="0078056B">
        <w:rPr>
          <w:b/>
          <w:bCs/>
          <w:color w:val="06357A"/>
        </w:rPr>
        <w:t>£65 million</w:t>
      </w:r>
      <w:r w:rsidRPr="0078056B">
        <w:t xml:space="preserve">, </w:t>
      </w:r>
      <w:r w:rsidRPr="0078056B">
        <w:rPr>
          <w:b/>
          <w:bCs/>
          <w:color w:val="06357A"/>
        </w:rPr>
        <w:t>12%</w:t>
      </w:r>
      <w:r w:rsidRPr="0078056B">
        <w:t>).</w:t>
      </w:r>
    </w:p>
    <w:p w14:paraId="0BBF27E1" w14:textId="36DC1CF7" w:rsidR="003A6119" w:rsidRPr="0078056B" w:rsidRDefault="00D060EC" w:rsidP="003A6119">
      <w:pPr>
        <w:pStyle w:val="AnnexHeading2"/>
        <w:rPr>
          <w:rFonts w:asciiTheme="minorHAnsi" w:hAnsiTheme="minorHAnsi" w:cstheme="minorHAnsi"/>
        </w:rPr>
      </w:pPr>
      <w:bookmarkStart w:id="454" w:name="_Ref142578317"/>
      <w:bookmarkStart w:id="455" w:name="_Toc146871910"/>
      <w:bookmarkStart w:id="456" w:name="_Toc160636330"/>
      <w:bookmarkStart w:id="457" w:name="_Ref162254768"/>
      <w:bookmarkStart w:id="458" w:name="_Toc168652154"/>
      <w:r w:rsidRPr="0078056B">
        <w:rPr>
          <w:rFonts w:asciiTheme="minorHAnsi" w:hAnsiTheme="minorHAnsi" w:cstheme="minorHAnsi"/>
        </w:rPr>
        <w:lastRenderedPageBreak/>
        <w:t>Impact</w:t>
      </w:r>
      <w:r w:rsidR="003A6119" w:rsidRPr="0078056B">
        <w:rPr>
          <w:rFonts w:asciiTheme="minorHAnsi" w:hAnsiTheme="minorHAnsi" w:cstheme="minorHAnsi"/>
        </w:rPr>
        <w:t xml:space="preserve"> of the University’s teaching and learning activities</w:t>
      </w:r>
      <w:bookmarkEnd w:id="454"/>
      <w:bookmarkEnd w:id="455"/>
      <w:bookmarkEnd w:id="456"/>
      <w:bookmarkEnd w:id="457"/>
      <w:bookmarkEnd w:id="458"/>
    </w:p>
    <w:p w14:paraId="3F6986DB" w14:textId="3084816B" w:rsidR="003A6119" w:rsidRPr="0078056B" w:rsidRDefault="003A6119" w:rsidP="003A6119">
      <w:pPr>
        <w:rPr>
          <w:rFonts w:asciiTheme="minorHAnsi" w:eastAsia="Calibri" w:hAnsiTheme="minorHAnsi" w:cstheme="minorHAnsi"/>
        </w:rPr>
      </w:pPr>
      <w:r w:rsidRPr="0078056B">
        <w:rPr>
          <w:rFonts w:asciiTheme="minorHAnsi" w:hAnsiTheme="minorHAnsi" w:cstheme="minorHAnsi"/>
        </w:rPr>
        <w:t xml:space="preserve">Section </w:t>
      </w:r>
      <w:r w:rsidR="0021730A" w:rsidRPr="0078056B">
        <w:rPr>
          <w:rFonts w:asciiTheme="minorHAnsi" w:hAnsiTheme="minorHAnsi" w:cstheme="minorHAnsi"/>
        </w:rPr>
        <w:fldChar w:fldCharType="begin"/>
      </w:r>
      <w:r w:rsidR="0021730A" w:rsidRPr="0078056B">
        <w:rPr>
          <w:rFonts w:asciiTheme="minorHAnsi" w:hAnsiTheme="minorHAnsi" w:cstheme="minorHAnsi"/>
        </w:rPr>
        <w:instrText xml:space="preserve"> REF _Ref161750690 \r \h  \* MERGEFORMAT </w:instrText>
      </w:r>
      <w:r w:rsidR="0021730A" w:rsidRPr="0078056B">
        <w:rPr>
          <w:rFonts w:asciiTheme="minorHAnsi" w:hAnsiTheme="minorHAnsi" w:cstheme="minorHAnsi"/>
        </w:rPr>
      </w:r>
      <w:r w:rsidR="0021730A" w:rsidRPr="0078056B">
        <w:rPr>
          <w:rFonts w:asciiTheme="minorHAnsi" w:hAnsiTheme="minorHAnsi" w:cstheme="minorHAnsi"/>
        </w:rPr>
        <w:fldChar w:fldCharType="separate"/>
      </w:r>
      <w:r w:rsidR="00E33157">
        <w:rPr>
          <w:rFonts w:asciiTheme="minorHAnsi" w:hAnsiTheme="minorHAnsi" w:cstheme="minorHAnsi"/>
        </w:rPr>
        <w:t>3</w:t>
      </w:r>
      <w:r w:rsidR="0021730A" w:rsidRPr="0078056B">
        <w:rPr>
          <w:rFonts w:asciiTheme="minorHAnsi" w:hAnsiTheme="minorHAnsi" w:cstheme="minorHAnsi"/>
        </w:rPr>
        <w:fldChar w:fldCharType="end"/>
      </w:r>
      <w:r w:rsidRPr="0078056B">
        <w:rPr>
          <w:rFonts w:asciiTheme="minorHAnsi" w:hAnsiTheme="minorHAnsi" w:cstheme="minorHAnsi"/>
        </w:rPr>
        <w:t xml:space="preserve"> outlined our analysis of </w:t>
      </w:r>
      <w:r w:rsidRPr="0078056B">
        <w:rPr>
          <w:rFonts w:asciiTheme="minorHAnsi" w:eastAsia="Calibri" w:hAnsiTheme="minorHAnsi" w:cstheme="minorHAnsi"/>
        </w:rPr>
        <w:t xml:space="preserve">the </w:t>
      </w:r>
      <w:r w:rsidRPr="0078056B">
        <w:rPr>
          <w:rFonts w:asciiTheme="minorHAnsi" w:eastAsia="Calibri" w:hAnsiTheme="minorHAnsi" w:cstheme="minorHAnsi"/>
          <w:b/>
          <w:bCs/>
          <w:color w:val="06357A"/>
        </w:rPr>
        <w:t xml:space="preserve">economic impact of teaching and learning activities </w:t>
      </w:r>
      <w:r w:rsidRPr="0078056B">
        <w:rPr>
          <w:rFonts w:asciiTheme="minorHAnsi" w:eastAsia="Calibri" w:hAnsiTheme="minorHAnsi" w:cstheme="minorHAnsi"/>
          <w:color w:val="000000" w:themeColor="text1"/>
        </w:rPr>
        <w:t>associated with the cohort of first-year UK domiciled students who started higher education qualifications at the University of Birmingham in the 2021-22 academic year</w:t>
      </w:r>
      <w:r w:rsidRPr="0078056B">
        <w:rPr>
          <w:rFonts w:asciiTheme="minorHAnsi" w:eastAsia="Calibri" w:hAnsiTheme="minorHAnsi" w:cstheme="minorHAnsi"/>
        </w:rPr>
        <w:t xml:space="preserve">. In the following, we provide further details on the underlying methodological approach used to arrive at our estimates of this impact. </w:t>
      </w:r>
    </w:p>
    <w:p w14:paraId="4E67482A" w14:textId="77777777" w:rsidR="003A6119" w:rsidRPr="0078056B" w:rsidRDefault="003A6119" w:rsidP="003A6119">
      <w:pPr>
        <w:pStyle w:val="AnnexHeading3"/>
      </w:pPr>
      <w:bookmarkStart w:id="459" w:name="_Ref143866239"/>
      <w:r w:rsidRPr="0078056B">
        <w:t>Adjusting for completion rates</w:t>
      </w:r>
      <w:bookmarkEnd w:id="459"/>
    </w:p>
    <w:p w14:paraId="6B484D78" w14:textId="682ADE47" w:rsidR="003A6119" w:rsidRPr="0078056B" w:rsidRDefault="003A6119" w:rsidP="003A6119">
      <w:pPr>
        <w:rPr>
          <w:rFonts w:eastAsia="Calibri" w:cs="Times New Roman"/>
        </w:rPr>
      </w:pPr>
      <w:r w:rsidRPr="0078056B">
        <w:rPr>
          <w:rFonts w:eastAsia="Calibri" w:cs="Times New Roman"/>
        </w:rPr>
        <w:t xml:space="preserve">In </w:t>
      </w:r>
      <w:r w:rsidR="00AD0FF4" w:rsidRPr="0078056B">
        <w:rPr>
          <w:rFonts w:eastAsia="Calibri" w:cs="Times New Roman"/>
        </w:rPr>
        <w:t>S</w:t>
      </w:r>
      <w:r w:rsidRPr="0078056B">
        <w:rPr>
          <w:rFonts w:eastAsia="Calibri" w:cs="Times New Roman"/>
        </w:rPr>
        <w:t xml:space="preserve">ection </w:t>
      </w:r>
      <w:r w:rsidR="00AD0FF4" w:rsidRPr="0078056B">
        <w:rPr>
          <w:rFonts w:eastAsia="Calibri" w:cs="Times New Roman"/>
        </w:rPr>
        <w:fldChar w:fldCharType="begin"/>
      </w:r>
      <w:r w:rsidR="00AD0FF4" w:rsidRPr="0078056B">
        <w:rPr>
          <w:rFonts w:eastAsia="Calibri" w:cs="Times New Roman"/>
        </w:rPr>
        <w:instrText xml:space="preserve"> REF _Ref162259129 \r \h </w:instrText>
      </w:r>
      <w:r w:rsidR="0078056B">
        <w:rPr>
          <w:rFonts w:eastAsia="Calibri" w:cs="Times New Roman"/>
        </w:rPr>
        <w:instrText xml:space="preserve"> \* MERGEFORMAT </w:instrText>
      </w:r>
      <w:r w:rsidR="00AD0FF4" w:rsidRPr="0078056B">
        <w:rPr>
          <w:rFonts w:eastAsia="Calibri" w:cs="Times New Roman"/>
        </w:rPr>
      </w:r>
      <w:r w:rsidR="00AD0FF4" w:rsidRPr="0078056B">
        <w:rPr>
          <w:rFonts w:eastAsia="Calibri" w:cs="Times New Roman"/>
        </w:rPr>
        <w:fldChar w:fldCharType="separate"/>
      </w:r>
      <w:r w:rsidR="00E33157">
        <w:rPr>
          <w:rFonts w:eastAsia="Calibri" w:cs="Times New Roman"/>
        </w:rPr>
        <w:t>3.1</w:t>
      </w:r>
      <w:r w:rsidR="00AD0FF4" w:rsidRPr="0078056B">
        <w:rPr>
          <w:rFonts w:eastAsia="Calibri" w:cs="Times New Roman"/>
        </w:rPr>
        <w:fldChar w:fldCharType="end"/>
      </w:r>
      <w:r w:rsidRPr="0078056B">
        <w:rPr>
          <w:rFonts w:eastAsia="Calibri" w:cs="Times New Roman"/>
        </w:rPr>
        <w:t xml:space="preserve">, we provided an overview of the number of UK domiciled students </w:t>
      </w:r>
      <w:r w:rsidRPr="0078056B">
        <w:rPr>
          <w:rFonts w:eastAsia="Calibri" w:cs="Times New Roman"/>
          <w:i/>
        </w:rPr>
        <w:t xml:space="preserve">starting </w:t>
      </w:r>
      <w:r w:rsidRPr="0078056B">
        <w:rPr>
          <w:rFonts w:eastAsia="Calibri" w:cs="Times New Roman"/>
        </w:rPr>
        <w:t xml:space="preserve">qualifications or modules at the University of Birmingham in the 2021-22 academic year. However, to aggregate individual-level impacts of the University’s teaching and learning activity, it is necessary to adjust the number of ‘starters’ to account for </w:t>
      </w:r>
      <w:r w:rsidRPr="0078056B">
        <w:rPr>
          <w:rFonts w:eastAsia="Calibri" w:cs="Times New Roman"/>
          <w:b/>
          <w:color w:val="06357A"/>
        </w:rPr>
        <w:t>completion rates</w:t>
      </w:r>
      <w:r w:rsidRPr="0078056B">
        <w:rPr>
          <w:rFonts w:eastAsia="Calibri" w:cs="Times New Roman"/>
        </w:rPr>
        <w:t>.</w:t>
      </w:r>
    </w:p>
    <w:p w14:paraId="4FD0E91B" w14:textId="77777777" w:rsidR="003A6119" w:rsidRPr="0078056B" w:rsidRDefault="003A6119" w:rsidP="003A6119">
      <w:pPr>
        <w:rPr>
          <w:rFonts w:eastAsia="Calibri" w:cs="Times New Roman"/>
        </w:rPr>
      </w:pPr>
      <w:r w:rsidRPr="0078056B">
        <w:rPr>
          <w:rFonts w:eastAsia="Calibri" w:cs="Times New Roman"/>
        </w:rPr>
        <w:t>To achieve this, we used information provided by the University of Birmingham on the historical completion outcomes of students from the University</w:t>
      </w:r>
      <w:r w:rsidRPr="0078056B">
        <w:rPr>
          <w:rFonts w:eastAsia="Calibri" w:cs="Times New Roman"/>
          <w:vertAlign w:val="superscript"/>
        </w:rPr>
        <w:footnoteReference w:id="112"/>
      </w:r>
      <w:r w:rsidRPr="0078056B">
        <w:rPr>
          <w:rFonts w:eastAsia="Calibri" w:cs="Times New Roman"/>
        </w:rPr>
        <w:t xml:space="preserve"> – broken down by study mode, study intention, and study completion. In other words, these completion data include the number of students who completed their intended qualification (or module); completed a different</w:t>
      </w:r>
      <w:r w:rsidRPr="0078056B">
        <w:rPr>
          <w:rFonts w:eastAsia="Calibri" w:cs="Times New Roman"/>
          <w:i/>
          <w:iCs/>
        </w:rPr>
        <w:t xml:space="preserve"> </w:t>
      </w:r>
      <w:r w:rsidRPr="0078056B">
        <w:rPr>
          <w:rFonts w:eastAsia="Calibri" w:cs="Times New Roman"/>
        </w:rPr>
        <w:t>(usually lower) qualification; or discontinued their studies without being awarded a qualification (modelled as completion at ‘other undergraduate’ level (for students who originally enrolled in first degrees or other undergraduate qualifications) or ‘other postgraduate’ level (for students who originally intended to complete higher degrees or other postgraduate qualifications))</w:t>
      </w:r>
      <w:r w:rsidRPr="0078056B">
        <w:rPr>
          <w:rFonts w:eastAsia="Calibri" w:cs="Times New Roman"/>
          <w:vertAlign w:val="superscript"/>
        </w:rPr>
        <w:footnoteReference w:id="113"/>
      </w:r>
      <w:r w:rsidRPr="0078056B">
        <w:rPr>
          <w:rFonts w:eastAsia="Calibri" w:cs="Times New Roman"/>
        </w:rPr>
        <w:t xml:space="preserve">. </w:t>
      </w:r>
    </w:p>
    <w:p w14:paraId="419DAB35" w14:textId="05E5B4AF" w:rsidR="00AD0FF4" w:rsidRPr="0078056B" w:rsidRDefault="00AD0FF4" w:rsidP="00AD0FF4">
      <w:pPr>
        <w:rPr>
          <w:rFonts w:eastAsia="Calibri" w:cs="Times New Roman"/>
        </w:rPr>
      </w:pPr>
      <w:r w:rsidRPr="0078056B">
        <w:rPr>
          <w:rFonts w:eastAsia="Calibri" w:cs="Times New Roman"/>
        </w:rPr>
        <w:fldChar w:fldCharType="begin"/>
      </w:r>
      <w:r w:rsidRPr="0078056B">
        <w:rPr>
          <w:rFonts w:eastAsia="Calibri" w:cs="Times New Roman"/>
        </w:rPr>
        <w:instrText xml:space="preserve"> REF _Ref161751185 \r \h  \* MERGEFORMAT </w:instrText>
      </w:r>
      <w:r w:rsidRPr="0078056B">
        <w:rPr>
          <w:rFonts w:eastAsia="Calibri" w:cs="Times New Roman"/>
        </w:rPr>
      </w:r>
      <w:r w:rsidRPr="0078056B">
        <w:rPr>
          <w:rFonts w:eastAsia="Calibri" w:cs="Times New Roman"/>
        </w:rPr>
        <w:fldChar w:fldCharType="separate"/>
      </w:r>
      <w:r w:rsidR="00E33157">
        <w:rPr>
          <w:rFonts w:eastAsia="Calibri" w:cs="Times New Roman"/>
        </w:rPr>
        <w:t>Table 15</w:t>
      </w:r>
      <w:r w:rsidRPr="0078056B">
        <w:rPr>
          <w:rFonts w:eastAsia="Calibri" w:cs="Times New Roman"/>
        </w:rPr>
        <w:fldChar w:fldCharType="end"/>
      </w:r>
      <w:r w:rsidRPr="0078056B">
        <w:rPr>
          <w:rFonts w:eastAsia="Calibri" w:cs="Times New Roman"/>
        </w:rPr>
        <w:t xml:space="preserve"> presents the resulting completion rates applied throughout the analysis. We assume that, of those students starting a full-time first degree at the University of Birmingham in the 2021-22 academic year, </w:t>
      </w:r>
      <w:r w:rsidRPr="0078056B">
        <w:rPr>
          <w:b/>
          <w:bCs/>
          <w:color w:val="06357A"/>
        </w:rPr>
        <w:t>84%</w:t>
      </w:r>
      <w:r w:rsidRPr="0078056B">
        <w:rPr>
          <w:rFonts w:eastAsia="Calibri" w:cs="Times New Roman"/>
          <w:color w:val="041E42"/>
        </w:rPr>
        <w:t xml:space="preserve"> </w:t>
      </w:r>
      <w:r w:rsidRPr="0078056B">
        <w:rPr>
          <w:rFonts w:eastAsia="Calibri" w:cs="Times New Roman"/>
        </w:rPr>
        <w:t xml:space="preserve">complete the first degree as intended, while the remaining </w:t>
      </w:r>
      <w:r w:rsidRPr="0078056B">
        <w:rPr>
          <w:b/>
          <w:bCs/>
          <w:color w:val="06357A"/>
        </w:rPr>
        <w:t>16%</w:t>
      </w:r>
      <w:r w:rsidRPr="0078056B">
        <w:rPr>
          <w:rFonts w:eastAsia="Calibri" w:cs="Times New Roman"/>
        </w:rPr>
        <w:t xml:space="preserve"> undertake one or more of the credits/modules associated with their degree before discontinuing their studies (modelled as completion at ‘other undergraduate’ level). </w:t>
      </w:r>
      <w:r w:rsidRPr="0078056B">
        <w:t xml:space="preserve">Similarly, at postgraduate level, we assume that of those individuals starting a full-time postgraduate taught degree, </w:t>
      </w:r>
      <w:r w:rsidRPr="0078056B">
        <w:rPr>
          <w:b/>
          <w:bCs/>
          <w:color w:val="06357A"/>
        </w:rPr>
        <w:t>95%</w:t>
      </w:r>
      <w:r w:rsidRPr="0078056B">
        <w:rPr>
          <w:color w:val="041E42"/>
        </w:rPr>
        <w:t xml:space="preserve"> </w:t>
      </w:r>
      <w:r w:rsidRPr="0078056B">
        <w:t xml:space="preserve">complete the qualification as intended, while the remaining </w:t>
      </w:r>
      <w:r w:rsidRPr="0078056B">
        <w:rPr>
          <w:b/>
          <w:bCs/>
          <w:color w:val="06357A"/>
        </w:rPr>
        <w:t>5%</w:t>
      </w:r>
      <w:r w:rsidRPr="0078056B">
        <w:rPr>
          <w:rFonts w:eastAsia="Calibri" w:cs="Times New Roman"/>
          <w:vertAlign w:val="superscript"/>
        </w:rPr>
        <w:t xml:space="preserve"> </w:t>
      </w:r>
      <w:r w:rsidRPr="0078056B">
        <w:t xml:space="preserve">complete another (lower) qualification or undertake one or more of the credits/modules associated with the intended degree before dropping out (in this case, modelled as completion at ‘other postgraduate’ level). </w:t>
      </w:r>
      <w:r w:rsidRPr="0078056B">
        <w:rPr>
          <w:rFonts w:eastAsia="Calibri" w:cs="Times New Roman"/>
        </w:rPr>
        <w:t xml:space="preserve">In all these cases, </w:t>
      </w:r>
      <w:r w:rsidRPr="0078056B">
        <w:rPr>
          <w:rFonts w:eastAsia="Calibri" w:cs="Times New Roman"/>
          <w:b/>
          <w:bCs/>
          <w:color w:val="06357A"/>
        </w:rPr>
        <w:t xml:space="preserve">the analysis of the impact of teaching and learning calculates the estimated returns associated with the </w:t>
      </w:r>
      <w:r w:rsidRPr="0078056B">
        <w:rPr>
          <w:rFonts w:eastAsia="Calibri" w:cs="Times New Roman"/>
          <w:b/>
          <w:bCs/>
          <w:i/>
          <w:color w:val="06357A"/>
        </w:rPr>
        <w:t>completed</w:t>
      </w:r>
      <w:r w:rsidRPr="0078056B">
        <w:rPr>
          <w:rFonts w:eastAsia="Calibri" w:cs="Times New Roman"/>
          <w:b/>
          <w:bCs/>
          <w:color w:val="06357A"/>
        </w:rPr>
        <w:t xml:space="preserve"> qualification/standalone module(s)</w:t>
      </w:r>
      <w:r w:rsidRPr="0078056B">
        <w:rPr>
          <w:rFonts w:eastAsia="Calibri" w:cs="Times New Roman"/>
        </w:rPr>
        <w:t xml:space="preserve">. </w:t>
      </w:r>
    </w:p>
    <w:p w14:paraId="58BDEEE3" w14:textId="77777777" w:rsidR="00AD0FF4" w:rsidRPr="0078056B" w:rsidRDefault="00AD0FF4" w:rsidP="00AD0FF4">
      <w:pPr>
        <w:pStyle w:val="TableTitle"/>
      </w:pPr>
      <w:bookmarkStart w:id="460" w:name="_Ref161751185"/>
      <w:bookmarkStart w:id="461" w:name="_Toc162275844"/>
      <w:bookmarkStart w:id="462" w:name="_Toc168652170"/>
      <w:r w:rsidRPr="0078056B">
        <w:lastRenderedPageBreak/>
        <w:t>Assumed completion rates of University of Birmingham student entrants</w:t>
      </w:r>
      <w:bookmarkEnd w:id="460"/>
      <w:bookmarkEnd w:id="461"/>
      <w:bookmarkEnd w:id="462"/>
      <w:r w:rsidRPr="0078056B">
        <w:t xml:space="preserve">  </w:t>
      </w:r>
    </w:p>
    <w:tbl>
      <w:tblPr>
        <w:tblW w:w="5000" w:type="pct"/>
        <w:tblBorders>
          <w:top w:val="single" w:sz="4" w:space="0" w:color="BFBFBF"/>
          <w:bottom w:val="single" w:sz="4" w:space="0" w:color="BFBFBF"/>
          <w:insideH w:val="single" w:sz="4" w:space="0" w:color="BFBFBF"/>
          <w:insideV w:val="single" w:sz="4" w:space="0" w:color="BFBFBF"/>
        </w:tblBorders>
        <w:tblCellMar>
          <w:left w:w="0" w:type="dxa"/>
          <w:right w:w="0" w:type="dxa"/>
        </w:tblCellMar>
        <w:tblLook w:val="0000" w:firstRow="0" w:lastRow="0" w:firstColumn="0" w:lastColumn="0" w:noHBand="0" w:noVBand="0"/>
      </w:tblPr>
      <w:tblGrid>
        <w:gridCol w:w="2267"/>
        <w:gridCol w:w="1419"/>
        <w:gridCol w:w="1212"/>
        <w:gridCol w:w="1314"/>
        <w:gridCol w:w="1314"/>
        <w:gridCol w:w="1318"/>
      </w:tblGrid>
      <w:tr w:rsidR="00AD0FF4" w:rsidRPr="0078056B" w14:paraId="55A19B0C" w14:textId="77777777" w:rsidTr="00C042A1">
        <w:trPr>
          <w:trHeight w:val="57"/>
        </w:trPr>
        <w:tc>
          <w:tcPr>
            <w:tcW w:w="1282" w:type="pct"/>
            <w:vMerge w:val="restart"/>
            <w:tcBorders>
              <w:top w:val="single" w:sz="4" w:space="0" w:color="06357A"/>
            </w:tcBorders>
            <w:shd w:val="clear" w:color="auto" w:fill="auto"/>
            <w:vAlign w:val="center"/>
          </w:tcPr>
          <w:p w14:paraId="0982641E" w14:textId="77777777" w:rsidR="00AD0FF4" w:rsidRPr="0078056B" w:rsidRDefault="00AD0FF4" w:rsidP="00C042A1">
            <w:pPr>
              <w:pStyle w:val="TableHeading"/>
              <w:keepNext/>
              <w:ind w:left="57" w:right="57"/>
              <w:rPr>
                <w:rFonts w:asciiTheme="minorHAnsi" w:hAnsiTheme="minorHAnsi" w:cstheme="minorHAnsi"/>
                <w:szCs w:val="20"/>
              </w:rPr>
            </w:pPr>
            <w:r w:rsidRPr="0078056B">
              <w:rPr>
                <w:rFonts w:asciiTheme="minorHAnsi" w:hAnsiTheme="minorHAnsi" w:cstheme="minorHAnsi"/>
                <w:szCs w:val="20"/>
              </w:rPr>
              <w:t>Completion outcome</w:t>
            </w:r>
          </w:p>
        </w:tc>
        <w:tc>
          <w:tcPr>
            <w:tcW w:w="3718" w:type="pct"/>
            <w:gridSpan w:val="5"/>
            <w:tcBorders>
              <w:top w:val="single" w:sz="4" w:space="0" w:color="06357A"/>
              <w:bottom w:val="single" w:sz="4" w:space="0" w:color="06357A"/>
            </w:tcBorders>
            <w:shd w:val="clear" w:color="auto" w:fill="auto"/>
            <w:vAlign w:val="center"/>
          </w:tcPr>
          <w:p w14:paraId="6A478AB8" w14:textId="77777777" w:rsidR="00AD0FF4" w:rsidRPr="0078056B" w:rsidRDefault="00AD0FF4" w:rsidP="00C042A1">
            <w:pPr>
              <w:pStyle w:val="TableHeading"/>
              <w:keepNext/>
              <w:ind w:left="57" w:right="57"/>
              <w:jc w:val="center"/>
              <w:rPr>
                <w:rFonts w:asciiTheme="minorHAnsi" w:hAnsiTheme="minorHAnsi" w:cstheme="minorHAnsi"/>
                <w:szCs w:val="20"/>
              </w:rPr>
            </w:pPr>
            <w:r w:rsidRPr="0078056B">
              <w:rPr>
                <w:rFonts w:asciiTheme="minorHAnsi" w:hAnsiTheme="minorHAnsi" w:cstheme="minorHAnsi"/>
                <w:szCs w:val="20"/>
              </w:rPr>
              <w:t>Study intention</w:t>
            </w:r>
          </w:p>
        </w:tc>
      </w:tr>
      <w:tr w:rsidR="00AD0FF4" w:rsidRPr="0078056B" w14:paraId="7AD35712" w14:textId="77777777" w:rsidTr="00C042A1">
        <w:trPr>
          <w:trHeight w:val="57"/>
        </w:trPr>
        <w:tc>
          <w:tcPr>
            <w:tcW w:w="1282" w:type="pct"/>
            <w:vMerge/>
            <w:tcBorders>
              <w:bottom w:val="single" w:sz="4" w:space="0" w:color="06357A"/>
            </w:tcBorders>
            <w:shd w:val="clear" w:color="auto" w:fill="auto"/>
            <w:vAlign w:val="center"/>
          </w:tcPr>
          <w:p w14:paraId="33C5EBE9" w14:textId="77777777" w:rsidR="00AD0FF4" w:rsidRPr="0078056B" w:rsidRDefault="00AD0FF4" w:rsidP="00C042A1">
            <w:pPr>
              <w:pStyle w:val="TableHeading"/>
              <w:keepNext/>
              <w:ind w:left="57" w:right="57"/>
              <w:rPr>
                <w:rFonts w:asciiTheme="minorHAnsi" w:hAnsiTheme="minorHAnsi" w:cstheme="minorHAnsi"/>
                <w:szCs w:val="20"/>
              </w:rPr>
            </w:pPr>
          </w:p>
        </w:tc>
        <w:tc>
          <w:tcPr>
            <w:tcW w:w="802" w:type="pct"/>
            <w:tcBorders>
              <w:top w:val="single" w:sz="4" w:space="0" w:color="06357A"/>
              <w:bottom w:val="single" w:sz="4" w:space="0" w:color="06357A"/>
            </w:tcBorders>
            <w:shd w:val="clear" w:color="auto" w:fill="auto"/>
            <w:vAlign w:val="center"/>
          </w:tcPr>
          <w:p w14:paraId="4AF8073C" w14:textId="77777777" w:rsidR="00AD0FF4" w:rsidRPr="0078056B" w:rsidRDefault="00AD0FF4" w:rsidP="00C042A1">
            <w:pPr>
              <w:pStyle w:val="TableHeading"/>
              <w:keepNext/>
              <w:ind w:left="57" w:right="57"/>
              <w:jc w:val="center"/>
              <w:rPr>
                <w:rFonts w:asciiTheme="minorHAnsi" w:hAnsiTheme="minorHAnsi" w:cstheme="minorHAnsi"/>
                <w:szCs w:val="20"/>
              </w:rPr>
            </w:pPr>
            <w:r w:rsidRPr="0078056B">
              <w:rPr>
                <w:rFonts w:asciiTheme="minorHAnsi" w:hAnsiTheme="minorHAnsi" w:cstheme="minorHAnsi"/>
                <w:szCs w:val="20"/>
              </w:rPr>
              <w:t>Other undergraduate</w:t>
            </w:r>
          </w:p>
        </w:tc>
        <w:tc>
          <w:tcPr>
            <w:tcW w:w="685" w:type="pct"/>
            <w:tcBorders>
              <w:top w:val="single" w:sz="4" w:space="0" w:color="06357A"/>
              <w:bottom w:val="single" w:sz="4" w:space="0" w:color="06357A"/>
            </w:tcBorders>
            <w:shd w:val="clear" w:color="auto" w:fill="auto"/>
            <w:vAlign w:val="center"/>
          </w:tcPr>
          <w:p w14:paraId="283A6E7A" w14:textId="77777777" w:rsidR="00AD0FF4" w:rsidRPr="0078056B" w:rsidRDefault="00AD0FF4" w:rsidP="00C042A1">
            <w:pPr>
              <w:pStyle w:val="TableHeading"/>
              <w:keepNext/>
              <w:ind w:left="57" w:right="57"/>
              <w:jc w:val="center"/>
              <w:rPr>
                <w:rFonts w:asciiTheme="minorHAnsi" w:hAnsiTheme="minorHAnsi" w:cstheme="minorHAnsi"/>
                <w:szCs w:val="20"/>
              </w:rPr>
            </w:pPr>
            <w:r w:rsidRPr="0078056B">
              <w:rPr>
                <w:rFonts w:asciiTheme="minorHAnsi" w:hAnsiTheme="minorHAnsi" w:cstheme="minorHAnsi"/>
                <w:szCs w:val="20"/>
              </w:rPr>
              <w:t>First degree</w:t>
            </w:r>
          </w:p>
        </w:tc>
        <w:tc>
          <w:tcPr>
            <w:tcW w:w="743" w:type="pct"/>
            <w:tcBorders>
              <w:top w:val="single" w:sz="4" w:space="0" w:color="06357A"/>
              <w:bottom w:val="single" w:sz="4" w:space="0" w:color="06357A"/>
            </w:tcBorders>
            <w:shd w:val="clear" w:color="auto" w:fill="auto"/>
            <w:vAlign w:val="center"/>
          </w:tcPr>
          <w:p w14:paraId="64AD0474" w14:textId="77777777" w:rsidR="00AD0FF4" w:rsidRPr="0078056B" w:rsidRDefault="00AD0FF4" w:rsidP="00C042A1">
            <w:pPr>
              <w:pStyle w:val="TableHeading"/>
              <w:keepNext/>
              <w:ind w:left="57" w:right="57"/>
              <w:jc w:val="center"/>
              <w:rPr>
                <w:rFonts w:asciiTheme="minorHAnsi" w:hAnsiTheme="minorHAnsi" w:cstheme="minorHAnsi"/>
                <w:szCs w:val="20"/>
              </w:rPr>
            </w:pPr>
            <w:r w:rsidRPr="0078056B">
              <w:rPr>
                <w:rFonts w:asciiTheme="minorHAnsi" w:hAnsiTheme="minorHAnsi" w:cstheme="minorHAnsi"/>
                <w:szCs w:val="20"/>
              </w:rPr>
              <w:t>Other postgraduate</w:t>
            </w:r>
          </w:p>
        </w:tc>
        <w:tc>
          <w:tcPr>
            <w:tcW w:w="743" w:type="pct"/>
            <w:tcBorders>
              <w:top w:val="single" w:sz="4" w:space="0" w:color="06357A"/>
              <w:bottom w:val="single" w:sz="4" w:space="0" w:color="06357A"/>
            </w:tcBorders>
            <w:shd w:val="clear" w:color="auto" w:fill="auto"/>
            <w:vAlign w:val="center"/>
          </w:tcPr>
          <w:p w14:paraId="5C90B094" w14:textId="77777777" w:rsidR="00AD0FF4" w:rsidRPr="0078056B" w:rsidRDefault="00AD0FF4" w:rsidP="00C042A1">
            <w:pPr>
              <w:pStyle w:val="TableHeading"/>
              <w:keepNext/>
              <w:ind w:left="57" w:right="57"/>
              <w:jc w:val="center"/>
              <w:rPr>
                <w:rFonts w:asciiTheme="minorHAnsi" w:hAnsiTheme="minorHAnsi" w:cstheme="minorHAnsi"/>
                <w:szCs w:val="20"/>
              </w:rPr>
            </w:pPr>
            <w:r w:rsidRPr="0078056B">
              <w:rPr>
                <w:rFonts w:asciiTheme="minorHAnsi" w:hAnsiTheme="minorHAnsi" w:cstheme="minorHAnsi"/>
                <w:szCs w:val="20"/>
              </w:rPr>
              <w:t>Higher degree (taught)</w:t>
            </w:r>
          </w:p>
        </w:tc>
        <w:tc>
          <w:tcPr>
            <w:tcW w:w="745" w:type="pct"/>
            <w:tcBorders>
              <w:top w:val="single" w:sz="4" w:space="0" w:color="06357A"/>
              <w:bottom w:val="single" w:sz="4" w:space="0" w:color="06357A"/>
            </w:tcBorders>
            <w:shd w:val="clear" w:color="auto" w:fill="auto"/>
            <w:vAlign w:val="center"/>
          </w:tcPr>
          <w:p w14:paraId="35D300D2" w14:textId="77777777" w:rsidR="00AD0FF4" w:rsidRPr="0078056B" w:rsidRDefault="00AD0FF4" w:rsidP="00C042A1">
            <w:pPr>
              <w:pStyle w:val="TableHeading"/>
              <w:keepNext/>
              <w:ind w:left="57" w:right="57"/>
              <w:jc w:val="center"/>
              <w:rPr>
                <w:rFonts w:asciiTheme="minorHAnsi" w:hAnsiTheme="minorHAnsi" w:cstheme="minorHAnsi"/>
                <w:szCs w:val="20"/>
              </w:rPr>
            </w:pPr>
            <w:r w:rsidRPr="0078056B">
              <w:rPr>
                <w:rFonts w:asciiTheme="minorHAnsi" w:hAnsiTheme="minorHAnsi" w:cstheme="minorHAnsi"/>
                <w:szCs w:val="20"/>
              </w:rPr>
              <w:t>Higher degree (research)</w:t>
            </w:r>
          </w:p>
        </w:tc>
      </w:tr>
      <w:tr w:rsidR="00AD0FF4" w:rsidRPr="0078056B" w14:paraId="456F17EE" w14:textId="77777777" w:rsidTr="00C042A1">
        <w:trPr>
          <w:trHeight w:val="57"/>
        </w:trPr>
        <w:tc>
          <w:tcPr>
            <w:tcW w:w="1282" w:type="pct"/>
            <w:tcBorders>
              <w:top w:val="single" w:sz="4" w:space="0" w:color="06357A"/>
              <w:right w:val="nil"/>
            </w:tcBorders>
            <w:shd w:val="clear" w:color="auto" w:fill="06357A" w:themeFill="accent1"/>
            <w:vAlign w:val="bottom"/>
          </w:tcPr>
          <w:p w14:paraId="18C04521" w14:textId="77777777" w:rsidR="00AD0FF4" w:rsidRPr="0078056B" w:rsidRDefault="00AD0FF4" w:rsidP="00C042A1">
            <w:pPr>
              <w:pStyle w:val="TableText"/>
              <w:keepNext/>
              <w:ind w:left="57" w:right="57"/>
              <w:rPr>
                <w:rFonts w:asciiTheme="minorHAnsi" w:hAnsiTheme="minorHAnsi" w:cstheme="minorHAnsi"/>
                <w:b/>
                <w:bCs/>
                <w:color w:val="133844"/>
                <w:szCs w:val="20"/>
              </w:rPr>
            </w:pPr>
            <w:r w:rsidRPr="0078056B">
              <w:rPr>
                <w:rFonts w:asciiTheme="minorHAnsi" w:hAnsiTheme="minorHAnsi" w:cstheme="minorHAnsi"/>
                <w:b/>
                <w:bCs/>
                <w:color w:val="FFFFFF" w:themeColor="background1"/>
                <w:szCs w:val="20"/>
              </w:rPr>
              <w:t>Full-time students</w:t>
            </w:r>
          </w:p>
        </w:tc>
        <w:tc>
          <w:tcPr>
            <w:tcW w:w="802" w:type="pct"/>
            <w:tcBorders>
              <w:top w:val="single" w:sz="4" w:space="0" w:color="06357A"/>
              <w:left w:val="nil"/>
              <w:right w:val="nil"/>
            </w:tcBorders>
            <w:shd w:val="clear" w:color="auto" w:fill="06357A" w:themeFill="accent1"/>
            <w:vAlign w:val="center"/>
          </w:tcPr>
          <w:p w14:paraId="2328B292" w14:textId="77777777" w:rsidR="00AD0FF4" w:rsidRPr="0078056B" w:rsidRDefault="00AD0FF4" w:rsidP="00C042A1">
            <w:pPr>
              <w:pStyle w:val="TableText"/>
              <w:keepNext/>
              <w:ind w:left="57" w:right="57"/>
              <w:jc w:val="center"/>
              <w:rPr>
                <w:rFonts w:asciiTheme="minorHAnsi" w:hAnsiTheme="minorHAnsi" w:cstheme="minorHAnsi"/>
                <w:color w:val="FFFFFF" w:themeColor="background1"/>
                <w:szCs w:val="20"/>
              </w:rPr>
            </w:pPr>
          </w:p>
        </w:tc>
        <w:tc>
          <w:tcPr>
            <w:tcW w:w="685" w:type="pct"/>
            <w:tcBorders>
              <w:top w:val="single" w:sz="4" w:space="0" w:color="06357A"/>
              <w:left w:val="nil"/>
              <w:right w:val="nil"/>
            </w:tcBorders>
            <w:shd w:val="clear" w:color="auto" w:fill="06357A" w:themeFill="accent1"/>
            <w:vAlign w:val="center"/>
          </w:tcPr>
          <w:p w14:paraId="6B574BA0" w14:textId="77777777" w:rsidR="00AD0FF4" w:rsidRPr="0078056B" w:rsidRDefault="00AD0FF4" w:rsidP="00C042A1">
            <w:pPr>
              <w:pStyle w:val="TableText"/>
              <w:keepNext/>
              <w:ind w:left="57" w:right="57"/>
              <w:jc w:val="center"/>
              <w:rPr>
                <w:rFonts w:asciiTheme="minorHAnsi" w:hAnsiTheme="minorHAnsi" w:cstheme="minorHAnsi"/>
                <w:color w:val="FFFFFF" w:themeColor="background1"/>
                <w:szCs w:val="20"/>
              </w:rPr>
            </w:pPr>
          </w:p>
        </w:tc>
        <w:tc>
          <w:tcPr>
            <w:tcW w:w="743" w:type="pct"/>
            <w:tcBorders>
              <w:top w:val="single" w:sz="4" w:space="0" w:color="06357A"/>
              <w:left w:val="nil"/>
              <w:right w:val="nil"/>
            </w:tcBorders>
            <w:shd w:val="clear" w:color="auto" w:fill="06357A" w:themeFill="accent1"/>
            <w:vAlign w:val="center"/>
          </w:tcPr>
          <w:p w14:paraId="0EFD28FF" w14:textId="77777777" w:rsidR="00AD0FF4" w:rsidRPr="0078056B" w:rsidRDefault="00AD0FF4" w:rsidP="00C042A1">
            <w:pPr>
              <w:pStyle w:val="TableText"/>
              <w:keepNext/>
              <w:ind w:left="57" w:right="57"/>
              <w:jc w:val="center"/>
              <w:rPr>
                <w:rFonts w:asciiTheme="minorHAnsi" w:hAnsiTheme="minorHAnsi" w:cstheme="minorHAnsi"/>
                <w:color w:val="FFFFFF" w:themeColor="background1"/>
                <w:szCs w:val="20"/>
              </w:rPr>
            </w:pPr>
          </w:p>
        </w:tc>
        <w:tc>
          <w:tcPr>
            <w:tcW w:w="743" w:type="pct"/>
            <w:tcBorders>
              <w:top w:val="single" w:sz="4" w:space="0" w:color="06357A"/>
              <w:left w:val="nil"/>
              <w:right w:val="nil"/>
            </w:tcBorders>
            <w:shd w:val="clear" w:color="auto" w:fill="06357A" w:themeFill="accent1"/>
            <w:vAlign w:val="center"/>
          </w:tcPr>
          <w:p w14:paraId="211A7975" w14:textId="77777777" w:rsidR="00AD0FF4" w:rsidRPr="0078056B" w:rsidRDefault="00AD0FF4" w:rsidP="00C042A1">
            <w:pPr>
              <w:pStyle w:val="TableText"/>
              <w:keepNext/>
              <w:ind w:left="57" w:right="57"/>
              <w:jc w:val="center"/>
              <w:rPr>
                <w:rFonts w:asciiTheme="minorHAnsi" w:hAnsiTheme="minorHAnsi" w:cstheme="minorHAnsi"/>
                <w:color w:val="FFFFFF" w:themeColor="background1"/>
                <w:szCs w:val="20"/>
              </w:rPr>
            </w:pPr>
          </w:p>
        </w:tc>
        <w:tc>
          <w:tcPr>
            <w:tcW w:w="745" w:type="pct"/>
            <w:tcBorders>
              <w:top w:val="single" w:sz="4" w:space="0" w:color="06357A"/>
              <w:left w:val="nil"/>
            </w:tcBorders>
            <w:shd w:val="clear" w:color="auto" w:fill="06357A" w:themeFill="accent1"/>
            <w:vAlign w:val="center"/>
          </w:tcPr>
          <w:p w14:paraId="0FB24789" w14:textId="77777777" w:rsidR="00AD0FF4" w:rsidRPr="0078056B" w:rsidRDefault="00AD0FF4" w:rsidP="00C042A1">
            <w:pPr>
              <w:pStyle w:val="TableText"/>
              <w:keepNext/>
              <w:ind w:left="57" w:right="57"/>
              <w:jc w:val="center"/>
              <w:rPr>
                <w:rFonts w:asciiTheme="minorHAnsi" w:hAnsiTheme="minorHAnsi" w:cstheme="minorHAnsi"/>
                <w:color w:val="FFFFFF" w:themeColor="background1"/>
                <w:szCs w:val="20"/>
              </w:rPr>
            </w:pPr>
          </w:p>
        </w:tc>
      </w:tr>
      <w:tr w:rsidR="00AD0FF4" w:rsidRPr="0078056B" w14:paraId="37EC8B6D" w14:textId="77777777" w:rsidTr="00C042A1">
        <w:trPr>
          <w:trHeight w:val="57"/>
        </w:trPr>
        <w:tc>
          <w:tcPr>
            <w:tcW w:w="1282" w:type="pct"/>
            <w:shd w:val="clear" w:color="auto" w:fill="auto"/>
            <w:vAlign w:val="bottom"/>
          </w:tcPr>
          <w:p w14:paraId="51F5D209" w14:textId="77777777" w:rsidR="00AD0FF4" w:rsidRPr="0078056B" w:rsidRDefault="00AD0FF4" w:rsidP="00C042A1">
            <w:pPr>
              <w:pStyle w:val="TableText"/>
              <w:keepNext/>
              <w:ind w:left="57" w:right="57"/>
              <w:rPr>
                <w:rFonts w:asciiTheme="minorHAnsi" w:hAnsiTheme="minorHAnsi" w:cstheme="minorHAnsi"/>
                <w:szCs w:val="20"/>
              </w:rPr>
            </w:pPr>
            <w:r w:rsidRPr="0078056B">
              <w:rPr>
                <w:rFonts w:asciiTheme="minorHAnsi" w:hAnsiTheme="minorHAnsi" w:cstheme="minorHAnsi"/>
                <w:color w:val="000000"/>
                <w:szCs w:val="20"/>
              </w:rPr>
              <w:t>Other undergraduate</w:t>
            </w:r>
          </w:p>
        </w:tc>
        <w:tc>
          <w:tcPr>
            <w:tcW w:w="802" w:type="pct"/>
            <w:shd w:val="clear" w:color="auto" w:fill="auto"/>
          </w:tcPr>
          <w:p w14:paraId="5E879589" w14:textId="77777777" w:rsidR="00AD0FF4" w:rsidRPr="0078056B" w:rsidRDefault="00AD0FF4" w:rsidP="00C042A1">
            <w:pPr>
              <w:pStyle w:val="TableText"/>
              <w:keepNext/>
              <w:ind w:left="57" w:right="57"/>
              <w:jc w:val="center"/>
            </w:pPr>
            <w:r w:rsidRPr="0078056B">
              <w:t>100%</w:t>
            </w:r>
          </w:p>
        </w:tc>
        <w:tc>
          <w:tcPr>
            <w:tcW w:w="685" w:type="pct"/>
            <w:shd w:val="clear" w:color="auto" w:fill="auto"/>
          </w:tcPr>
          <w:p w14:paraId="128082B0" w14:textId="77777777" w:rsidR="00AD0FF4" w:rsidRPr="0078056B" w:rsidRDefault="00AD0FF4" w:rsidP="00C042A1">
            <w:pPr>
              <w:pStyle w:val="TableText"/>
              <w:keepNext/>
              <w:ind w:left="57" w:right="57"/>
              <w:jc w:val="center"/>
            </w:pPr>
            <w:r w:rsidRPr="0078056B">
              <w:t>16%</w:t>
            </w:r>
          </w:p>
        </w:tc>
        <w:tc>
          <w:tcPr>
            <w:tcW w:w="743" w:type="pct"/>
            <w:shd w:val="clear" w:color="auto" w:fill="auto"/>
          </w:tcPr>
          <w:p w14:paraId="67224C36" w14:textId="1B9B01AE" w:rsidR="00AD0FF4" w:rsidRPr="0078056B" w:rsidRDefault="00535C24" w:rsidP="00C042A1">
            <w:pPr>
              <w:pStyle w:val="TableText"/>
              <w:keepNext/>
              <w:ind w:left="57" w:right="57"/>
              <w:jc w:val="center"/>
            </w:pPr>
            <w:r w:rsidRPr="0078056B">
              <w:t>-</w:t>
            </w:r>
          </w:p>
        </w:tc>
        <w:tc>
          <w:tcPr>
            <w:tcW w:w="743" w:type="pct"/>
            <w:shd w:val="clear" w:color="auto" w:fill="auto"/>
          </w:tcPr>
          <w:p w14:paraId="29D2AF40" w14:textId="77777777" w:rsidR="00AD0FF4" w:rsidRPr="0078056B" w:rsidRDefault="00AD0FF4" w:rsidP="00C042A1">
            <w:pPr>
              <w:pStyle w:val="TableText"/>
              <w:keepNext/>
              <w:ind w:left="57" w:right="57"/>
              <w:jc w:val="center"/>
            </w:pPr>
            <w:r w:rsidRPr="0078056B">
              <w:t>0%</w:t>
            </w:r>
          </w:p>
        </w:tc>
        <w:tc>
          <w:tcPr>
            <w:tcW w:w="745" w:type="pct"/>
            <w:shd w:val="clear" w:color="auto" w:fill="auto"/>
          </w:tcPr>
          <w:p w14:paraId="1299F8DA" w14:textId="5FBD8AD6" w:rsidR="00AD0FF4" w:rsidRPr="0078056B" w:rsidRDefault="00535C24" w:rsidP="00C042A1">
            <w:pPr>
              <w:pStyle w:val="TableText"/>
              <w:keepNext/>
              <w:ind w:left="57" w:right="57"/>
              <w:jc w:val="center"/>
            </w:pPr>
            <w:r w:rsidRPr="0078056B">
              <w:t>-</w:t>
            </w:r>
          </w:p>
        </w:tc>
      </w:tr>
      <w:tr w:rsidR="00AD0FF4" w:rsidRPr="0078056B" w14:paraId="02EB195E" w14:textId="77777777" w:rsidTr="00C042A1">
        <w:trPr>
          <w:trHeight w:val="57"/>
        </w:trPr>
        <w:tc>
          <w:tcPr>
            <w:tcW w:w="1282" w:type="pct"/>
            <w:shd w:val="clear" w:color="auto" w:fill="auto"/>
            <w:vAlign w:val="bottom"/>
          </w:tcPr>
          <w:p w14:paraId="08ADB256" w14:textId="77777777" w:rsidR="00AD0FF4" w:rsidRPr="0078056B" w:rsidRDefault="00AD0FF4" w:rsidP="00C042A1">
            <w:pPr>
              <w:pStyle w:val="TableText"/>
              <w:keepNext/>
              <w:ind w:left="57" w:right="57"/>
              <w:rPr>
                <w:rFonts w:asciiTheme="minorHAnsi" w:hAnsiTheme="minorHAnsi" w:cstheme="minorHAnsi"/>
                <w:szCs w:val="20"/>
              </w:rPr>
            </w:pPr>
            <w:r w:rsidRPr="0078056B">
              <w:rPr>
                <w:rFonts w:asciiTheme="minorHAnsi" w:hAnsiTheme="minorHAnsi" w:cstheme="minorHAnsi"/>
                <w:color w:val="000000"/>
                <w:szCs w:val="20"/>
              </w:rPr>
              <w:t>First degree</w:t>
            </w:r>
          </w:p>
        </w:tc>
        <w:tc>
          <w:tcPr>
            <w:tcW w:w="802" w:type="pct"/>
            <w:shd w:val="clear" w:color="auto" w:fill="auto"/>
          </w:tcPr>
          <w:p w14:paraId="0A9F49A3" w14:textId="230A6DFE" w:rsidR="00AD0FF4" w:rsidRPr="0078056B" w:rsidRDefault="00535C24" w:rsidP="00C042A1">
            <w:pPr>
              <w:pStyle w:val="TableText"/>
              <w:keepNext/>
              <w:ind w:left="57" w:right="57"/>
              <w:jc w:val="center"/>
            </w:pPr>
            <w:r w:rsidRPr="0078056B">
              <w:t>-</w:t>
            </w:r>
          </w:p>
        </w:tc>
        <w:tc>
          <w:tcPr>
            <w:tcW w:w="685" w:type="pct"/>
            <w:shd w:val="clear" w:color="auto" w:fill="auto"/>
          </w:tcPr>
          <w:p w14:paraId="1BD8B521" w14:textId="77777777" w:rsidR="00AD0FF4" w:rsidRPr="0078056B" w:rsidRDefault="00AD0FF4" w:rsidP="00C042A1">
            <w:pPr>
              <w:pStyle w:val="TableText"/>
              <w:keepNext/>
              <w:ind w:left="57" w:right="57"/>
              <w:jc w:val="center"/>
            </w:pPr>
            <w:r w:rsidRPr="0078056B">
              <w:t>84%</w:t>
            </w:r>
          </w:p>
        </w:tc>
        <w:tc>
          <w:tcPr>
            <w:tcW w:w="743" w:type="pct"/>
            <w:shd w:val="clear" w:color="auto" w:fill="auto"/>
          </w:tcPr>
          <w:p w14:paraId="63A96E54" w14:textId="43010728" w:rsidR="00AD0FF4" w:rsidRPr="0078056B" w:rsidRDefault="00535C24" w:rsidP="00C042A1">
            <w:pPr>
              <w:pStyle w:val="TableText"/>
              <w:keepNext/>
              <w:ind w:left="57" w:right="57"/>
              <w:jc w:val="center"/>
            </w:pPr>
            <w:r w:rsidRPr="0078056B">
              <w:t>-</w:t>
            </w:r>
          </w:p>
        </w:tc>
        <w:tc>
          <w:tcPr>
            <w:tcW w:w="743" w:type="pct"/>
            <w:shd w:val="clear" w:color="auto" w:fill="auto"/>
          </w:tcPr>
          <w:p w14:paraId="75FA8752" w14:textId="13C6894F" w:rsidR="00AD0FF4" w:rsidRPr="0078056B" w:rsidRDefault="00535C24" w:rsidP="00C042A1">
            <w:pPr>
              <w:pStyle w:val="TableText"/>
              <w:keepNext/>
              <w:ind w:left="57" w:right="57"/>
              <w:jc w:val="center"/>
            </w:pPr>
            <w:r w:rsidRPr="0078056B">
              <w:t>-</w:t>
            </w:r>
          </w:p>
        </w:tc>
        <w:tc>
          <w:tcPr>
            <w:tcW w:w="745" w:type="pct"/>
            <w:shd w:val="clear" w:color="auto" w:fill="auto"/>
          </w:tcPr>
          <w:p w14:paraId="272649D4" w14:textId="5A1C4E50" w:rsidR="00AD0FF4" w:rsidRPr="0078056B" w:rsidRDefault="00535C24" w:rsidP="00C042A1">
            <w:pPr>
              <w:pStyle w:val="TableText"/>
              <w:keepNext/>
              <w:ind w:left="57" w:right="57"/>
              <w:jc w:val="center"/>
            </w:pPr>
            <w:r w:rsidRPr="0078056B">
              <w:t>-</w:t>
            </w:r>
          </w:p>
        </w:tc>
      </w:tr>
      <w:tr w:rsidR="00AD0FF4" w:rsidRPr="0078056B" w14:paraId="116C785D" w14:textId="77777777" w:rsidTr="00C042A1">
        <w:trPr>
          <w:trHeight w:val="57"/>
        </w:trPr>
        <w:tc>
          <w:tcPr>
            <w:tcW w:w="1282" w:type="pct"/>
            <w:shd w:val="clear" w:color="auto" w:fill="auto"/>
            <w:vAlign w:val="bottom"/>
          </w:tcPr>
          <w:p w14:paraId="1038EC57" w14:textId="77777777" w:rsidR="00AD0FF4" w:rsidRPr="0078056B" w:rsidRDefault="00AD0FF4" w:rsidP="00C042A1">
            <w:pPr>
              <w:pStyle w:val="TableText"/>
              <w:keepNext/>
              <w:ind w:left="57" w:right="57"/>
              <w:rPr>
                <w:rFonts w:asciiTheme="minorHAnsi" w:hAnsiTheme="minorHAnsi" w:cstheme="minorHAnsi"/>
                <w:szCs w:val="20"/>
              </w:rPr>
            </w:pPr>
            <w:r w:rsidRPr="0078056B">
              <w:rPr>
                <w:rFonts w:asciiTheme="minorHAnsi" w:hAnsiTheme="minorHAnsi" w:cstheme="minorHAnsi"/>
                <w:color w:val="000000"/>
                <w:szCs w:val="20"/>
              </w:rPr>
              <w:t>Other postgraduate</w:t>
            </w:r>
          </w:p>
        </w:tc>
        <w:tc>
          <w:tcPr>
            <w:tcW w:w="802" w:type="pct"/>
            <w:shd w:val="clear" w:color="auto" w:fill="auto"/>
          </w:tcPr>
          <w:p w14:paraId="72CF7A21" w14:textId="7B4CC940" w:rsidR="00AD0FF4" w:rsidRPr="0078056B" w:rsidRDefault="00535C24" w:rsidP="00C042A1">
            <w:pPr>
              <w:pStyle w:val="TableText"/>
              <w:keepNext/>
              <w:ind w:left="57" w:right="57"/>
              <w:jc w:val="center"/>
            </w:pPr>
            <w:r w:rsidRPr="0078056B">
              <w:t>-</w:t>
            </w:r>
          </w:p>
        </w:tc>
        <w:tc>
          <w:tcPr>
            <w:tcW w:w="685" w:type="pct"/>
            <w:shd w:val="clear" w:color="auto" w:fill="auto"/>
          </w:tcPr>
          <w:p w14:paraId="1C8D417F" w14:textId="32124607" w:rsidR="00AD0FF4" w:rsidRPr="0078056B" w:rsidRDefault="00535C24" w:rsidP="00C042A1">
            <w:pPr>
              <w:pStyle w:val="TableText"/>
              <w:keepNext/>
              <w:ind w:left="57" w:right="57"/>
              <w:jc w:val="center"/>
            </w:pPr>
            <w:r w:rsidRPr="0078056B">
              <w:t>-</w:t>
            </w:r>
          </w:p>
        </w:tc>
        <w:tc>
          <w:tcPr>
            <w:tcW w:w="743" w:type="pct"/>
            <w:shd w:val="clear" w:color="auto" w:fill="auto"/>
          </w:tcPr>
          <w:p w14:paraId="72166233" w14:textId="77777777" w:rsidR="00AD0FF4" w:rsidRPr="0078056B" w:rsidRDefault="00AD0FF4" w:rsidP="00C042A1">
            <w:pPr>
              <w:pStyle w:val="TableText"/>
              <w:keepNext/>
              <w:ind w:left="57" w:right="57"/>
              <w:jc w:val="center"/>
            </w:pPr>
            <w:r w:rsidRPr="0078056B">
              <w:t>100%</w:t>
            </w:r>
          </w:p>
        </w:tc>
        <w:tc>
          <w:tcPr>
            <w:tcW w:w="743" w:type="pct"/>
            <w:shd w:val="clear" w:color="auto" w:fill="auto"/>
          </w:tcPr>
          <w:p w14:paraId="5FC24027" w14:textId="77777777" w:rsidR="00AD0FF4" w:rsidRPr="0078056B" w:rsidRDefault="00AD0FF4" w:rsidP="00C042A1">
            <w:pPr>
              <w:pStyle w:val="TableText"/>
              <w:keepNext/>
              <w:ind w:left="57" w:right="57"/>
              <w:jc w:val="center"/>
            </w:pPr>
            <w:r w:rsidRPr="0078056B">
              <w:t>5%</w:t>
            </w:r>
          </w:p>
        </w:tc>
        <w:tc>
          <w:tcPr>
            <w:tcW w:w="745" w:type="pct"/>
            <w:shd w:val="clear" w:color="auto" w:fill="auto"/>
          </w:tcPr>
          <w:p w14:paraId="3A23FB4C" w14:textId="77777777" w:rsidR="00AD0FF4" w:rsidRPr="0078056B" w:rsidRDefault="00AD0FF4" w:rsidP="00C042A1">
            <w:pPr>
              <w:pStyle w:val="TableText"/>
              <w:keepNext/>
              <w:ind w:left="57" w:right="57"/>
              <w:jc w:val="center"/>
            </w:pPr>
            <w:r w:rsidRPr="0078056B">
              <w:t>12%</w:t>
            </w:r>
          </w:p>
        </w:tc>
      </w:tr>
      <w:tr w:rsidR="00AD0FF4" w:rsidRPr="0078056B" w14:paraId="0088F69E" w14:textId="77777777" w:rsidTr="00C042A1">
        <w:trPr>
          <w:trHeight w:val="57"/>
        </w:trPr>
        <w:tc>
          <w:tcPr>
            <w:tcW w:w="1282" w:type="pct"/>
            <w:shd w:val="clear" w:color="auto" w:fill="auto"/>
            <w:vAlign w:val="bottom"/>
          </w:tcPr>
          <w:p w14:paraId="095254E4" w14:textId="77777777" w:rsidR="00AD0FF4" w:rsidRPr="0078056B" w:rsidRDefault="00AD0FF4" w:rsidP="00C042A1">
            <w:pPr>
              <w:pStyle w:val="TableText"/>
              <w:keepNext/>
              <w:ind w:left="57" w:right="57"/>
              <w:rPr>
                <w:rFonts w:asciiTheme="minorHAnsi" w:hAnsiTheme="minorHAnsi" w:cstheme="minorHAnsi"/>
                <w:szCs w:val="20"/>
              </w:rPr>
            </w:pPr>
            <w:r w:rsidRPr="0078056B">
              <w:rPr>
                <w:rFonts w:asciiTheme="minorHAnsi" w:hAnsiTheme="minorHAnsi" w:cstheme="minorHAnsi"/>
                <w:color w:val="000000"/>
                <w:szCs w:val="20"/>
              </w:rPr>
              <w:t>Higher degree (taught)</w:t>
            </w:r>
          </w:p>
        </w:tc>
        <w:tc>
          <w:tcPr>
            <w:tcW w:w="802" w:type="pct"/>
            <w:shd w:val="clear" w:color="auto" w:fill="auto"/>
          </w:tcPr>
          <w:p w14:paraId="368F5EC8" w14:textId="6E8F4F7E" w:rsidR="00AD0FF4" w:rsidRPr="0078056B" w:rsidRDefault="00535C24" w:rsidP="00C042A1">
            <w:pPr>
              <w:pStyle w:val="TableText"/>
              <w:keepNext/>
              <w:ind w:left="57" w:right="57"/>
              <w:jc w:val="center"/>
            </w:pPr>
            <w:r w:rsidRPr="0078056B">
              <w:t>-</w:t>
            </w:r>
          </w:p>
        </w:tc>
        <w:tc>
          <w:tcPr>
            <w:tcW w:w="685" w:type="pct"/>
            <w:shd w:val="clear" w:color="auto" w:fill="auto"/>
          </w:tcPr>
          <w:p w14:paraId="35340216" w14:textId="445410FA" w:rsidR="00AD0FF4" w:rsidRPr="0078056B" w:rsidRDefault="00535C24" w:rsidP="00C042A1">
            <w:pPr>
              <w:pStyle w:val="TableText"/>
              <w:keepNext/>
              <w:ind w:left="57" w:right="57"/>
              <w:jc w:val="center"/>
            </w:pPr>
            <w:r w:rsidRPr="0078056B">
              <w:t>-</w:t>
            </w:r>
          </w:p>
        </w:tc>
        <w:tc>
          <w:tcPr>
            <w:tcW w:w="743" w:type="pct"/>
            <w:shd w:val="clear" w:color="auto" w:fill="auto"/>
          </w:tcPr>
          <w:p w14:paraId="2740E142" w14:textId="48F6FDDA" w:rsidR="00AD0FF4" w:rsidRPr="0078056B" w:rsidRDefault="00535C24" w:rsidP="00C042A1">
            <w:pPr>
              <w:pStyle w:val="TableText"/>
              <w:keepNext/>
              <w:ind w:left="57" w:right="57"/>
              <w:jc w:val="center"/>
            </w:pPr>
            <w:r w:rsidRPr="0078056B">
              <w:t>-</w:t>
            </w:r>
          </w:p>
        </w:tc>
        <w:tc>
          <w:tcPr>
            <w:tcW w:w="743" w:type="pct"/>
            <w:shd w:val="clear" w:color="auto" w:fill="auto"/>
          </w:tcPr>
          <w:p w14:paraId="7F0E5D97" w14:textId="77777777" w:rsidR="00AD0FF4" w:rsidRPr="0078056B" w:rsidRDefault="00AD0FF4" w:rsidP="00C042A1">
            <w:pPr>
              <w:pStyle w:val="TableText"/>
              <w:keepNext/>
              <w:ind w:left="57" w:right="57"/>
              <w:jc w:val="center"/>
            </w:pPr>
            <w:r w:rsidRPr="0078056B">
              <w:t>95%</w:t>
            </w:r>
          </w:p>
        </w:tc>
        <w:tc>
          <w:tcPr>
            <w:tcW w:w="745" w:type="pct"/>
            <w:shd w:val="clear" w:color="auto" w:fill="auto"/>
          </w:tcPr>
          <w:p w14:paraId="65296808" w14:textId="4DA312F1" w:rsidR="00AD0FF4" w:rsidRPr="0078056B" w:rsidRDefault="00535C24" w:rsidP="00C042A1">
            <w:pPr>
              <w:pStyle w:val="TableText"/>
              <w:keepNext/>
              <w:ind w:left="57" w:right="57"/>
              <w:jc w:val="center"/>
            </w:pPr>
            <w:r w:rsidRPr="0078056B">
              <w:t>-</w:t>
            </w:r>
          </w:p>
        </w:tc>
      </w:tr>
      <w:tr w:rsidR="00AD0FF4" w:rsidRPr="0078056B" w14:paraId="58152E8F" w14:textId="77777777" w:rsidTr="00C042A1">
        <w:trPr>
          <w:trHeight w:val="57"/>
        </w:trPr>
        <w:tc>
          <w:tcPr>
            <w:tcW w:w="1282" w:type="pct"/>
            <w:shd w:val="clear" w:color="auto" w:fill="auto"/>
            <w:vAlign w:val="bottom"/>
          </w:tcPr>
          <w:p w14:paraId="2169BA9B" w14:textId="77777777" w:rsidR="00AD0FF4" w:rsidRPr="0078056B" w:rsidRDefault="00AD0FF4" w:rsidP="00C042A1">
            <w:pPr>
              <w:pStyle w:val="TableText"/>
              <w:keepNext/>
              <w:ind w:left="57" w:right="57"/>
              <w:rPr>
                <w:rFonts w:asciiTheme="minorHAnsi" w:hAnsiTheme="minorHAnsi" w:cstheme="minorHAnsi"/>
                <w:szCs w:val="20"/>
              </w:rPr>
            </w:pPr>
            <w:r w:rsidRPr="0078056B">
              <w:rPr>
                <w:rFonts w:asciiTheme="minorHAnsi" w:hAnsiTheme="minorHAnsi" w:cstheme="minorHAnsi"/>
                <w:color w:val="000000"/>
                <w:szCs w:val="20"/>
              </w:rPr>
              <w:t>Higher degree (research)</w:t>
            </w:r>
          </w:p>
        </w:tc>
        <w:tc>
          <w:tcPr>
            <w:tcW w:w="802" w:type="pct"/>
            <w:shd w:val="clear" w:color="auto" w:fill="auto"/>
          </w:tcPr>
          <w:p w14:paraId="7028906B" w14:textId="3C2B533C" w:rsidR="00AD0FF4" w:rsidRPr="0078056B" w:rsidRDefault="00535C24" w:rsidP="00C042A1">
            <w:pPr>
              <w:pStyle w:val="TableText"/>
              <w:keepNext/>
              <w:ind w:left="57" w:right="57"/>
              <w:jc w:val="center"/>
            </w:pPr>
            <w:r w:rsidRPr="0078056B">
              <w:t>-</w:t>
            </w:r>
          </w:p>
        </w:tc>
        <w:tc>
          <w:tcPr>
            <w:tcW w:w="685" w:type="pct"/>
            <w:shd w:val="clear" w:color="auto" w:fill="auto"/>
          </w:tcPr>
          <w:p w14:paraId="5F39427B" w14:textId="5E3E8FA8" w:rsidR="00AD0FF4" w:rsidRPr="0078056B" w:rsidRDefault="00535C24" w:rsidP="00C042A1">
            <w:pPr>
              <w:pStyle w:val="TableText"/>
              <w:keepNext/>
              <w:ind w:left="57" w:right="57"/>
              <w:jc w:val="center"/>
            </w:pPr>
            <w:r w:rsidRPr="0078056B">
              <w:t>-</w:t>
            </w:r>
          </w:p>
        </w:tc>
        <w:tc>
          <w:tcPr>
            <w:tcW w:w="743" w:type="pct"/>
            <w:shd w:val="clear" w:color="auto" w:fill="auto"/>
          </w:tcPr>
          <w:p w14:paraId="32B8569B" w14:textId="4FB3F165" w:rsidR="00AD0FF4" w:rsidRPr="0078056B" w:rsidRDefault="00535C24" w:rsidP="00C042A1">
            <w:pPr>
              <w:pStyle w:val="TableText"/>
              <w:keepNext/>
              <w:ind w:left="57" w:right="57"/>
              <w:jc w:val="center"/>
            </w:pPr>
            <w:r w:rsidRPr="0078056B">
              <w:t>-</w:t>
            </w:r>
          </w:p>
        </w:tc>
        <w:tc>
          <w:tcPr>
            <w:tcW w:w="743" w:type="pct"/>
            <w:shd w:val="clear" w:color="auto" w:fill="auto"/>
          </w:tcPr>
          <w:p w14:paraId="64DF3DB1" w14:textId="269114EE" w:rsidR="00AD0FF4" w:rsidRPr="0078056B" w:rsidRDefault="00535C24" w:rsidP="00C042A1">
            <w:pPr>
              <w:pStyle w:val="TableText"/>
              <w:keepNext/>
              <w:ind w:left="57" w:right="57"/>
              <w:jc w:val="center"/>
            </w:pPr>
            <w:r w:rsidRPr="0078056B">
              <w:t>-</w:t>
            </w:r>
          </w:p>
        </w:tc>
        <w:tc>
          <w:tcPr>
            <w:tcW w:w="745" w:type="pct"/>
            <w:shd w:val="clear" w:color="auto" w:fill="auto"/>
          </w:tcPr>
          <w:p w14:paraId="634E90C8" w14:textId="77777777" w:rsidR="00AD0FF4" w:rsidRPr="0078056B" w:rsidRDefault="00AD0FF4" w:rsidP="00C042A1">
            <w:pPr>
              <w:pStyle w:val="TableText"/>
              <w:keepNext/>
              <w:ind w:left="57" w:right="57"/>
              <w:jc w:val="center"/>
            </w:pPr>
            <w:r w:rsidRPr="0078056B">
              <w:t>88%</w:t>
            </w:r>
          </w:p>
        </w:tc>
      </w:tr>
      <w:tr w:rsidR="00AD0FF4" w:rsidRPr="0078056B" w14:paraId="64ACF371" w14:textId="77777777" w:rsidTr="00C042A1">
        <w:trPr>
          <w:trHeight w:val="57"/>
        </w:trPr>
        <w:tc>
          <w:tcPr>
            <w:tcW w:w="1282" w:type="pct"/>
            <w:tcBorders>
              <w:bottom w:val="single" w:sz="4" w:space="0" w:color="BFBFBF"/>
            </w:tcBorders>
            <w:shd w:val="clear" w:color="auto" w:fill="auto"/>
            <w:vAlign w:val="bottom"/>
          </w:tcPr>
          <w:p w14:paraId="3FA7FEFD" w14:textId="77777777" w:rsidR="00AD0FF4" w:rsidRPr="0078056B" w:rsidRDefault="00AD0FF4" w:rsidP="00C042A1">
            <w:pPr>
              <w:pStyle w:val="TableText"/>
              <w:keepNext/>
              <w:ind w:left="57" w:right="57"/>
              <w:rPr>
                <w:rFonts w:asciiTheme="minorHAnsi" w:hAnsiTheme="minorHAnsi" w:cstheme="minorHAnsi"/>
                <w:color w:val="06357A"/>
                <w:szCs w:val="20"/>
              </w:rPr>
            </w:pPr>
            <w:r w:rsidRPr="0078056B">
              <w:rPr>
                <w:rFonts w:asciiTheme="minorHAnsi" w:hAnsiTheme="minorHAnsi" w:cstheme="minorHAnsi"/>
                <w:b/>
                <w:bCs/>
                <w:color w:val="06357A"/>
                <w:szCs w:val="20"/>
              </w:rPr>
              <w:t>Total</w:t>
            </w:r>
          </w:p>
        </w:tc>
        <w:tc>
          <w:tcPr>
            <w:tcW w:w="802" w:type="pct"/>
            <w:tcBorders>
              <w:bottom w:val="single" w:sz="4" w:space="0" w:color="BFBFBF"/>
            </w:tcBorders>
            <w:shd w:val="clear" w:color="auto" w:fill="auto"/>
          </w:tcPr>
          <w:p w14:paraId="2AEDFDFD" w14:textId="77777777" w:rsidR="00AD0FF4" w:rsidRPr="0078056B" w:rsidRDefault="00AD0FF4" w:rsidP="00C042A1">
            <w:pPr>
              <w:pStyle w:val="TableText"/>
              <w:keepNext/>
              <w:ind w:left="57" w:right="57"/>
              <w:jc w:val="center"/>
              <w:rPr>
                <w:rFonts w:cs="Calibri"/>
                <w:b/>
                <w:bCs/>
                <w:color w:val="06357A" w:themeColor="text2"/>
                <w:szCs w:val="20"/>
              </w:rPr>
            </w:pPr>
            <w:r w:rsidRPr="0078056B">
              <w:rPr>
                <w:b/>
                <w:bCs/>
                <w:color w:val="06357A" w:themeColor="text2"/>
              </w:rPr>
              <w:t>100%</w:t>
            </w:r>
          </w:p>
        </w:tc>
        <w:tc>
          <w:tcPr>
            <w:tcW w:w="685" w:type="pct"/>
            <w:tcBorders>
              <w:bottom w:val="single" w:sz="4" w:space="0" w:color="BFBFBF"/>
            </w:tcBorders>
            <w:shd w:val="clear" w:color="auto" w:fill="auto"/>
          </w:tcPr>
          <w:p w14:paraId="073590BB" w14:textId="77777777" w:rsidR="00AD0FF4" w:rsidRPr="0078056B" w:rsidRDefault="00AD0FF4" w:rsidP="00C042A1">
            <w:pPr>
              <w:pStyle w:val="TableText"/>
              <w:keepNext/>
              <w:ind w:left="57" w:right="57"/>
              <w:jc w:val="center"/>
              <w:rPr>
                <w:rFonts w:cs="Calibri"/>
                <w:b/>
                <w:bCs/>
                <w:color w:val="06357A" w:themeColor="text2"/>
                <w:szCs w:val="20"/>
              </w:rPr>
            </w:pPr>
            <w:r w:rsidRPr="0078056B">
              <w:rPr>
                <w:b/>
                <w:bCs/>
                <w:color w:val="06357A" w:themeColor="text2"/>
              </w:rPr>
              <w:t>100%</w:t>
            </w:r>
          </w:p>
        </w:tc>
        <w:tc>
          <w:tcPr>
            <w:tcW w:w="743" w:type="pct"/>
            <w:tcBorders>
              <w:bottom w:val="single" w:sz="4" w:space="0" w:color="BFBFBF"/>
            </w:tcBorders>
            <w:shd w:val="clear" w:color="auto" w:fill="auto"/>
          </w:tcPr>
          <w:p w14:paraId="2CFE03CB" w14:textId="77777777" w:rsidR="00AD0FF4" w:rsidRPr="0078056B" w:rsidRDefault="00AD0FF4" w:rsidP="00C042A1">
            <w:pPr>
              <w:pStyle w:val="TableText"/>
              <w:keepNext/>
              <w:ind w:left="57" w:right="57"/>
              <w:jc w:val="center"/>
              <w:rPr>
                <w:rFonts w:cs="Calibri"/>
                <w:b/>
                <w:bCs/>
                <w:color w:val="06357A" w:themeColor="text2"/>
                <w:szCs w:val="20"/>
              </w:rPr>
            </w:pPr>
            <w:r w:rsidRPr="0078056B">
              <w:rPr>
                <w:b/>
                <w:bCs/>
                <w:color w:val="06357A" w:themeColor="text2"/>
              </w:rPr>
              <w:t>100%</w:t>
            </w:r>
          </w:p>
        </w:tc>
        <w:tc>
          <w:tcPr>
            <w:tcW w:w="743" w:type="pct"/>
            <w:tcBorders>
              <w:bottom w:val="single" w:sz="4" w:space="0" w:color="BFBFBF"/>
            </w:tcBorders>
            <w:shd w:val="clear" w:color="auto" w:fill="auto"/>
          </w:tcPr>
          <w:p w14:paraId="27E43C85" w14:textId="77777777" w:rsidR="00AD0FF4" w:rsidRPr="0078056B" w:rsidRDefault="00AD0FF4" w:rsidP="00C042A1">
            <w:pPr>
              <w:pStyle w:val="TableText"/>
              <w:keepNext/>
              <w:ind w:left="57" w:right="57"/>
              <w:jc w:val="center"/>
              <w:rPr>
                <w:rFonts w:cs="Calibri"/>
                <w:b/>
                <w:bCs/>
                <w:color w:val="06357A" w:themeColor="text2"/>
                <w:szCs w:val="20"/>
              </w:rPr>
            </w:pPr>
            <w:r w:rsidRPr="0078056B">
              <w:rPr>
                <w:b/>
                <w:bCs/>
                <w:color w:val="06357A" w:themeColor="text2"/>
              </w:rPr>
              <w:t>100%</w:t>
            </w:r>
          </w:p>
        </w:tc>
        <w:tc>
          <w:tcPr>
            <w:tcW w:w="745" w:type="pct"/>
            <w:tcBorders>
              <w:bottom w:val="single" w:sz="4" w:space="0" w:color="BFBFBF"/>
            </w:tcBorders>
            <w:shd w:val="clear" w:color="auto" w:fill="auto"/>
          </w:tcPr>
          <w:p w14:paraId="79F26F83" w14:textId="77777777" w:rsidR="00AD0FF4" w:rsidRPr="0078056B" w:rsidRDefault="00AD0FF4" w:rsidP="00C042A1">
            <w:pPr>
              <w:pStyle w:val="TableText"/>
              <w:keepNext/>
              <w:ind w:left="57" w:right="57"/>
              <w:jc w:val="center"/>
              <w:rPr>
                <w:rFonts w:cs="Calibri"/>
                <w:b/>
                <w:bCs/>
                <w:color w:val="06357A" w:themeColor="text2"/>
                <w:szCs w:val="20"/>
              </w:rPr>
            </w:pPr>
            <w:r w:rsidRPr="0078056B">
              <w:rPr>
                <w:b/>
                <w:bCs/>
                <w:color w:val="06357A" w:themeColor="text2"/>
              </w:rPr>
              <w:t>100%</w:t>
            </w:r>
          </w:p>
        </w:tc>
      </w:tr>
      <w:tr w:rsidR="00AD0FF4" w:rsidRPr="0078056B" w14:paraId="1B778E9E" w14:textId="77777777" w:rsidTr="00C042A1">
        <w:trPr>
          <w:trHeight w:val="57"/>
        </w:trPr>
        <w:tc>
          <w:tcPr>
            <w:tcW w:w="1282" w:type="pct"/>
            <w:tcBorders>
              <w:right w:val="nil"/>
            </w:tcBorders>
            <w:shd w:val="clear" w:color="auto" w:fill="06357A" w:themeFill="accent1"/>
            <w:vAlign w:val="bottom"/>
          </w:tcPr>
          <w:p w14:paraId="5A0423D2" w14:textId="77777777" w:rsidR="00AD0FF4" w:rsidRPr="0078056B" w:rsidRDefault="00AD0FF4" w:rsidP="00C042A1">
            <w:pPr>
              <w:pStyle w:val="TableText"/>
              <w:keepNext/>
              <w:ind w:left="57" w:right="57"/>
              <w:rPr>
                <w:rFonts w:asciiTheme="minorHAnsi" w:hAnsiTheme="minorHAnsi" w:cstheme="minorHAnsi"/>
                <w:color w:val="FFFFFF" w:themeColor="background1"/>
                <w:szCs w:val="20"/>
              </w:rPr>
            </w:pPr>
            <w:r w:rsidRPr="0078056B">
              <w:rPr>
                <w:rFonts w:asciiTheme="minorHAnsi" w:hAnsiTheme="minorHAnsi" w:cstheme="minorHAnsi"/>
                <w:b/>
                <w:bCs/>
                <w:color w:val="FFFFFF" w:themeColor="background1"/>
                <w:szCs w:val="20"/>
              </w:rPr>
              <w:t>Part-time students</w:t>
            </w:r>
          </w:p>
        </w:tc>
        <w:tc>
          <w:tcPr>
            <w:tcW w:w="802" w:type="pct"/>
            <w:tcBorders>
              <w:left w:val="nil"/>
              <w:right w:val="nil"/>
            </w:tcBorders>
            <w:shd w:val="clear" w:color="auto" w:fill="06357A" w:themeFill="accent1"/>
            <w:vAlign w:val="center"/>
          </w:tcPr>
          <w:p w14:paraId="6BDF0D19" w14:textId="77777777" w:rsidR="00AD0FF4" w:rsidRPr="0078056B" w:rsidRDefault="00AD0FF4" w:rsidP="00C042A1">
            <w:pPr>
              <w:pStyle w:val="TableText"/>
              <w:keepNext/>
              <w:ind w:left="57" w:right="57"/>
              <w:jc w:val="center"/>
              <w:rPr>
                <w:rFonts w:asciiTheme="minorHAnsi" w:hAnsiTheme="minorHAnsi" w:cstheme="minorHAnsi"/>
                <w:color w:val="FFFFFF" w:themeColor="background1"/>
                <w:szCs w:val="20"/>
              </w:rPr>
            </w:pPr>
          </w:p>
        </w:tc>
        <w:tc>
          <w:tcPr>
            <w:tcW w:w="685" w:type="pct"/>
            <w:tcBorders>
              <w:left w:val="nil"/>
              <w:right w:val="nil"/>
            </w:tcBorders>
            <w:shd w:val="clear" w:color="auto" w:fill="06357A" w:themeFill="accent1"/>
            <w:vAlign w:val="center"/>
          </w:tcPr>
          <w:p w14:paraId="670661CE" w14:textId="77777777" w:rsidR="00AD0FF4" w:rsidRPr="0078056B" w:rsidRDefault="00AD0FF4" w:rsidP="00C042A1">
            <w:pPr>
              <w:pStyle w:val="TableText"/>
              <w:keepNext/>
              <w:ind w:left="57" w:right="57"/>
              <w:jc w:val="center"/>
              <w:rPr>
                <w:rFonts w:asciiTheme="minorHAnsi" w:hAnsiTheme="minorHAnsi" w:cstheme="minorHAnsi"/>
                <w:color w:val="FFFFFF" w:themeColor="background1"/>
                <w:szCs w:val="20"/>
              </w:rPr>
            </w:pPr>
          </w:p>
        </w:tc>
        <w:tc>
          <w:tcPr>
            <w:tcW w:w="743" w:type="pct"/>
            <w:tcBorders>
              <w:left w:val="nil"/>
              <w:right w:val="nil"/>
            </w:tcBorders>
            <w:shd w:val="clear" w:color="auto" w:fill="06357A" w:themeFill="accent1"/>
            <w:vAlign w:val="center"/>
          </w:tcPr>
          <w:p w14:paraId="7AE30110" w14:textId="77777777" w:rsidR="00AD0FF4" w:rsidRPr="0078056B" w:rsidRDefault="00AD0FF4" w:rsidP="00C042A1">
            <w:pPr>
              <w:pStyle w:val="TableText"/>
              <w:keepNext/>
              <w:ind w:left="57" w:right="57"/>
              <w:jc w:val="center"/>
              <w:rPr>
                <w:rFonts w:asciiTheme="minorHAnsi" w:hAnsiTheme="minorHAnsi" w:cstheme="minorHAnsi"/>
                <w:color w:val="FFFFFF" w:themeColor="background1"/>
                <w:szCs w:val="20"/>
              </w:rPr>
            </w:pPr>
          </w:p>
        </w:tc>
        <w:tc>
          <w:tcPr>
            <w:tcW w:w="743" w:type="pct"/>
            <w:tcBorders>
              <w:left w:val="nil"/>
              <w:right w:val="nil"/>
            </w:tcBorders>
            <w:shd w:val="clear" w:color="auto" w:fill="06357A" w:themeFill="accent1"/>
            <w:vAlign w:val="center"/>
          </w:tcPr>
          <w:p w14:paraId="71ACABDC" w14:textId="77777777" w:rsidR="00AD0FF4" w:rsidRPr="0078056B" w:rsidRDefault="00AD0FF4" w:rsidP="00C042A1">
            <w:pPr>
              <w:pStyle w:val="TableText"/>
              <w:keepNext/>
              <w:ind w:left="57" w:right="57"/>
              <w:jc w:val="center"/>
              <w:rPr>
                <w:rFonts w:asciiTheme="minorHAnsi" w:hAnsiTheme="minorHAnsi" w:cstheme="minorHAnsi"/>
                <w:color w:val="FFFFFF" w:themeColor="background1"/>
                <w:szCs w:val="20"/>
              </w:rPr>
            </w:pPr>
          </w:p>
        </w:tc>
        <w:tc>
          <w:tcPr>
            <w:tcW w:w="745" w:type="pct"/>
            <w:tcBorders>
              <w:left w:val="nil"/>
            </w:tcBorders>
            <w:shd w:val="clear" w:color="auto" w:fill="06357A" w:themeFill="accent1"/>
            <w:vAlign w:val="center"/>
          </w:tcPr>
          <w:p w14:paraId="084A0A3E" w14:textId="77777777" w:rsidR="00AD0FF4" w:rsidRPr="0078056B" w:rsidRDefault="00AD0FF4" w:rsidP="00C042A1">
            <w:pPr>
              <w:pStyle w:val="TableText"/>
              <w:keepNext/>
              <w:ind w:left="57" w:right="57"/>
              <w:jc w:val="center"/>
              <w:rPr>
                <w:rFonts w:asciiTheme="minorHAnsi" w:hAnsiTheme="minorHAnsi" w:cstheme="minorHAnsi"/>
                <w:color w:val="FFFFFF" w:themeColor="background1"/>
                <w:szCs w:val="20"/>
              </w:rPr>
            </w:pPr>
          </w:p>
        </w:tc>
      </w:tr>
      <w:tr w:rsidR="00AD0FF4" w:rsidRPr="0078056B" w14:paraId="7EEB973E" w14:textId="77777777" w:rsidTr="00C042A1">
        <w:trPr>
          <w:trHeight w:val="57"/>
        </w:trPr>
        <w:tc>
          <w:tcPr>
            <w:tcW w:w="1282" w:type="pct"/>
            <w:shd w:val="clear" w:color="auto" w:fill="auto"/>
            <w:vAlign w:val="bottom"/>
          </w:tcPr>
          <w:p w14:paraId="54A70FAD" w14:textId="77777777" w:rsidR="00AD0FF4" w:rsidRPr="0078056B" w:rsidRDefault="00AD0FF4" w:rsidP="00C042A1">
            <w:pPr>
              <w:pStyle w:val="TableText"/>
              <w:keepNext/>
              <w:ind w:left="57" w:right="57"/>
              <w:rPr>
                <w:rFonts w:asciiTheme="minorHAnsi" w:hAnsiTheme="minorHAnsi" w:cstheme="minorHAnsi"/>
                <w:szCs w:val="20"/>
              </w:rPr>
            </w:pPr>
            <w:r w:rsidRPr="0078056B">
              <w:rPr>
                <w:rFonts w:asciiTheme="minorHAnsi" w:hAnsiTheme="minorHAnsi" w:cstheme="minorHAnsi"/>
                <w:color w:val="000000"/>
                <w:szCs w:val="20"/>
              </w:rPr>
              <w:t>Other undergraduate</w:t>
            </w:r>
          </w:p>
        </w:tc>
        <w:tc>
          <w:tcPr>
            <w:tcW w:w="802" w:type="pct"/>
            <w:shd w:val="clear" w:color="auto" w:fill="auto"/>
          </w:tcPr>
          <w:p w14:paraId="2811363E" w14:textId="77777777" w:rsidR="00AD0FF4" w:rsidRPr="0078056B" w:rsidRDefault="00AD0FF4" w:rsidP="00C042A1">
            <w:pPr>
              <w:pStyle w:val="TableText"/>
              <w:keepNext/>
              <w:ind w:left="57" w:right="57"/>
              <w:jc w:val="center"/>
            </w:pPr>
            <w:r w:rsidRPr="0078056B">
              <w:t>100%</w:t>
            </w:r>
          </w:p>
        </w:tc>
        <w:tc>
          <w:tcPr>
            <w:tcW w:w="685" w:type="pct"/>
            <w:shd w:val="clear" w:color="auto" w:fill="auto"/>
          </w:tcPr>
          <w:p w14:paraId="375AAC8F" w14:textId="4720EADA" w:rsidR="00AD0FF4" w:rsidRPr="0078056B" w:rsidRDefault="00535C24" w:rsidP="00C042A1">
            <w:pPr>
              <w:pStyle w:val="TableText"/>
              <w:keepNext/>
              <w:ind w:left="57" w:right="57"/>
              <w:jc w:val="center"/>
            </w:pPr>
            <w:r w:rsidRPr="0078056B">
              <w:t>-</w:t>
            </w:r>
          </w:p>
        </w:tc>
        <w:tc>
          <w:tcPr>
            <w:tcW w:w="743" w:type="pct"/>
            <w:shd w:val="clear" w:color="auto" w:fill="auto"/>
          </w:tcPr>
          <w:p w14:paraId="2C9AC118" w14:textId="1024D9AF" w:rsidR="00AD0FF4" w:rsidRPr="0078056B" w:rsidRDefault="00535C24" w:rsidP="00C042A1">
            <w:pPr>
              <w:pStyle w:val="TableText"/>
              <w:keepNext/>
              <w:ind w:left="57" w:right="57"/>
              <w:jc w:val="center"/>
            </w:pPr>
            <w:r w:rsidRPr="0078056B">
              <w:t>-</w:t>
            </w:r>
          </w:p>
        </w:tc>
        <w:tc>
          <w:tcPr>
            <w:tcW w:w="743" w:type="pct"/>
            <w:shd w:val="clear" w:color="auto" w:fill="auto"/>
          </w:tcPr>
          <w:p w14:paraId="47EE72B6" w14:textId="03EB0A85" w:rsidR="00AD0FF4" w:rsidRPr="0078056B" w:rsidRDefault="00535C24" w:rsidP="00C042A1">
            <w:pPr>
              <w:pStyle w:val="TableText"/>
              <w:keepNext/>
              <w:ind w:left="57" w:right="57"/>
              <w:jc w:val="center"/>
            </w:pPr>
            <w:r w:rsidRPr="0078056B">
              <w:t>-</w:t>
            </w:r>
          </w:p>
        </w:tc>
        <w:tc>
          <w:tcPr>
            <w:tcW w:w="745" w:type="pct"/>
            <w:shd w:val="clear" w:color="auto" w:fill="auto"/>
          </w:tcPr>
          <w:p w14:paraId="21B3846A" w14:textId="65CD9B17" w:rsidR="00AD0FF4" w:rsidRPr="0078056B" w:rsidRDefault="00535C24" w:rsidP="00C042A1">
            <w:pPr>
              <w:pStyle w:val="TableText"/>
              <w:keepNext/>
              <w:ind w:left="57" w:right="57"/>
              <w:jc w:val="center"/>
            </w:pPr>
            <w:r w:rsidRPr="0078056B">
              <w:t>-</w:t>
            </w:r>
          </w:p>
        </w:tc>
      </w:tr>
      <w:tr w:rsidR="00AD0FF4" w:rsidRPr="0078056B" w14:paraId="01ACB5C8" w14:textId="77777777" w:rsidTr="00C042A1">
        <w:trPr>
          <w:trHeight w:val="57"/>
        </w:trPr>
        <w:tc>
          <w:tcPr>
            <w:tcW w:w="1282" w:type="pct"/>
            <w:shd w:val="clear" w:color="auto" w:fill="auto"/>
            <w:vAlign w:val="bottom"/>
          </w:tcPr>
          <w:p w14:paraId="2F162354" w14:textId="77777777" w:rsidR="00AD0FF4" w:rsidRPr="0078056B" w:rsidRDefault="00AD0FF4" w:rsidP="00C042A1">
            <w:pPr>
              <w:pStyle w:val="TableText"/>
              <w:keepNext/>
              <w:ind w:left="57" w:right="57"/>
              <w:rPr>
                <w:rFonts w:asciiTheme="minorHAnsi" w:hAnsiTheme="minorHAnsi" w:cstheme="minorHAnsi"/>
                <w:color w:val="000000"/>
                <w:szCs w:val="20"/>
              </w:rPr>
            </w:pPr>
            <w:r w:rsidRPr="0078056B">
              <w:rPr>
                <w:rFonts w:asciiTheme="minorHAnsi" w:hAnsiTheme="minorHAnsi" w:cstheme="minorHAnsi"/>
                <w:color w:val="000000"/>
                <w:szCs w:val="20"/>
              </w:rPr>
              <w:t>First degree</w:t>
            </w:r>
          </w:p>
        </w:tc>
        <w:tc>
          <w:tcPr>
            <w:tcW w:w="802" w:type="pct"/>
            <w:shd w:val="clear" w:color="auto" w:fill="auto"/>
          </w:tcPr>
          <w:p w14:paraId="7F562674" w14:textId="32784D7E" w:rsidR="00AD0FF4" w:rsidRPr="0078056B" w:rsidRDefault="00535C24" w:rsidP="00C042A1">
            <w:pPr>
              <w:pStyle w:val="TableText"/>
              <w:keepNext/>
              <w:ind w:left="57" w:right="57"/>
              <w:jc w:val="center"/>
            </w:pPr>
            <w:r w:rsidRPr="0078056B">
              <w:t>-</w:t>
            </w:r>
          </w:p>
        </w:tc>
        <w:tc>
          <w:tcPr>
            <w:tcW w:w="685" w:type="pct"/>
            <w:shd w:val="clear" w:color="auto" w:fill="auto"/>
          </w:tcPr>
          <w:p w14:paraId="270E2149" w14:textId="77777777" w:rsidR="00AD0FF4" w:rsidRPr="0078056B" w:rsidRDefault="00AD0FF4" w:rsidP="00C042A1">
            <w:pPr>
              <w:pStyle w:val="TableText"/>
              <w:keepNext/>
              <w:ind w:left="57" w:right="57"/>
              <w:jc w:val="center"/>
            </w:pPr>
            <w:r w:rsidRPr="0078056B">
              <w:t>100%</w:t>
            </w:r>
          </w:p>
        </w:tc>
        <w:tc>
          <w:tcPr>
            <w:tcW w:w="743" w:type="pct"/>
            <w:shd w:val="clear" w:color="auto" w:fill="auto"/>
          </w:tcPr>
          <w:p w14:paraId="641FABC8" w14:textId="71E4B676" w:rsidR="00AD0FF4" w:rsidRPr="0078056B" w:rsidRDefault="00535C24" w:rsidP="00C042A1">
            <w:pPr>
              <w:pStyle w:val="TableText"/>
              <w:keepNext/>
              <w:ind w:left="57" w:right="57"/>
              <w:jc w:val="center"/>
            </w:pPr>
            <w:r w:rsidRPr="0078056B">
              <w:t>-</w:t>
            </w:r>
          </w:p>
        </w:tc>
        <w:tc>
          <w:tcPr>
            <w:tcW w:w="743" w:type="pct"/>
            <w:shd w:val="clear" w:color="auto" w:fill="auto"/>
          </w:tcPr>
          <w:p w14:paraId="2E0E15B0" w14:textId="45F7ED6F" w:rsidR="00AD0FF4" w:rsidRPr="0078056B" w:rsidRDefault="00535C24" w:rsidP="00C042A1">
            <w:pPr>
              <w:pStyle w:val="TableText"/>
              <w:keepNext/>
              <w:ind w:left="57" w:right="57"/>
              <w:jc w:val="center"/>
            </w:pPr>
            <w:r w:rsidRPr="0078056B">
              <w:t>-</w:t>
            </w:r>
          </w:p>
        </w:tc>
        <w:tc>
          <w:tcPr>
            <w:tcW w:w="745" w:type="pct"/>
            <w:shd w:val="clear" w:color="auto" w:fill="auto"/>
          </w:tcPr>
          <w:p w14:paraId="6D62C857" w14:textId="0A14AB8E" w:rsidR="00AD0FF4" w:rsidRPr="0078056B" w:rsidRDefault="00535C24" w:rsidP="00C042A1">
            <w:pPr>
              <w:pStyle w:val="TableText"/>
              <w:keepNext/>
              <w:ind w:left="57" w:right="57"/>
              <w:jc w:val="center"/>
            </w:pPr>
            <w:r w:rsidRPr="0078056B">
              <w:t>-</w:t>
            </w:r>
          </w:p>
        </w:tc>
      </w:tr>
      <w:tr w:rsidR="00AD0FF4" w:rsidRPr="0078056B" w14:paraId="539AB797" w14:textId="77777777" w:rsidTr="00C042A1">
        <w:trPr>
          <w:trHeight w:val="57"/>
        </w:trPr>
        <w:tc>
          <w:tcPr>
            <w:tcW w:w="1282" w:type="pct"/>
            <w:shd w:val="clear" w:color="auto" w:fill="auto"/>
            <w:vAlign w:val="bottom"/>
          </w:tcPr>
          <w:p w14:paraId="59C67D04" w14:textId="77777777" w:rsidR="00AD0FF4" w:rsidRPr="0078056B" w:rsidRDefault="00AD0FF4" w:rsidP="00C042A1">
            <w:pPr>
              <w:pStyle w:val="TableText"/>
              <w:keepNext/>
              <w:ind w:left="57" w:right="57"/>
              <w:rPr>
                <w:rFonts w:asciiTheme="minorHAnsi" w:hAnsiTheme="minorHAnsi" w:cstheme="minorHAnsi"/>
                <w:szCs w:val="20"/>
              </w:rPr>
            </w:pPr>
            <w:r w:rsidRPr="0078056B">
              <w:rPr>
                <w:rFonts w:asciiTheme="minorHAnsi" w:hAnsiTheme="minorHAnsi" w:cstheme="minorHAnsi"/>
                <w:color w:val="000000"/>
                <w:szCs w:val="20"/>
              </w:rPr>
              <w:t>Other postgraduate</w:t>
            </w:r>
          </w:p>
        </w:tc>
        <w:tc>
          <w:tcPr>
            <w:tcW w:w="802" w:type="pct"/>
            <w:shd w:val="clear" w:color="auto" w:fill="auto"/>
          </w:tcPr>
          <w:p w14:paraId="2EB6E79C" w14:textId="0E69229B" w:rsidR="00AD0FF4" w:rsidRPr="0078056B" w:rsidRDefault="00535C24" w:rsidP="00C042A1">
            <w:pPr>
              <w:pStyle w:val="TableText"/>
              <w:keepNext/>
              <w:ind w:left="57" w:right="57"/>
              <w:jc w:val="center"/>
            </w:pPr>
            <w:r w:rsidRPr="0078056B">
              <w:t>-</w:t>
            </w:r>
          </w:p>
        </w:tc>
        <w:tc>
          <w:tcPr>
            <w:tcW w:w="685" w:type="pct"/>
            <w:shd w:val="clear" w:color="auto" w:fill="auto"/>
          </w:tcPr>
          <w:p w14:paraId="39E01E65" w14:textId="0ADF0368" w:rsidR="00AD0FF4" w:rsidRPr="0078056B" w:rsidRDefault="00535C24" w:rsidP="00C042A1">
            <w:pPr>
              <w:pStyle w:val="TableText"/>
              <w:keepNext/>
              <w:ind w:left="57" w:right="57"/>
              <w:jc w:val="center"/>
            </w:pPr>
            <w:r w:rsidRPr="0078056B">
              <w:t>-</w:t>
            </w:r>
          </w:p>
        </w:tc>
        <w:tc>
          <w:tcPr>
            <w:tcW w:w="743" w:type="pct"/>
            <w:shd w:val="clear" w:color="auto" w:fill="auto"/>
          </w:tcPr>
          <w:p w14:paraId="65FAD08C" w14:textId="77777777" w:rsidR="00AD0FF4" w:rsidRPr="0078056B" w:rsidRDefault="00AD0FF4" w:rsidP="00C042A1">
            <w:pPr>
              <w:pStyle w:val="TableText"/>
              <w:keepNext/>
              <w:ind w:left="57" w:right="57"/>
              <w:jc w:val="center"/>
            </w:pPr>
            <w:r w:rsidRPr="0078056B">
              <w:t>100%</w:t>
            </w:r>
          </w:p>
        </w:tc>
        <w:tc>
          <w:tcPr>
            <w:tcW w:w="743" w:type="pct"/>
            <w:shd w:val="clear" w:color="auto" w:fill="auto"/>
          </w:tcPr>
          <w:p w14:paraId="621F6C1D" w14:textId="77777777" w:rsidR="00AD0FF4" w:rsidRPr="0078056B" w:rsidRDefault="00AD0FF4" w:rsidP="00C042A1">
            <w:pPr>
              <w:pStyle w:val="TableText"/>
              <w:keepNext/>
              <w:ind w:left="57" w:right="57"/>
              <w:jc w:val="center"/>
            </w:pPr>
            <w:r w:rsidRPr="0078056B">
              <w:t>23%</w:t>
            </w:r>
          </w:p>
        </w:tc>
        <w:tc>
          <w:tcPr>
            <w:tcW w:w="745" w:type="pct"/>
            <w:shd w:val="clear" w:color="auto" w:fill="auto"/>
          </w:tcPr>
          <w:p w14:paraId="6A838BE5" w14:textId="77777777" w:rsidR="00AD0FF4" w:rsidRPr="0078056B" w:rsidRDefault="00AD0FF4" w:rsidP="00C042A1">
            <w:pPr>
              <w:pStyle w:val="TableText"/>
              <w:keepNext/>
              <w:ind w:left="57" w:right="57"/>
              <w:jc w:val="center"/>
            </w:pPr>
            <w:r w:rsidRPr="0078056B">
              <w:t>34%</w:t>
            </w:r>
          </w:p>
        </w:tc>
      </w:tr>
      <w:tr w:rsidR="00AD0FF4" w:rsidRPr="0078056B" w14:paraId="5B6F89E1" w14:textId="77777777" w:rsidTr="00C042A1">
        <w:trPr>
          <w:trHeight w:val="57"/>
        </w:trPr>
        <w:tc>
          <w:tcPr>
            <w:tcW w:w="1282" w:type="pct"/>
            <w:shd w:val="clear" w:color="auto" w:fill="auto"/>
            <w:vAlign w:val="bottom"/>
          </w:tcPr>
          <w:p w14:paraId="71820F2B" w14:textId="77777777" w:rsidR="00AD0FF4" w:rsidRPr="0078056B" w:rsidRDefault="00AD0FF4" w:rsidP="00C042A1">
            <w:pPr>
              <w:pStyle w:val="TableText"/>
              <w:keepNext/>
              <w:ind w:left="57" w:right="57"/>
              <w:rPr>
                <w:rFonts w:asciiTheme="minorHAnsi" w:hAnsiTheme="minorHAnsi" w:cstheme="minorHAnsi"/>
                <w:szCs w:val="20"/>
              </w:rPr>
            </w:pPr>
            <w:r w:rsidRPr="0078056B">
              <w:rPr>
                <w:rFonts w:asciiTheme="minorHAnsi" w:hAnsiTheme="minorHAnsi" w:cstheme="minorHAnsi"/>
                <w:color w:val="000000"/>
                <w:szCs w:val="20"/>
              </w:rPr>
              <w:t>Higher degree (taught)</w:t>
            </w:r>
          </w:p>
        </w:tc>
        <w:tc>
          <w:tcPr>
            <w:tcW w:w="802" w:type="pct"/>
            <w:shd w:val="clear" w:color="auto" w:fill="auto"/>
          </w:tcPr>
          <w:p w14:paraId="258CD35E" w14:textId="568EB374" w:rsidR="00AD0FF4" w:rsidRPr="0078056B" w:rsidRDefault="00535C24" w:rsidP="00C042A1">
            <w:pPr>
              <w:pStyle w:val="TableText"/>
              <w:keepNext/>
              <w:ind w:left="57" w:right="57"/>
              <w:jc w:val="center"/>
            </w:pPr>
            <w:r w:rsidRPr="0078056B">
              <w:t>-</w:t>
            </w:r>
          </w:p>
        </w:tc>
        <w:tc>
          <w:tcPr>
            <w:tcW w:w="685" w:type="pct"/>
            <w:shd w:val="clear" w:color="auto" w:fill="auto"/>
          </w:tcPr>
          <w:p w14:paraId="2695829C" w14:textId="02BADC9B" w:rsidR="00AD0FF4" w:rsidRPr="0078056B" w:rsidRDefault="00535C24" w:rsidP="00C042A1">
            <w:pPr>
              <w:pStyle w:val="TableText"/>
              <w:keepNext/>
              <w:ind w:left="57" w:right="57"/>
              <w:jc w:val="center"/>
            </w:pPr>
            <w:r w:rsidRPr="0078056B">
              <w:t>-</w:t>
            </w:r>
          </w:p>
        </w:tc>
        <w:tc>
          <w:tcPr>
            <w:tcW w:w="743" w:type="pct"/>
            <w:shd w:val="clear" w:color="auto" w:fill="auto"/>
          </w:tcPr>
          <w:p w14:paraId="50C05CC2" w14:textId="38BD4739" w:rsidR="00AD0FF4" w:rsidRPr="0078056B" w:rsidRDefault="00535C24" w:rsidP="00C042A1">
            <w:pPr>
              <w:pStyle w:val="TableText"/>
              <w:keepNext/>
              <w:ind w:left="57" w:right="57"/>
              <w:jc w:val="center"/>
            </w:pPr>
            <w:r w:rsidRPr="0078056B">
              <w:t>-</w:t>
            </w:r>
          </w:p>
        </w:tc>
        <w:tc>
          <w:tcPr>
            <w:tcW w:w="743" w:type="pct"/>
            <w:shd w:val="clear" w:color="auto" w:fill="auto"/>
          </w:tcPr>
          <w:p w14:paraId="7EB36041" w14:textId="77777777" w:rsidR="00AD0FF4" w:rsidRPr="0078056B" w:rsidRDefault="00AD0FF4" w:rsidP="00C042A1">
            <w:pPr>
              <w:pStyle w:val="TableText"/>
              <w:keepNext/>
              <w:ind w:left="57" w:right="57"/>
              <w:jc w:val="center"/>
            </w:pPr>
            <w:r w:rsidRPr="0078056B">
              <w:t>77%</w:t>
            </w:r>
          </w:p>
        </w:tc>
        <w:tc>
          <w:tcPr>
            <w:tcW w:w="745" w:type="pct"/>
            <w:shd w:val="clear" w:color="auto" w:fill="auto"/>
          </w:tcPr>
          <w:p w14:paraId="42809F64" w14:textId="77777777" w:rsidR="00AD0FF4" w:rsidRPr="0078056B" w:rsidRDefault="00AD0FF4" w:rsidP="00C042A1">
            <w:pPr>
              <w:pStyle w:val="TableText"/>
              <w:keepNext/>
              <w:ind w:left="57" w:right="57"/>
              <w:jc w:val="center"/>
            </w:pPr>
            <w:r w:rsidRPr="0078056B">
              <w:t>1%</w:t>
            </w:r>
          </w:p>
        </w:tc>
      </w:tr>
      <w:tr w:rsidR="00AD0FF4" w:rsidRPr="0078056B" w14:paraId="60A4A082" w14:textId="77777777" w:rsidTr="00C042A1">
        <w:trPr>
          <w:trHeight w:val="57"/>
        </w:trPr>
        <w:tc>
          <w:tcPr>
            <w:tcW w:w="1282" w:type="pct"/>
            <w:shd w:val="clear" w:color="auto" w:fill="auto"/>
            <w:vAlign w:val="bottom"/>
          </w:tcPr>
          <w:p w14:paraId="610972AC" w14:textId="77777777" w:rsidR="00AD0FF4" w:rsidRPr="0078056B" w:rsidRDefault="00AD0FF4" w:rsidP="00C042A1">
            <w:pPr>
              <w:pStyle w:val="TableText"/>
              <w:keepNext/>
              <w:ind w:left="57" w:right="57"/>
              <w:rPr>
                <w:rFonts w:asciiTheme="minorHAnsi" w:hAnsiTheme="minorHAnsi" w:cstheme="minorHAnsi"/>
                <w:szCs w:val="20"/>
              </w:rPr>
            </w:pPr>
            <w:r w:rsidRPr="0078056B">
              <w:rPr>
                <w:rFonts w:asciiTheme="minorHAnsi" w:hAnsiTheme="minorHAnsi" w:cstheme="minorHAnsi"/>
                <w:color w:val="000000"/>
                <w:szCs w:val="20"/>
              </w:rPr>
              <w:t>Higher degree (research)</w:t>
            </w:r>
          </w:p>
        </w:tc>
        <w:tc>
          <w:tcPr>
            <w:tcW w:w="802" w:type="pct"/>
            <w:shd w:val="clear" w:color="auto" w:fill="auto"/>
          </w:tcPr>
          <w:p w14:paraId="42812CF1" w14:textId="1170AA74" w:rsidR="00AD0FF4" w:rsidRPr="0078056B" w:rsidRDefault="00535C24" w:rsidP="00C042A1">
            <w:pPr>
              <w:pStyle w:val="TableText"/>
              <w:keepNext/>
              <w:ind w:left="57" w:right="57"/>
              <w:jc w:val="center"/>
            </w:pPr>
            <w:r w:rsidRPr="0078056B">
              <w:t>-</w:t>
            </w:r>
          </w:p>
        </w:tc>
        <w:tc>
          <w:tcPr>
            <w:tcW w:w="685" w:type="pct"/>
            <w:shd w:val="clear" w:color="auto" w:fill="auto"/>
          </w:tcPr>
          <w:p w14:paraId="70A5E813" w14:textId="0A77B51A" w:rsidR="00AD0FF4" w:rsidRPr="0078056B" w:rsidRDefault="00535C24" w:rsidP="00C042A1">
            <w:pPr>
              <w:pStyle w:val="TableText"/>
              <w:keepNext/>
              <w:ind w:left="57" w:right="57"/>
              <w:jc w:val="center"/>
            </w:pPr>
            <w:r w:rsidRPr="0078056B">
              <w:t>-</w:t>
            </w:r>
          </w:p>
        </w:tc>
        <w:tc>
          <w:tcPr>
            <w:tcW w:w="743" w:type="pct"/>
            <w:shd w:val="clear" w:color="auto" w:fill="auto"/>
          </w:tcPr>
          <w:p w14:paraId="27C50888" w14:textId="18F48985" w:rsidR="00AD0FF4" w:rsidRPr="0078056B" w:rsidRDefault="00535C24" w:rsidP="00C042A1">
            <w:pPr>
              <w:pStyle w:val="TableText"/>
              <w:keepNext/>
              <w:ind w:left="57" w:right="57"/>
              <w:jc w:val="center"/>
            </w:pPr>
            <w:r w:rsidRPr="0078056B">
              <w:t>-</w:t>
            </w:r>
          </w:p>
        </w:tc>
        <w:tc>
          <w:tcPr>
            <w:tcW w:w="743" w:type="pct"/>
            <w:shd w:val="clear" w:color="auto" w:fill="auto"/>
          </w:tcPr>
          <w:p w14:paraId="4CE504F9" w14:textId="58FBBDF7" w:rsidR="00AD0FF4" w:rsidRPr="0078056B" w:rsidRDefault="00535C24" w:rsidP="00C042A1">
            <w:pPr>
              <w:pStyle w:val="TableText"/>
              <w:keepNext/>
              <w:ind w:left="57" w:right="57"/>
              <w:jc w:val="center"/>
            </w:pPr>
            <w:r w:rsidRPr="0078056B">
              <w:t>-</w:t>
            </w:r>
          </w:p>
        </w:tc>
        <w:tc>
          <w:tcPr>
            <w:tcW w:w="745" w:type="pct"/>
            <w:shd w:val="clear" w:color="auto" w:fill="auto"/>
          </w:tcPr>
          <w:p w14:paraId="08FCADCF" w14:textId="77777777" w:rsidR="00AD0FF4" w:rsidRPr="0078056B" w:rsidRDefault="00AD0FF4" w:rsidP="00C042A1">
            <w:pPr>
              <w:pStyle w:val="TableText"/>
              <w:keepNext/>
              <w:ind w:left="57" w:right="57"/>
              <w:jc w:val="center"/>
            </w:pPr>
            <w:r w:rsidRPr="0078056B">
              <w:t>66%</w:t>
            </w:r>
          </w:p>
        </w:tc>
      </w:tr>
      <w:tr w:rsidR="00AD0FF4" w:rsidRPr="0078056B" w14:paraId="2A044260" w14:textId="77777777" w:rsidTr="00C042A1">
        <w:trPr>
          <w:trHeight w:val="57"/>
        </w:trPr>
        <w:tc>
          <w:tcPr>
            <w:tcW w:w="1282" w:type="pct"/>
            <w:tcBorders>
              <w:bottom w:val="single" w:sz="4" w:space="0" w:color="06357A"/>
            </w:tcBorders>
            <w:shd w:val="clear" w:color="auto" w:fill="auto"/>
            <w:vAlign w:val="bottom"/>
          </w:tcPr>
          <w:p w14:paraId="26AE91EA" w14:textId="77777777" w:rsidR="00AD0FF4" w:rsidRPr="0078056B" w:rsidRDefault="00AD0FF4" w:rsidP="00C042A1">
            <w:pPr>
              <w:pStyle w:val="TableText"/>
              <w:keepNext/>
              <w:ind w:left="57" w:right="57"/>
              <w:rPr>
                <w:rFonts w:asciiTheme="minorHAnsi" w:hAnsiTheme="minorHAnsi" w:cstheme="minorHAnsi"/>
                <w:color w:val="06357A"/>
                <w:szCs w:val="20"/>
              </w:rPr>
            </w:pPr>
            <w:r w:rsidRPr="0078056B">
              <w:rPr>
                <w:rFonts w:asciiTheme="minorHAnsi" w:hAnsiTheme="minorHAnsi" w:cstheme="minorHAnsi"/>
                <w:b/>
                <w:bCs/>
                <w:color w:val="06357A"/>
                <w:szCs w:val="20"/>
              </w:rPr>
              <w:t>Total</w:t>
            </w:r>
          </w:p>
        </w:tc>
        <w:tc>
          <w:tcPr>
            <w:tcW w:w="802" w:type="pct"/>
            <w:tcBorders>
              <w:bottom w:val="single" w:sz="4" w:space="0" w:color="06357A"/>
            </w:tcBorders>
            <w:shd w:val="clear" w:color="auto" w:fill="auto"/>
          </w:tcPr>
          <w:p w14:paraId="12208D0F" w14:textId="77777777" w:rsidR="00AD0FF4" w:rsidRPr="0078056B" w:rsidRDefault="00AD0FF4" w:rsidP="00C042A1">
            <w:pPr>
              <w:pStyle w:val="TableText"/>
              <w:keepNext/>
              <w:ind w:left="57" w:right="57"/>
              <w:jc w:val="center"/>
              <w:rPr>
                <w:rFonts w:cs="Calibri"/>
                <w:b/>
                <w:bCs/>
                <w:color w:val="06357A" w:themeColor="text2"/>
                <w:szCs w:val="20"/>
              </w:rPr>
            </w:pPr>
            <w:r w:rsidRPr="0078056B">
              <w:rPr>
                <w:b/>
                <w:bCs/>
                <w:color w:val="06357A" w:themeColor="text2"/>
              </w:rPr>
              <w:t>100%</w:t>
            </w:r>
          </w:p>
        </w:tc>
        <w:tc>
          <w:tcPr>
            <w:tcW w:w="685" w:type="pct"/>
            <w:tcBorders>
              <w:bottom w:val="single" w:sz="4" w:space="0" w:color="06357A"/>
            </w:tcBorders>
            <w:shd w:val="clear" w:color="auto" w:fill="auto"/>
          </w:tcPr>
          <w:p w14:paraId="05D04421" w14:textId="77777777" w:rsidR="00AD0FF4" w:rsidRPr="0078056B" w:rsidRDefault="00AD0FF4" w:rsidP="00C042A1">
            <w:pPr>
              <w:pStyle w:val="TableText"/>
              <w:keepNext/>
              <w:ind w:left="57" w:right="57"/>
              <w:jc w:val="center"/>
              <w:rPr>
                <w:rFonts w:cs="Calibri"/>
                <w:b/>
                <w:bCs/>
                <w:color w:val="06357A" w:themeColor="text2"/>
                <w:szCs w:val="20"/>
              </w:rPr>
            </w:pPr>
            <w:r w:rsidRPr="0078056B">
              <w:rPr>
                <w:b/>
                <w:bCs/>
                <w:color w:val="06357A" w:themeColor="text2"/>
              </w:rPr>
              <w:t>100%</w:t>
            </w:r>
          </w:p>
        </w:tc>
        <w:tc>
          <w:tcPr>
            <w:tcW w:w="743" w:type="pct"/>
            <w:tcBorders>
              <w:bottom w:val="single" w:sz="4" w:space="0" w:color="06357A"/>
            </w:tcBorders>
            <w:shd w:val="clear" w:color="auto" w:fill="auto"/>
          </w:tcPr>
          <w:p w14:paraId="21D26B00" w14:textId="77777777" w:rsidR="00AD0FF4" w:rsidRPr="0078056B" w:rsidRDefault="00AD0FF4" w:rsidP="00C042A1">
            <w:pPr>
              <w:pStyle w:val="TableText"/>
              <w:keepNext/>
              <w:ind w:left="57" w:right="57"/>
              <w:jc w:val="center"/>
              <w:rPr>
                <w:rFonts w:cs="Calibri"/>
                <w:b/>
                <w:bCs/>
                <w:color w:val="06357A" w:themeColor="text2"/>
                <w:szCs w:val="20"/>
              </w:rPr>
            </w:pPr>
            <w:r w:rsidRPr="0078056B">
              <w:rPr>
                <w:b/>
                <w:bCs/>
                <w:color w:val="06357A" w:themeColor="text2"/>
              </w:rPr>
              <w:t>100%</w:t>
            </w:r>
          </w:p>
        </w:tc>
        <w:tc>
          <w:tcPr>
            <w:tcW w:w="743" w:type="pct"/>
            <w:tcBorders>
              <w:bottom w:val="single" w:sz="4" w:space="0" w:color="06357A"/>
            </w:tcBorders>
            <w:shd w:val="clear" w:color="auto" w:fill="auto"/>
          </w:tcPr>
          <w:p w14:paraId="205F9DA4" w14:textId="77777777" w:rsidR="00AD0FF4" w:rsidRPr="0078056B" w:rsidRDefault="00AD0FF4" w:rsidP="00C042A1">
            <w:pPr>
              <w:pStyle w:val="TableText"/>
              <w:keepNext/>
              <w:ind w:left="57" w:right="57"/>
              <w:jc w:val="center"/>
              <w:rPr>
                <w:rFonts w:cs="Calibri"/>
                <w:b/>
                <w:bCs/>
                <w:color w:val="06357A" w:themeColor="text2"/>
                <w:szCs w:val="20"/>
              </w:rPr>
            </w:pPr>
            <w:r w:rsidRPr="0078056B">
              <w:rPr>
                <w:b/>
                <w:bCs/>
                <w:color w:val="06357A" w:themeColor="text2"/>
              </w:rPr>
              <w:t>100%</w:t>
            </w:r>
          </w:p>
        </w:tc>
        <w:tc>
          <w:tcPr>
            <w:tcW w:w="745" w:type="pct"/>
            <w:tcBorders>
              <w:bottom w:val="single" w:sz="4" w:space="0" w:color="06357A"/>
            </w:tcBorders>
            <w:shd w:val="clear" w:color="auto" w:fill="auto"/>
          </w:tcPr>
          <w:p w14:paraId="0F2F70BA" w14:textId="77777777" w:rsidR="00AD0FF4" w:rsidRPr="0078056B" w:rsidRDefault="00AD0FF4" w:rsidP="00C042A1">
            <w:pPr>
              <w:pStyle w:val="TableText"/>
              <w:keepNext/>
              <w:ind w:left="57" w:right="57"/>
              <w:jc w:val="center"/>
              <w:rPr>
                <w:rFonts w:cs="Calibri"/>
                <w:b/>
                <w:bCs/>
                <w:color w:val="06357A" w:themeColor="text2"/>
                <w:szCs w:val="20"/>
              </w:rPr>
            </w:pPr>
            <w:r w:rsidRPr="0078056B">
              <w:rPr>
                <w:b/>
                <w:bCs/>
                <w:color w:val="06357A" w:themeColor="text2"/>
              </w:rPr>
              <w:t>100%</w:t>
            </w:r>
          </w:p>
        </w:tc>
      </w:tr>
    </w:tbl>
    <w:p w14:paraId="00731633" w14:textId="77777777" w:rsidR="00AD0FF4" w:rsidRPr="0078056B" w:rsidRDefault="00AD0FF4" w:rsidP="00AD0FF4">
      <w:pPr>
        <w:pStyle w:val="TableSource"/>
        <w:jc w:val="both"/>
        <w:rPr>
          <w:b w:val="0"/>
          <w:bCs/>
          <w:i w:val="0"/>
          <w:iCs/>
        </w:rPr>
      </w:pPr>
      <w:r w:rsidRPr="0078056B">
        <w:rPr>
          <w:b w:val="0"/>
          <w:bCs/>
          <w:i w:val="0"/>
          <w:iCs/>
        </w:rPr>
        <w:t>Note: Based on University of Birmingham progression information for the 2021-22 academic year. Totals may not sum due to rounding.</w:t>
      </w:r>
    </w:p>
    <w:p w14:paraId="1C8B9C09" w14:textId="045D3D7F" w:rsidR="003A6119" w:rsidRPr="0078056B" w:rsidRDefault="00AD0FF4" w:rsidP="00AD0FF4">
      <w:pPr>
        <w:pStyle w:val="TableSource"/>
      </w:pPr>
      <w:r w:rsidRPr="0078056B">
        <w:t xml:space="preserve">Source: London Economics’ analysis based on information provided by the University of Birmingham </w:t>
      </w:r>
    </w:p>
    <w:p w14:paraId="38858963" w14:textId="77777777" w:rsidR="003A6119" w:rsidRPr="0078056B" w:rsidRDefault="003A6119" w:rsidP="003A6119">
      <w:pPr>
        <w:pStyle w:val="AnnexHeading3"/>
      </w:pPr>
      <w:r w:rsidRPr="0078056B">
        <w:t>Defining the gross graduate premium and gross public purse benefit</w:t>
      </w:r>
    </w:p>
    <w:p w14:paraId="75F46956" w14:textId="05E8A74C" w:rsidR="003A6119" w:rsidRPr="0078056B" w:rsidRDefault="00535C24" w:rsidP="003A6119">
      <w:r w:rsidRPr="0078056B">
        <w:t xml:space="preserve">As summarised in Section </w:t>
      </w:r>
      <w:r w:rsidR="000D6329">
        <w:fldChar w:fldCharType="begin"/>
      </w:r>
      <w:r w:rsidR="000D6329">
        <w:instrText xml:space="preserve"> REF _Ref163049223 \r \h </w:instrText>
      </w:r>
      <w:r w:rsidR="000D6329">
        <w:fldChar w:fldCharType="separate"/>
      </w:r>
      <w:r w:rsidR="00E33157">
        <w:t>3.2</w:t>
      </w:r>
      <w:r w:rsidR="000D6329">
        <w:fldChar w:fldCharType="end"/>
      </w:r>
      <w:r w:rsidRPr="0078056B">
        <w:t xml:space="preserve">, to measure the </w:t>
      </w:r>
      <w:r w:rsidRPr="0078056B">
        <w:rPr>
          <w:bCs/>
        </w:rPr>
        <w:t>economic benefits of higher education qualifications</w:t>
      </w:r>
      <w:r w:rsidRPr="0078056B">
        <w:t xml:space="preserve">, we estimate the </w:t>
      </w:r>
      <w:r w:rsidRPr="0078056B">
        <w:rPr>
          <w:rFonts w:asciiTheme="minorHAnsi" w:hAnsiTheme="minorHAnsi"/>
          <w:b/>
          <w:color w:val="06357A"/>
        </w:rPr>
        <w:t>labour market value associated with these qualifications</w:t>
      </w:r>
      <w:r w:rsidRPr="0078056B">
        <w:t xml:space="preserve">, rather than simply assessing the labour market outcomes achieved by individuals </w:t>
      </w:r>
      <w:r w:rsidRPr="0078056B">
        <w:rPr>
          <w:i/>
        </w:rPr>
        <w:t>in possession</w:t>
      </w:r>
      <w:r w:rsidRPr="0078056B">
        <w:t xml:space="preserve"> of higher education qualifications. The standard approach to estimating this labour market value is to undertake an </w:t>
      </w:r>
      <w:r w:rsidRPr="0078056B">
        <w:rPr>
          <w:rFonts w:asciiTheme="minorHAnsi" w:hAnsiTheme="minorHAnsi"/>
          <w:b/>
          <w:color w:val="06357A"/>
        </w:rPr>
        <w:t>econometric analysis</w:t>
      </w:r>
      <w:r w:rsidRPr="0078056B">
        <w:t xml:space="preserve"> where the ‘treatment’ group consists of those individuals in possession of the qualification of interest, and the ‘counterfactual’ group consists of those individuals with comparable personal and socioeconomic characteristics but with the next highest level of qualification. The rationale for adopting this approach is that the comparison of the earnings and employment outcomes of the treatment group and the counterfactual group ‘strips away’ (to the greatest extent possible with the relevant data) those other personal and socioeconomic characteristics that might affect labour market earnings and employment (such as gender, age, or sector of employment), leaving just the labour market gains attributable to the qualification itself (see </w:t>
      </w:r>
      <w:r w:rsidRPr="0078056B">
        <w:fldChar w:fldCharType="begin"/>
      </w:r>
      <w:r w:rsidRPr="0078056B">
        <w:instrText xml:space="preserve"> REF _Ref160452448 \r \h </w:instrText>
      </w:r>
      <w:r w:rsidR="0078056B">
        <w:instrText xml:space="preserve"> \* MERGEFORMAT </w:instrText>
      </w:r>
      <w:r w:rsidRPr="0078056B">
        <w:fldChar w:fldCharType="separate"/>
      </w:r>
      <w:r w:rsidR="00E33157">
        <w:t>Figure 44</w:t>
      </w:r>
      <w:r w:rsidRPr="0078056B">
        <w:fldChar w:fldCharType="end"/>
      </w:r>
      <w:r w:rsidRPr="0078056B">
        <w:t xml:space="preserve"> for an illustration of this). The treatment and counterfactual groups, and details of the econometric approach, are presented in Annex </w:t>
      </w:r>
      <w:r w:rsidRPr="0078056B">
        <w:fldChar w:fldCharType="begin"/>
      </w:r>
      <w:r w:rsidRPr="0078056B">
        <w:instrText xml:space="preserve"> REF _Ref454898098 \r \h </w:instrText>
      </w:r>
      <w:r w:rsidR="0078056B">
        <w:instrText xml:space="preserve"> \* MERGEFORMAT </w:instrText>
      </w:r>
      <w:r w:rsidRPr="0078056B">
        <w:fldChar w:fldCharType="separate"/>
      </w:r>
      <w:r w:rsidR="00E33157">
        <w:t>A2.3.3</w:t>
      </w:r>
      <w:r w:rsidRPr="0078056B">
        <w:fldChar w:fldCharType="end"/>
      </w:r>
      <w:r w:rsidRPr="0078056B">
        <w:t xml:space="preserve"> and Annex </w:t>
      </w:r>
      <w:r w:rsidRPr="0078056B">
        <w:fldChar w:fldCharType="begin"/>
      </w:r>
      <w:r w:rsidRPr="0078056B">
        <w:instrText xml:space="preserve"> REF _Ref525656922 \r \h </w:instrText>
      </w:r>
      <w:r w:rsidR="0078056B">
        <w:instrText xml:space="preserve"> \* MERGEFORMAT </w:instrText>
      </w:r>
      <w:r w:rsidRPr="0078056B">
        <w:fldChar w:fldCharType="separate"/>
      </w:r>
      <w:r w:rsidR="00E33157">
        <w:t>A2.3.4</w:t>
      </w:r>
      <w:r w:rsidRPr="0078056B">
        <w:fldChar w:fldCharType="end"/>
      </w:r>
      <w:r w:rsidRPr="0078056B">
        <w:t>, respectively</w:t>
      </w:r>
      <w:r w:rsidR="003A6119" w:rsidRPr="0078056B">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3A6119" w:rsidRPr="0078056B" w14:paraId="309D0F6C" w14:textId="77777777" w:rsidTr="000A186C">
        <w:trPr>
          <w:cantSplit/>
        </w:trPr>
        <w:tc>
          <w:tcPr>
            <w:tcW w:w="0" w:type="auto"/>
          </w:tcPr>
          <w:p w14:paraId="3C7A084C" w14:textId="77777777" w:rsidR="003A6119" w:rsidRPr="0078056B" w:rsidRDefault="003A6119" w:rsidP="0021730A">
            <w:pPr>
              <w:pStyle w:val="FigureTitle"/>
            </w:pPr>
            <w:bookmarkStart w:id="463" w:name="_Ref454900940"/>
            <w:bookmarkStart w:id="464" w:name="_Toc458506556"/>
            <w:bookmarkStart w:id="465" w:name="_Toc487814625"/>
            <w:bookmarkStart w:id="466" w:name="_Toc506794069"/>
            <w:bookmarkStart w:id="467" w:name="_Toc529866016"/>
            <w:bookmarkStart w:id="468" w:name="_Toc36037501"/>
            <w:bookmarkStart w:id="469" w:name="_Toc75247080"/>
            <w:bookmarkStart w:id="470" w:name="_Toc106102784"/>
            <w:bookmarkStart w:id="471" w:name="_Toc111554758"/>
            <w:bookmarkStart w:id="472" w:name="_Toc112336048"/>
            <w:bookmarkStart w:id="473" w:name="_Toc138171612"/>
            <w:bookmarkStart w:id="474" w:name="_Ref145431264"/>
            <w:bookmarkStart w:id="475" w:name="_Toc148543138"/>
            <w:bookmarkStart w:id="476" w:name="_Ref160452448"/>
            <w:bookmarkStart w:id="477" w:name="_Toc160636349"/>
            <w:bookmarkStart w:id="478" w:name="_Toc168652225"/>
            <w:r w:rsidRPr="0078056B">
              <w:lastRenderedPageBreak/>
              <w:t>Estimating the gross graduate premium</w:t>
            </w:r>
            <w:bookmarkEnd w:id="463"/>
            <w:bookmarkEnd w:id="464"/>
            <w:bookmarkEnd w:id="465"/>
            <w:bookmarkEnd w:id="466"/>
            <w:bookmarkEnd w:id="467"/>
            <w:r w:rsidRPr="0078056B">
              <w:t xml:space="preserve"> and gross Exchequer benefit</w:t>
            </w:r>
            <w:bookmarkEnd w:id="468"/>
            <w:bookmarkEnd w:id="469"/>
            <w:bookmarkEnd w:id="470"/>
            <w:bookmarkEnd w:id="471"/>
            <w:bookmarkEnd w:id="472"/>
            <w:bookmarkEnd w:id="473"/>
            <w:bookmarkEnd w:id="474"/>
            <w:bookmarkEnd w:id="475"/>
            <w:bookmarkEnd w:id="476"/>
            <w:bookmarkEnd w:id="477"/>
            <w:bookmarkEnd w:id="478"/>
          </w:p>
        </w:tc>
      </w:tr>
      <w:tr w:rsidR="003A6119" w:rsidRPr="0078056B" w14:paraId="10CC3F51" w14:textId="77777777" w:rsidTr="000A186C">
        <w:trPr>
          <w:cantSplit/>
        </w:trPr>
        <w:tc>
          <w:tcPr>
            <w:tcW w:w="0" w:type="auto"/>
          </w:tcPr>
          <w:p w14:paraId="14656479" w14:textId="77777777" w:rsidR="003A6119" w:rsidRPr="0078056B" w:rsidRDefault="003A6119" w:rsidP="000A186C">
            <w:pPr>
              <w:pStyle w:val="PlaceholderText"/>
            </w:pPr>
            <w:r w:rsidRPr="0078056B">
              <w:rPr>
                <w:noProof/>
              </w:rPr>
              <w:drawing>
                <wp:inline distT="0" distB="0" distL="0" distR="0" wp14:anchorId="12096145" wp14:editId="73BAA905">
                  <wp:extent cx="5596255" cy="4192911"/>
                  <wp:effectExtent l="0" t="0" r="0" b="0"/>
                  <wp:docPr id="2023402824" name="Picture 9"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02824" name="Picture 9" descr="A diagram of a graph&#10;&#10;Description automatically generated"/>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605246" cy="4199647"/>
                          </a:xfrm>
                          <a:prstGeom prst="rect">
                            <a:avLst/>
                          </a:prstGeom>
                          <a:noFill/>
                        </pic:spPr>
                      </pic:pic>
                    </a:graphicData>
                  </a:graphic>
                </wp:inline>
              </w:drawing>
            </w:r>
          </w:p>
        </w:tc>
      </w:tr>
      <w:tr w:rsidR="003A6119" w:rsidRPr="0078056B" w14:paraId="48113DFA" w14:textId="77777777" w:rsidTr="000A186C">
        <w:trPr>
          <w:cantSplit/>
        </w:trPr>
        <w:tc>
          <w:tcPr>
            <w:tcW w:w="0" w:type="auto"/>
          </w:tcPr>
          <w:p w14:paraId="06A5B33D" w14:textId="77777777" w:rsidR="003A6119" w:rsidRPr="0078056B" w:rsidRDefault="003A6119" w:rsidP="000A186C">
            <w:pPr>
              <w:spacing w:before="0" w:after="0"/>
              <w:rPr>
                <w:sz w:val="18"/>
                <w:szCs w:val="18"/>
              </w:rPr>
            </w:pPr>
            <w:r w:rsidRPr="0078056B">
              <w:rPr>
                <w:sz w:val="16"/>
                <w:szCs w:val="18"/>
              </w:rPr>
              <w:t xml:space="preserve">Note: The analysis assumes that the opportunity costs of foregone earnings associated with higher qualification attainment are applicable to full-time students only. For part-time students, we have assumed that these students are </w:t>
            </w:r>
            <w:bookmarkStart w:id="479" w:name="_Hlk27749321"/>
            <w:r w:rsidRPr="0078056B">
              <w:rPr>
                <w:sz w:val="16"/>
                <w:szCs w:val="18"/>
              </w:rPr>
              <w:t>able to combine work with their academic studies and as such, do not incur any opportunity costs in the form of foregone earnings</w:t>
            </w:r>
            <w:bookmarkEnd w:id="479"/>
            <w:r w:rsidRPr="0078056B">
              <w:rPr>
                <w:sz w:val="16"/>
                <w:szCs w:val="18"/>
              </w:rPr>
              <w:t>. This illustration is based on an analysis of the University of Birmingham’s student cohort data for 2021-22, where the mean age at enrolment for full-time first degree students stands at 18, and the average study duration for full-time first degree students is 3 years</w:t>
            </w:r>
            <w:r w:rsidRPr="0078056B">
              <w:rPr>
                <w:sz w:val="18"/>
                <w:szCs w:val="18"/>
              </w:rPr>
              <w:t>.</w:t>
            </w:r>
          </w:p>
          <w:p w14:paraId="1DD9D01A" w14:textId="77777777" w:rsidR="003A6119" w:rsidRPr="0078056B" w:rsidRDefault="003A6119" w:rsidP="000A186C">
            <w:pPr>
              <w:pStyle w:val="TableSource"/>
            </w:pPr>
            <w:r w:rsidRPr="0078056B">
              <w:t>Source: London Economics</w:t>
            </w:r>
          </w:p>
        </w:tc>
      </w:tr>
    </w:tbl>
    <w:p w14:paraId="58837311" w14:textId="77777777" w:rsidR="003A6119" w:rsidRPr="0078056B" w:rsidRDefault="003A6119" w:rsidP="003A6119">
      <w:r w:rsidRPr="0078056B">
        <w:t xml:space="preserve">Throughout the analysis, the assessment of earnings and employment outcomes associated with higher education qualification attainment (at all levels) is undertaken separately by </w:t>
      </w:r>
      <w:r w:rsidRPr="0078056B">
        <w:rPr>
          <w:rFonts w:asciiTheme="minorHAnsi" w:hAnsiTheme="minorHAnsi"/>
          <w:b/>
          <w:color w:val="06357A"/>
        </w:rPr>
        <w:t>gender</w:t>
      </w:r>
      <w:r w:rsidRPr="0078056B">
        <w:t xml:space="preserve">, reflecting the different labour market outcomes between men and women. Further, the analysis is adjusted for the specific </w:t>
      </w:r>
      <w:r w:rsidRPr="0078056B">
        <w:rPr>
          <w:rFonts w:asciiTheme="minorHAnsi" w:hAnsiTheme="minorHAnsi"/>
          <w:b/>
          <w:color w:val="06357A"/>
        </w:rPr>
        <w:t>subject</w:t>
      </w:r>
      <w:r w:rsidRPr="0078056B">
        <w:t xml:space="preserve"> </w:t>
      </w:r>
      <w:r w:rsidRPr="0078056B">
        <w:rPr>
          <w:rFonts w:asciiTheme="minorHAnsi" w:hAnsiTheme="minorHAnsi"/>
          <w:b/>
          <w:color w:val="06357A"/>
        </w:rPr>
        <w:t>composition</w:t>
      </w:r>
      <w:r w:rsidRPr="0078056B">
        <w:t xml:space="preserve"> of students studying at the University of Birmingham, to reflect the fact that there is significant variation in post-graduation labour market outcomes depending on the subject of study. In addition, given the fact that part-time students generally undertake and complete higher education qualifications later in life than full-time students, the analysis for part-time students applies a </w:t>
      </w:r>
      <w:r w:rsidRPr="0078056B">
        <w:rPr>
          <w:rFonts w:asciiTheme="minorHAnsi" w:hAnsiTheme="minorHAnsi"/>
          <w:b/>
          <w:color w:val="06357A"/>
        </w:rPr>
        <w:t>‘decay function’</w:t>
      </w:r>
      <w:r w:rsidRPr="0078056B">
        <w:t xml:space="preserve"> to the returns associated with qualification attainment, to reflect the shorter period of time in the labour market</w:t>
      </w:r>
      <w:r w:rsidRPr="0078056B">
        <w:rPr>
          <w:rStyle w:val="FootnoteReference"/>
        </w:rPr>
        <w:footnoteReference w:id="114"/>
      </w:r>
      <w:r w:rsidRPr="0078056B">
        <w:t xml:space="preserve">. </w:t>
      </w:r>
    </w:p>
    <w:p w14:paraId="45E22572" w14:textId="04986A08" w:rsidR="003A6119" w:rsidRPr="0078056B" w:rsidRDefault="003A6119" w:rsidP="003A6119">
      <w:r w:rsidRPr="0078056B">
        <w:t xml:space="preserve">To estimate the </w:t>
      </w:r>
      <w:r w:rsidRPr="0078056B">
        <w:rPr>
          <w:rFonts w:asciiTheme="minorHAnsi" w:hAnsiTheme="minorHAnsi"/>
          <w:b/>
          <w:color w:val="06357A"/>
        </w:rPr>
        <w:t>gross</w:t>
      </w:r>
      <w:r w:rsidRPr="0078056B">
        <w:t xml:space="preserve"> </w:t>
      </w:r>
      <w:r w:rsidRPr="0078056B">
        <w:rPr>
          <w:rFonts w:asciiTheme="minorHAnsi" w:hAnsiTheme="minorHAnsi"/>
          <w:b/>
          <w:color w:val="06357A"/>
        </w:rPr>
        <w:t>graduate</w:t>
      </w:r>
      <w:r w:rsidRPr="0078056B">
        <w:t xml:space="preserve"> </w:t>
      </w:r>
      <w:r w:rsidRPr="0078056B">
        <w:rPr>
          <w:rFonts w:asciiTheme="minorHAnsi" w:hAnsiTheme="minorHAnsi"/>
          <w:b/>
          <w:color w:val="06357A"/>
        </w:rPr>
        <w:t>premium</w:t>
      </w:r>
      <w:r w:rsidRPr="0078056B">
        <w:t xml:space="preserve">, based on the econometric results, we then estimate the </w:t>
      </w:r>
      <w:r w:rsidRPr="0078056B">
        <w:rPr>
          <w:rFonts w:asciiTheme="minorHAnsi" w:hAnsiTheme="minorHAnsi"/>
          <w:b/>
          <w:color w:val="06357A"/>
        </w:rPr>
        <w:t>present value of the enhanced post-tax earnings</w:t>
      </w:r>
      <w:r w:rsidRPr="0078056B">
        <w:t xml:space="preserve"> of individuals in possession of different higher education qualifications (i.e. after income tax, National Insurance and VAT are removed, and following the deduction of foregone earnings) relative to an individual in possession of the counterfactual qualification (see Annex </w:t>
      </w:r>
      <w:r w:rsidRPr="0078056B">
        <w:fldChar w:fldCharType="begin"/>
      </w:r>
      <w:r w:rsidRPr="0078056B">
        <w:instrText xml:space="preserve"> REF _Ref143861775 \r \h </w:instrText>
      </w:r>
      <w:r w:rsidR="0078056B">
        <w:instrText xml:space="preserve"> \* MERGEFORMAT </w:instrText>
      </w:r>
      <w:r w:rsidRPr="0078056B">
        <w:fldChar w:fldCharType="separate"/>
      </w:r>
      <w:r w:rsidR="00E33157">
        <w:t>A2.3.6</w:t>
      </w:r>
      <w:r w:rsidRPr="0078056B">
        <w:fldChar w:fldCharType="end"/>
      </w:r>
      <w:r w:rsidRPr="0078056B">
        <w:t xml:space="preserve"> for more detail).</w:t>
      </w:r>
    </w:p>
    <w:p w14:paraId="0FC37131" w14:textId="389DB93D" w:rsidR="003A6119" w:rsidRPr="0078056B" w:rsidRDefault="003A6119" w:rsidP="003A6119">
      <w:r w:rsidRPr="0078056B">
        <w:lastRenderedPageBreak/>
        <w:t xml:space="preserve">The </w:t>
      </w:r>
      <w:r w:rsidRPr="0078056B">
        <w:rPr>
          <w:rFonts w:asciiTheme="minorHAnsi" w:hAnsiTheme="minorHAnsi"/>
          <w:b/>
          <w:color w:val="06357A"/>
        </w:rPr>
        <w:t>gross benefits to the Exchequer</w:t>
      </w:r>
      <w:r w:rsidRPr="0078056B">
        <w:t xml:space="preserve"> from the provision of higher education are derived from the enhanced taxation receipts that are associated with a higher likelihood of being employed, as well as the enhanced earnings associated with more highly skilled and productive employees. Based on the analysis of the lifetime earnings and employment benefits associated with higher education qualification attainment and combined with administrative information on the relevant taxation rates and bands (from HM Revenue and Customs), we estimated the </w:t>
      </w:r>
      <w:r w:rsidRPr="0078056B">
        <w:rPr>
          <w:rFonts w:asciiTheme="minorHAnsi" w:hAnsiTheme="minorHAnsi"/>
          <w:b/>
          <w:color w:val="06357A"/>
        </w:rPr>
        <w:t>present value of additional income tax, National Insurance and VAT associated with higher education qualification attainment</w:t>
      </w:r>
      <w:r w:rsidRPr="0078056B">
        <w:t xml:space="preserve"> (by gender, level of study, mode of study, and prior attainment). Again, please refer to Annex </w:t>
      </w:r>
      <w:r w:rsidRPr="0078056B">
        <w:fldChar w:fldCharType="begin"/>
      </w:r>
      <w:r w:rsidRPr="0078056B">
        <w:instrText xml:space="preserve"> REF _Ref143861775 \r \h </w:instrText>
      </w:r>
      <w:r w:rsidR="0078056B">
        <w:instrText xml:space="preserve"> \* MERGEFORMAT </w:instrText>
      </w:r>
      <w:r w:rsidRPr="0078056B">
        <w:fldChar w:fldCharType="separate"/>
      </w:r>
      <w:r w:rsidR="00E33157">
        <w:t>A2.3.6</w:t>
      </w:r>
      <w:r w:rsidRPr="0078056B">
        <w:fldChar w:fldCharType="end"/>
      </w:r>
      <w:r w:rsidRPr="0078056B">
        <w:t xml:space="preserve"> for more detailed information on the calculation of the gross Exchequer benefit.</w:t>
      </w:r>
    </w:p>
    <w:p w14:paraId="57DA120E" w14:textId="77777777" w:rsidR="003A6119" w:rsidRPr="0078056B" w:rsidRDefault="003A6119" w:rsidP="003A6119">
      <w:pPr>
        <w:pStyle w:val="AnnexHeading3"/>
        <w:tabs>
          <w:tab w:val="clear" w:pos="1077"/>
          <w:tab w:val="num" w:pos="1492"/>
        </w:tabs>
      </w:pPr>
      <w:bookmarkStart w:id="480" w:name="_Ref454898098"/>
      <w:r w:rsidRPr="0078056B">
        <w:t>Qualifications and counterfactuals considered in the econometric analysis</w:t>
      </w:r>
      <w:bookmarkEnd w:id="480"/>
    </w:p>
    <w:p w14:paraId="63F39832" w14:textId="2040AEA9" w:rsidR="003A6119" w:rsidRPr="0078056B" w:rsidRDefault="003A6119" w:rsidP="003A6119">
      <w:r w:rsidRPr="0078056B">
        <w:t xml:space="preserve">Our econometric analysis of the earnings and employment returns to higher education qualifications (described in more detail in Annex </w:t>
      </w:r>
      <w:r w:rsidRPr="0078056B">
        <w:fldChar w:fldCharType="begin"/>
      </w:r>
      <w:r w:rsidRPr="0078056B">
        <w:instrText xml:space="preserve"> REF _Ref525656922 \r \h </w:instrText>
      </w:r>
      <w:r w:rsidR="0078056B">
        <w:instrText xml:space="preserve"> \* MERGEFORMAT </w:instrText>
      </w:r>
      <w:r w:rsidRPr="0078056B">
        <w:fldChar w:fldCharType="separate"/>
      </w:r>
      <w:r w:rsidR="00E33157">
        <w:t>A2.3.4</w:t>
      </w:r>
      <w:r w:rsidRPr="0078056B">
        <w:fldChar w:fldCharType="end"/>
      </w:r>
      <w:r w:rsidRPr="0078056B">
        <w:t xml:space="preserve">) considered </w:t>
      </w:r>
      <w:r w:rsidRPr="0078056B">
        <w:rPr>
          <w:b/>
          <w:color w:val="06357A"/>
        </w:rPr>
        <w:t>five different higher education qualification groups</w:t>
      </w:r>
      <w:r w:rsidRPr="0078056B">
        <w:t xml:space="preserve"> (i.e. five </w:t>
      </w:r>
      <w:r w:rsidRPr="0078056B">
        <w:rPr>
          <w:b/>
          <w:color w:val="06357A"/>
        </w:rPr>
        <w:t xml:space="preserve">‘treatment’ groups </w:t>
      </w:r>
      <w:r w:rsidRPr="0078056B">
        <w:rPr>
          <w:bCs/>
        </w:rPr>
        <w:t>for HE qualifications</w:t>
      </w:r>
      <w:r w:rsidRPr="0078056B">
        <w:t xml:space="preserve">): </w:t>
      </w:r>
    </w:p>
    <w:p w14:paraId="1322B2B3" w14:textId="77777777" w:rsidR="003A6119" w:rsidRPr="0078056B" w:rsidRDefault="003A6119" w:rsidP="003A6119">
      <w:pPr>
        <w:pStyle w:val="MinorBullet1"/>
        <w:numPr>
          <w:ilvl w:val="0"/>
          <w:numId w:val="21"/>
        </w:numPr>
      </w:pPr>
      <w:r w:rsidRPr="0078056B">
        <w:rPr>
          <w:b/>
          <w:color w:val="06357A"/>
        </w:rPr>
        <w:t>Three at postgraduate level</w:t>
      </w:r>
      <w:r w:rsidRPr="0078056B">
        <w:t xml:space="preserve"> (higher degree (research), higher degree (taught) and ‘other’ postgraduate qualifications</w:t>
      </w:r>
      <w:r w:rsidRPr="0078056B">
        <w:rPr>
          <w:vertAlign w:val="superscript"/>
        </w:rPr>
        <w:footnoteReference w:id="115"/>
      </w:r>
      <w:r w:rsidRPr="0078056B">
        <w:t>); and</w:t>
      </w:r>
    </w:p>
    <w:p w14:paraId="352E2C29" w14:textId="77777777" w:rsidR="003A6119" w:rsidRPr="0078056B" w:rsidRDefault="003A6119" w:rsidP="003A6119">
      <w:pPr>
        <w:pStyle w:val="MinorBullet1"/>
        <w:numPr>
          <w:ilvl w:val="0"/>
          <w:numId w:val="21"/>
        </w:numPr>
      </w:pPr>
      <w:r w:rsidRPr="0078056B">
        <w:rPr>
          <w:b/>
          <w:color w:val="06357A"/>
        </w:rPr>
        <w:t>Two at undergraduate level</w:t>
      </w:r>
      <w:r w:rsidRPr="0078056B">
        <w:t xml:space="preserve"> (first degrees and ‘other’ undergraduate qualifications</w:t>
      </w:r>
      <w:r w:rsidRPr="0078056B">
        <w:rPr>
          <w:rFonts w:asciiTheme="minorHAnsi" w:hAnsiTheme="minorHAnsi"/>
          <w:vertAlign w:val="superscript"/>
        </w:rPr>
        <w:footnoteReference w:id="116"/>
      </w:r>
      <w:r w:rsidRPr="0078056B">
        <w:t>);</w:t>
      </w:r>
    </w:p>
    <w:p w14:paraId="4760DE09" w14:textId="0390F822" w:rsidR="003A6119" w:rsidRPr="0078056B" w:rsidRDefault="00EA7842" w:rsidP="003A6119">
      <w:r w:rsidRPr="0078056B">
        <w:fldChar w:fldCharType="begin"/>
      </w:r>
      <w:r w:rsidRPr="0078056B">
        <w:instrText xml:space="preserve"> REF _Ref161751159 \r \h  \* MERGEFORMAT </w:instrText>
      </w:r>
      <w:r w:rsidRPr="0078056B">
        <w:fldChar w:fldCharType="separate"/>
      </w:r>
      <w:r w:rsidR="00E33157">
        <w:t>Table 16</w:t>
      </w:r>
      <w:r w:rsidRPr="0078056B">
        <w:fldChar w:fldCharType="end"/>
      </w:r>
      <w:r w:rsidR="003A6119" w:rsidRPr="0078056B">
        <w:t xml:space="preserve"> presents these different undergraduate and postgraduate qualifications (i.e. treatment groups) considered in the analysis, along with the associated </w:t>
      </w:r>
      <w:r w:rsidR="003A6119" w:rsidRPr="0078056B">
        <w:rPr>
          <w:b/>
          <w:color w:val="06357A"/>
        </w:rPr>
        <w:t>counterfactual group</w:t>
      </w:r>
      <w:r w:rsidR="003A6119" w:rsidRPr="0078056B">
        <w:rPr>
          <w:color w:val="0B5ED7" w:themeColor="accent2"/>
        </w:rPr>
        <w:t xml:space="preserve"> </w:t>
      </w:r>
      <w:r w:rsidR="003A6119" w:rsidRPr="0078056B">
        <w:t xml:space="preserve">used for the marginal returns analysis in each case. As outlined above, we compare the earnings of the group of individuals in possession of each higher education qualification to the relevant counterfactual group, to ensure that we assess the economic benefit associated with the qualification itself (rather than the economic returns generated by the specific characteristics of the individual in possession of the qualification). This is a common approach in the literature and allows us to control for other personal, regional, or socioeconomic characteristics that might influence </w:t>
      </w:r>
      <w:r w:rsidR="003A6119" w:rsidRPr="0078056B">
        <w:rPr>
          <w:i/>
        </w:rPr>
        <w:t>both</w:t>
      </w:r>
      <w:r w:rsidR="003A6119" w:rsidRPr="0078056B">
        <w:t xml:space="preserve"> the determinants of qualification attainment as well as earnings/employment.</w:t>
      </w:r>
    </w:p>
    <w:p w14:paraId="6A32E180" w14:textId="4C7AEE01" w:rsidR="003A6119" w:rsidRPr="0078056B" w:rsidRDefault="003A6119" w:rsidP="003A6119">
      <w:r w:rsidRPr="0078056B">
        <w:rPr>
          <w:rFonts w:asciiTheme="minorHAnsi" w:hAnsiTheme="minorHAnsi"/>
        </w:rPr>
        <w:t xml:space="preserve">For the analysis of marginal labour market returns, </w:t>
      </w:r>
      <w:r w:rsidRPr="0078056B">
        <w:t xml:space="preserve">postgraduate qualification holders are compared to first degree holders, while for individuals holding first degrees or ‘other undergraduate’ level qualifications, the counterfactual group consists of individuals holding any (academic or vocational) qualification at Regulated Qualifications Framework (RQF) Level 3 </w:t>
      </w:r>
      <w:r w:rsidRPr="0078056B">
        <w:rPr>
          <w:rFonts w:cs="Calibri"/>
        </w:rPr>
        <w:t xml:space="preserve">as their highest </w:t>
      </w:r>
      <w:r w:rsidR="00535C24" w:rsidRPr="0078056B">
        <w:rPr>
          <w:rFonts w:cs="Calibri"/>
        </w:rPr>
        <w:t>qualification (i.e. 2 or more GCE ‘A’ Levels’ or equivalent)</w:t>
      </w:r>
      <w:r w:rsidRPr="0078056B">
        <w:rPr>
          <w:rStyle w:val="FootnoteReference"/>
        </w:rPr>
        <w:footnoteReference w:id="117"/>
      </w:r>
      <w:r w:rsidRPr="0078056B">
        <w:rPr>
          <w:rFonts w:cs="Calibri"/>
          <w:vertAlign w:val="superscript"/>
        </w:rPr>
        <w:t xml:space="preserve">, </w:t>
      </w:r>
      <w:r w:rsidRPr="0078056B">
        <w:rPr>
          <w:vertAlign w:val="superscript"/>
        </w:rPr>
        <w:footnoteReference w:id="118"/>
      </w:r>
      <w:r w:rsidRPr="0078056B">
        <w:t xml:space="preserve">. </w:t>
      </w:r>
    </w:p>
    <w:p w14:paraId="3D01CA5C" w14:textId="77777777" w:rsidR="003A6119" w:rsidRPr="0078056B" w:rsidRDefault="003A6119" w:rsidP="003A6119">
      <w:r w:rsidRPr="0078056B">
        <w:lastRenderedPageBreak/>
        <w:t xml:space="preserve">In addition, we also included a separate specification comparing the earnings associated with RQF Level 3 qualifications to possession of 5 or more GCSEs at grades A*-C (or equivalent). This additional analysis was undertaken to provide an indication of the fact that the academic ‘distance travelled’ by a (very small) proportion of students in the 2021-22 University of Birmingham cohort is </w:t>
      </w:r>
      <w:r w:rsidRPr="0078056B">
        <w:rPr>
          <w:b/>
          <w:color w:val="06357A"/>
        </w:rPr>
        <w:t>greater</w:t>
      </w:r>
      <w:r w:rsidRPr="0078056B">
        <w:rPr>
          <w:color w:val="0B5ED7" w:themeColor="accent2"/>
        </w:rPr>
        <w:t xml:space="preserve"> </w:t>
      </w:r>
      <w:r w:rsidRPr="0078056B">
        <w:t xml:space="preserve">than might be the case compared to those in possession of levels of prior attainment ‘traditionally’ associated with higher education entry. Similarly, for other students within the cohort, the academic ‘distance travelled’ is </w:t>
      </w:r>
      <w:r w:rsidRPr="0078056B">
        <w:rPr>
          <w:b/>
          <w:color w:val="06357A"/>
        </w:rPr>
        <w:t>lower</w:t>
      </w:r>
      <w:r w:rsidRPr="0078056B">
        <w:rPr>
          <w:color w:val="0B5ED7" w:themeColor="accent2"/>
        </w:rPr>
        <w:t xml:space="preserve"> </w:t>
      </w:r>
      <w:r w:rsidRPr="0078056B">
        <w:t>than the traditional prior attainment level (e.g. a small proportion of students intending to undertake a first degree had previously already completed a sub-degree level (i.e. ‘other undergraduate’) qualification).</w:t>
      </w:r>
    </w:p>
    <w:p w14:paraId="08BD039E" w14:textId="4E4499F7" w:rsidR="003A6119" w:rsidRPr="0078056B" w:rsidRDefault="00CD54E1" w:rsidP="00CD54E1">
      <w:pPr>
        <w:pStyle w:val="TableTitle"/>
      </w:pPr>
      <w:bookmarkStart w:id="482" w:name="_Ref161751159"/>
      <w:bookmarkStart w:id="483" w:name="_Toc168652171"/>
      <w:r w:rsidRPr="0078056B">
        <w:t>Treatment and comparison groups used to assess the marginal earnings and employment returns to higher education qualifications</w:t>
      </w:r>
      <w:bookmarkEnd w:id="482"/>
      <w:bookmarkEnd w:id="483"/>
    </w:p>
    <w:tbl>
      <w:tblPr>
        <w:tblW w:w="4971" w:type="pct"/>
        <w:tblBorders>
          <w:top w:val="single" w:sz="4" w:space="0" w:color="BFBFBF"/>
          <w:bottom w:val="single" w:sz="4" w:space="0" w:color="BFBFBF"/>
          <w:insideH w:val="single" w:sz="4" w:space="0" w:color="BFBFBF"/>
          <w:insideV w:val="single" w:sz="4" w:space="0" w:color="BFBFBF"/>
        </w:tblBorders>
        <w:tblCellMar>
          <w:left w:w="0" w:type="dxa"/>
          <w:right w:w="0" w:type="dxa"/>
        </w:tblCellMar>
        <w:tblLook w:val="0000" w:firstRow="0" w:lastRow="0" w:firstColumn="0" w:lastColumn="0" w:noHBand="0" w:noVBand="0"/>
      </w:tblPr>
      <w:tblGrid>
        <w:gridCol w:w="4368"/>
        <w:gridCol w:w="4425"/>
      </w:tblGrid>
      <w:tr w:rsidR="003A6119" w:rsidRPr="0078056B" w14:paraId="5FA4C972" w14:textId="77777777" w:rsidTr="000A186C">
        <w:trPr>
          <w:trHeight w:val="21"/>
        </w:trPr>
        <w:tc>
          <w:tcPr>
            <w:tcW w:w="2484" w:type="pct"/>
            <w:tcBorders>
              <w:top w:val="single" w:sz="4" w:space="0" w:color="06357A"/>
              <w:bottom w:val="single" w:sz="4" w:space="0" w:color="06357A"/>
            </w:tcBorders>
            <w:shd w:val="clear" w:color="auto" w:fill="auto"/>
            <w:vAlign w:val="center"/>
          </w:tcPr>
          <w:p w14:paraId="56406FDB" w14:textId="77777777" w:rsidR="003A6119" w:rsidRPr="0078056B" w:rsidRDefault="003A6119" w:rsidP="000A186C">
            <w:pPr>
              <w:keepNext/>
              <w:keepLines/>
              <w:spacing w:before="0" w:after="0"/>
              <w:ind w:left="57" w:right="57"/>
              <w:jc w:val="left"/>
              <w:rPr>
                <w:rStyle w:val="LETableHeading"/>
                <w:rFonts w:asciiTheme="minorHAnsi" w:hAnsiTheme="minorHAnsi"/>
                <w:color w:val="06357A"/>
                <w:szCs w:val="20"/>
              </w:rPr>
            </w:pPr>
            <w:r w:rsidRPr="0078056B">
              <w:rPr>
                <w:rStyle w:val="LETableHeading"/>
                <w:rFonts w:asciiTheme="minorHAnsi" w:hAnsiTheme="minorHAnsi"/>
                <w:color w:val="06357A"/>
                <w:szCs w:val="20"/>
              </w:rPr>
              <w:t>Treatment group – highest qualification</w:t>
            </w:r>
          </w:p>
        </w:tc>
        <w:tc>
          <w:tcPr>
            <w:tcW w:w="2516" w:type="pct"/>
            <w:tcBorders>
              <w:top w:val="single" w:sz="4" w:space="0" w:color="06357A"/>
              <w:bottom w:val="single" w:sz="4" w:space="0" w:color="06357A"/>
            </w:tcBorders>
            <w:shd w:val="clear" w:color="auto" w:fill="auto"/>
            <w:vAlign w:val="center"/>
          </w:tcPr>
          <w:p w14:paraId="01100BE4" w14:textId="77777777" w:rsidR="003A6119" w:rsidRPr="0078056B" w:rsidRDefault="003A6119" w:rsidP="000A186C">
            <w:pPr>
              <w:keepNext/>
              <w:keepLines/>
              <w:spacing w:before="0" w:after="0"/>
              <w:ind w:left="57" w:right="57"/>
              <w:jc w:val="left"/>
              <w:rPr>
                <w:rStyle w:val="LETableHeading"/>
                <w:rFonts w:asciiTheme="minorHAnsi" w:hAnsiTheme="minorHAnsi"/>
                <w:color w:val="06357A"/>
                <w:szCs w:val="20"/>
              </w:rPr>
            </w:pPr>
            <w:r w:rsidRPr="0078056B">
              <w:rPr>
                <w:rStyle w:val="LETableHeading"/>
                <w:rFonts w:asciiTheme="minorHAnsi" w:hAnsiTheme="minorHAnsi"/>
                <w:color w:val="06357A"/>
                <w:szCs w:val="20"/>
              </w:rPr>
              <w:t>Comparison group - highest qualification</w:t>
            </w:r>
          </w:p>
        </w:tc>
      </w:tr>
      <w:tr w:rsidR="003A6119" w:rsidRPr="0078056B" w14:paraId="284D449B" w14:textId="77777777" w:rsidTr="000A186C">
        <w:trPr>
          <w:trHeight w:val="21"/>
        </w:trPr>
        <w:tc>
          <w:tcPr>
            <w:tcW w:w="2484" w:type="pct"/>
            <w:tcBorders>
              <w:top w:val="single" w:sz="4" w:space="0" w:color="06357A"/>
              <w:bottom w:val="single" w:sz="4" w:space="0" w:color="06357A"/>
              <w:right w:val="nil"/>
            </w:tcBorders>
            <w:shd w:val="clear" w:color="auto" w:fill="06357A" w:themeFill="accent1"/>
            <w:vAlign w:val="center"/>
          </w:tcPr>
          <w:p w14:paraId="4FD10D48" w14:textId="77777777" w:rsidR="003A6119" w:rsidRPr="0078056B" w:rsidRDefault="003A6119" w:rsidP="000A186C">
            <w:pPr>
              <w:keepNext/>
              <w:keepLines/>
              <w:spacing w:before="0" w:after="0"/>
              <w:ind w:left="57" w:right="57"/>
              <w:jc w:val="left"/>
              <w:rPr>
                <w:rStyle w:val="LETableText"/>
                <w:rFonts w:asciiTheme="minorHAnsi" w:hAnsiTheme="minorHAnsi"/>
                <w:b/>
                <w:bCs/>
                <w:color w:val="FFFFFF" w:themeColor="background1"/>
                <w:szCs w:val="20"/>
              </w:rPr>
            </w:pPr>
            <w:r w:rsidRPr="0078056B">
              <w:rPr>
                <w:rStyle w:val="LETableText"/>
                <w:rFonts w:asciiTheme="minorHAnsi" w:hAnsiTheme="minorHAnsi"/>
                <w:b/>
                <w:bCs/>
                <w:color w:val="FFFFFF" w:themeColor="background1"/>
                <w:szCs w:val="20"/>
              </w:rPr>
              <w:t>HE qualifications</w:t>
            </w:r>
          </w:p>
        </w:tc>
        <w:tc>
          <w:tcPr>
            <w:tcW w:w="2516" w:type="pct"/>
            <w:tcBorders>
              <w:top w:val="single" w:sz="4" w:space="0" w:color="06357A"/>
              <w:left w:val="nil"/>
              <w:bottom w:val="single" w:sz="4" w:space="0" w:color="06357A"/>
              <w:right w:val="nil"/>
            </w:tcBorders>
            <w:shd w:val="clear" w:color="auto" w:fill="06357A" w:themeFill="accent1"/>
            <w:vAlign w:val="center"/>
          </w:tcPr>
          <w:p w14:paraId="21F7538E" w14:textId="77777777" w:rsidR="003A6119" w:rsidRPr="0078056B" w:rsidRDefault="003A6119" w:rsidP="000A186C">
            <w:pPr>
              <w:keepNext/>
              <w:keepLines/>
              <w:spacing w:before="0" w:after="0"/>
              <w:ind w:left="57" w:right="57"/>
              <w:jc w:val="left"/>
              <w:rPr>
                <w:rStyle w:val="LETableText"/>
                <w:rFonts w:asciiTheme="minorHAnsi" w:hAnsiTheme="minorHAnsi"/>
                <w:color w:val="06357A" w:themeColor="accent1"/>
                <w:szCs w:val="20"/>
              </w:rPr>
            </w:pPr>
          </w:p>
        </w:tc>
      </w:tr>
      <w:tr w:rsidR="003A6119" w:rsidRPr="0078056B" w14:paraId="25E7D364" w14:textId="77777777" w:rsidTr="000A186C">
        <w:trPr>
          <w:trHeight w:val="21"/>
        </w:trPr>
        <w:tc>
          <w:tcPr>
            <w:tcW w:w="2484" w:type="pct"/>
            <w:tcBorders>
              <w:top w:val="single" w:sz="4" w:space="0" w:color="06357A"/>
            </w:tcBorders>
            <w:shd w:val="clear" w:color="auto" w:fill="auto"/>
            <w:vAlign w:val="center"/>
          </w:tcPr>
          <w:p w14:paraId="374DB5DE" w14:textId="77777777" w:rsidR="003A6119" w:rsidRPr="0078056B" w:rsidRDefault="003A6119" w:rsidP="000A186C">
            <w:pPr>
              <w:keepNext/>
              <w:keepLines/>
              <w:spacing w:before="0" w:after="0"/>
              <w:ind w:left="57" w:right="57"/>
              <w:jc w:val="left"/>
              <w:rPr>
                <w:rStyle w:val="LETableText"/>
                <w:rFonts w:asciiTheme="minorHAnsi" w:hAnsiTheme="minorHAnsi"/>
                <w:szCs w:val="20"/>
              </w:rPr>
            </w:pPr>
            <w:r w:rsidRPr="0078056B">
              <w:rPr>
                <w:rStyle w:val="LETableText"/>
                <w:rFonts w:asciiTheme="minorHAnsi" w:hAnsiTheme="minorHAnsi"/>
                <w:szCs w:val="20"/>
              </w:rPr>
              <w:t>Higher degree (re</w:t>
            </w:r>
            <w:r w:rsidRPr="0078056B">
              <w:rPr>
                <w:rStyle w:val="LETableText"/>
                <w:szCs w:val="20"/>
              </w:rPr>
              <w:t>search</w:t>
            </w:r>
            <w:r w:rsidRPr="0078056B">
              <w:rPr>
                <w:rStyle w:val="LETableText"/>
                <w:rFonts w:asciiTheme="minorHAnsi" w:hAnsiTheme="minorHAnsi"/>
                <w:szCs w:val="20"/>
              </w:rPr>
              <w:t>)</w:t>
            </w:r>
          </w:p>
        </w:tc>
        <w:tc>
          <w:tcPr>
            <w:tcW w:w="2516" w:type="pct"/>
            <w:tcBorders>
              <w:top w:val="single" w:sz="4" w:space="0" w:color="06357A"/>
            </w:tcBorders>
            <w:shd w:val="clear" w:color="auto" w:fill="auto"/>
            <w:vAlign w:val="center"/>
          </w:tcPr>
          <w:p w14:paraId="3B46CB08" w14:textId="77777777" w:rsidR="003A6119" w:rsidRPr="0078056B" w:rsidRDefault="003A6119" w:rsidP="000A186C">
            <w:pPr>
              <w:keepNext/>
              <w:keepLines/>
              <w:spacing w:before="0" w:after="0"/>
              <w:ind w:left="57" w:right="57"/>
              <w:jc w:val="left"/>
              <w:rPr>
                <w:rStyle w:val="LETableText"/>
                <w:rFonts w:asciiTheme="minorHAnsi" w:hAnsiTheme="minorHAnsi"/>
                <w:szCs w:val="20"/>
              </w:rPr>
            </w:pPr>
            <w:r w:rsidRPr="0078056B">
              <w:rPr>
                <w:rStyle w:val="LETableText"/>
                <w:rFonts w:asciiTheme="minorHAnsi" w:hAnsiTheme="minorHAnsi"/>
                <w:szCs w:val="20"/>
              </w:rPr>
              <w:t>First degree</w:t>
            </w:r>
          </w:p>
        </w:tc>
      </w:tr>
      <w:tr w:rsidR="003A6119" w:rsidRPr="0078056B" w14:paraId="5DB66303" w14:textId="77777777" w:rsidTr="000A186C">
        <w:trPr>
          <w:trHeight w:val="21"/>
        </w:trPr>
        <w:tc>
          <w:tcPr>
            <w:tcW w:w="2484" w:type="pct"/>
            <w:shd w:val="clear" w:color="auto" w:fill="auto"/>
            <w:vAlign w:val="center"/>
          </w:tcPr>
          <w:p w14:paraId="49A562DE" w14:textId="77777777" w:rsidR="003A6119" w:rsidRPr="0078056B" w:rsidRDefault="003A6119" w:rsidP="000A186C">
            <w:pPr>
              <w:keepNext/>
              <w:keepLines/>
              <w:spacing w:before="0" w:after="0"/>
              <w:ind w:left="57" w:right="57"/>
              <w:jc w:val="left"/>
              <w:rPr>
                <w:rStyle w:val="LETableText"/>
                <w:rFonts w:asciiTheme="minorHAnsi" w:hAnsiTheme="minorHAnsi"/>
                <w:szCs w:val="20"/>
              </w:rPr>
            </w:pPr>
            <w:r w:rsidRPr="0078056B">
              <w:rPr>
                <w:rStyle w:val="LETableText"/>
                <w:rFonts w:asciiTheme="minorHAnsi" w:hAnsiTheme="minorHAnsi"/>
                <w:szCs w:val="20"/>
              </w:rPr>
              <w:t>Higher degree (taught)</w:t>
            </w:r>
          </w:p>
        </w:tc>
        <w:tc>
          <w:tcPr>
            <w:tcW w:w="2516" w:type="pct"/>
            <w:shd w:val="clear" w:color="auto" w:fill="auto"/>
            <w:vAlign w:val="center"/>
          </w:tcPr>
          <w:p w14:paraId="68CEB9AF" w14:textId="77777777" w:rsidR="003A6119" w:rsidRPr="0078056B" w:rsidRDefault="003A6119" w:rsidP="000A186C">
            <w:pPr>
              <w:keepNext/>
              <w:keepLines/>
              <w:spacing w:before="0" w:after="0"/>
              <w:ind w:left="57" w:right="57"/>
              <w:jc w:val="left"/>
              <w:rPr>
                <w:rStyle w:val="LETableText"/>
                <w:rFonts w:asciiTheme="minorHAnsi" w:hAnsiTheme="minorHAnsi"/>
                <w:szCs w:val="20"/>
              </w:rPr>
            </w:pPr>
            <w:r w:rsidRPr="0078056B">
              <w:rPr>
                <w:rStyle w:val="LETableText"/>
                <w:rFonts w:asciiTheme="minorHAnsi" w:hAnsiTheme="minorHAnsi"/>
                <w:szCs w:val="20"/>
              </w:rPr>
              <w:t>First degree</w:t>
            </w:r>
          </w:p>
        </w:tc>
      </w:tr>
      <w:tr w:rsidR="003A6119" w:rsidRPr="0078056B" w14:paraId="4D80ADA7" w14:textId="77777777" w:rsidTr="000A186C">
        <w:trPr>
          <w:trHeight w:val="21"/>
        </w:trPr>
        <w:tc>
          <w:tcPr>
            <w:tcW w:w="2484" w:type="pct"/>
            <w:shd w:val="clear" w:color="auto" w:fill="auto"/>
            <w:vAlign w:val="center"/>
          </w:tcPr>
          <w:p w14:paraId="39014E45" w14:textId="77777777" w:rsidR="003A6119" w:rsidRPr="0078056B" w:rsidRDefault="003A6119" w:rsidP="000A186C">
            <w:pPr>
              <w:keepNext/>
              <w:keepLines/>
              <w:spacing w:before="0" w:after="0"/>
              <w:ind w:left="57" w:right="57"/>
              <w:jc w:val="left"/>
              <w:rPr>
                <w:rStyle w:val="LETableText"/>
                <w:rFonts w:asciiTheme="minorHAnsi" w:hAnsiTheme="minorHAnsi"/>
                <w:szCs w:val="20"/>
              </w:rPr>
            </w:pPr>
            <w:r w:rsidRPr="0078056B">
              <w:rPr>
                <w:rStyle w:val="LETableText"/>
                <w:rFonts w:asciiTheme="minorHAnsi" w:hAnsiTheme="minorHAnsi"/>
                <w:szCs w:val="20"/>
              </w:rPr>
              <w:t>Other postgraduate</w:t>
            </w:r>
          </w:p>
        </w:tc>
        <w:tc>
          <w:tcPr>
            <w:tcW w:w="2516" w:type="pct"/>
            <w:shd w:val="clear" w:color="auto" w:fill="auto"/>
            <w:vAlign w:val="center"/>
          </w:tcPr>
          <w:p w14:paraId="0224814A" w14:textId="77777777" w:rsidR="003A6119" w:rsidRPr="0078056B" w:rsidRDefault="003A6119" w:rsidP="000A186C">
            <w:pPr>
              <w:keepNext/>
              <w:keepLines/>
              <w:spacing w:before="0" w:after="0"/>
              <w:ind w:left="57" w:right="57"/>
              <w:jc w:val="left"/>
              <w:rPr>
                <w:rStyle w:val="LETableText"/>
                <w:rFonts w:asciiTheme="minorHAnsi" w:hAnsiTheme="minorHAnsi"/>
                <w:szCs w:val="20"/>
              </w:rPr>
            </w:pPr>
            <w:r w:rsidRPr="0078056B">
              <w:rPr>
                <w:rStyle w:val="LETableText"/>
                <w:rFonts w:asciiTheme="minorHAnsi" w:hAnsiTheme="minorHAnsi"/>
                <w:szCs w:val="20"/>
              </w:rPr>
              <w:t>First degree</w:t>
            </w:r>
          </w:p>
        </w:tc>
      </w:tr>
      <w:tr w:rsidR="003A6119" w:rsidRPr="0078056B" w14:paraId="35C129BA" w14:textId="77777777" w:rsidTr="000A186C">
        <w:trPr>
          <w:trHeight w:val="21"/>
        </w:trPr>
        <w:tc>
          <w:tcPr>
            <w:tcW w:w="2484" w:type="pct"/>
            <w:shd w:val="clear" w:color="auto" w:fill="auto"/>
            <w:vAlign w:val="center"/>
          </w:tcPr>
          <w:p w14:paraId="5C92BB3B" w14:textId="77777777" w:rsidR="003A6119" w:rsidRPr="0078056B" w:rsidRDefault="003A6119" w:rsidP="000A186C">
            <w:pPr>
              <w:keepNext/>
              <w:keepLines/>
              <w:spacing w:before="0" w:after="0"/>
              <w:ind w:left="57" w:right="57"/>
              <w:jc w:val="left"/>
              <w:rPr>
                <w:rStyle w:val="LETableText"/>
                <w:rFonts w:asciiTheme="minorHAnsi" w:hAnsiTheme="minorHAnsi"/>
                <w:szCs w:val="20"/>
              </w:rPr>
            </w:pPr>
            <w:r w:rsidRPr="0078056B">
              <w:rPr>
                <w:rStyle w:val="LETableText"/>
                <w:rFonts w:asciiTheme="minorHAnsi" w:hAnsiTheme="minorHAnsi"/>
                <w:szCs w:val="20"/>
              </w:rPr>
              <w:t>First degree</w:t>
            </w:r>
          </w:p>
        </w:tc>
        <w:tc>
          <w:tcPr>
            <w:tcW w:w="2516" w:type="pct"/>
            <w:shd w:val="clear" w:color="auto" w:fill="auto"/>
            <w:vAlign w:val="center"/>
          </w:tcPr>
          <w:p w14:paraId="0425B5EE" w14:textId="77777777" w:rsidR="003A6119" w:rsidRPr="0078056B" w:rsidRDefault="003A6119" w:rsidP="000A186C">
            <w:pPr>
              <w:keepNext/>
              <w:keepLines/>
              <w:spacing w:before="0" w:after="0"/>
              <w:ind w:left="57" w:right="57"/>
              <w:jc w:val="left"/>
              <w:rPr>
                <w:rStyle w:val="LETableText"/>
                <w:rFonts w:asciiTheme="minorHAnsi" w:hAnsiTheme="minorHAnsi"/>
                <w:szCs w:val="20"/>
              </w:rPr>
            </w:pPr>
            <w:r w:rsidRPr="0078056B">
              <w:rPr>
                <w:sz w:val="20"/>
                <w:szCs w:val="20"/>
              </w:rPr>
              <w:t>RQF Level 3 (academic or vocational) qualifications</w:t>
            </w:r>
            <w:r w:rsidRPr="0078056B">
              <w:rPr>
                <w:sz w:val="20"/>
                <w:szCs w:val="20"/>
                <w:vertAlign w:val="superscript"/>
              </w:rPr>
              <w:t>1</w:t>
            </w:r>
          </w:p>
        </w:tc>
      </w:tr>
      <w:tr w:rsidR="003A6119" w:rsidRPr="0078056B" w14:paraId="5DDB737C" w14:textId="77777777" w:rsidTr="000A186C">
        <w:trPr>
          <w:trHeight w:val="21"/>
        </w:trPr>
        <w:tc>
          <w:tcPr>
            <w:tcW w:w="2484" w:type="pct"/>
            <w:tcBorders>
              <w:bottom w:val="single" w:sz="4" w:space="0" w:color="06357A"/>
            </w:tcBorders>
            <w:shd w:val="clear" w:color="auto" w:fill="auto"/>
            <w:vAlign w:val="center"/>
          </w:tcPr>
          <w:p w14:paraId="4E6A9C3C" w14:textId="77777777" w:rsidR="003A6119" w:rsidRPr="0078056B" w:rsidRDefault="003A6119" w:rsidP="000A186C">
            <w:pPr>
              <w:keepNext/>
              <w:keepLines/>
              <w:spacing w:before="0" w:after="0"/>
              <w:ind w:left="57" w:right="57"/>
              <w:jc w:val="left"/>
              <w:rPr>
                <w:rStyle w:val="LETableText"/>
                <w:rFonts w:asciiTheme="minorHAnsi" w:hAnsiTheme="minorHAnsi"/>
                <w:szCs w:val="20"/>
              </w:rPr>
            </w:pPr>
            <w:r w:rsidRPr="0078056B">
              <w:rPr>
                <w:rStyle w:val="LETableText"/>
                <w:rFonts w:asciiTheme="minorHAnsi" w:hAnsiTheme="minorHAnsi"/>
                <w:szCs w:val="20"/>
              </w:rPr>
              <w:t>Other undergraduate</w:t>
            </w:r>
          </w:p>
        </w:tc>
        <w:tc>
          <w:tcPr>
            <w:tcW w:w="2516" w:type="pct"/>
            <w:tcBorders>
              <w:bottom w:val="single" w:sz="4" w:space="0" w:color="06357A"/>
            </w:tcBorders>
            <w:shd w:val="clear" w:color="auto" w:fill="auto"/>
            <w:vAlign w:val="center"/>
          </w:tcPr>
          <w:p w14:paraId="6AF89791" w14:textId="77777777" w:rsidR="003A6119" w:rsidRPr="0078056B" w:rsidRDefault="003A6119" w:rsidP="000A186C">
            <w:pPr>
              <w:keepNext/>
              <w:keepLines/>
              <w:spacing w:before="0" w:after="0"/>
              <w:ind w:left="57" w:right="57"/>
              <w:jc w:val="left"/>
              <w:rPr>
                <w:rStyle w:val="LETableText"/>
                <w:rFonts w:asciiTheme="minorHAnsi" w:hAnsiTheme="minorHAnsi"/>
                <w:szCs w:val="20"/>
              </w:rPr>
            </w:pPr>
            <w:r w:rsidRPr="0078056B">
              <w:rPr>
                <w:sz w:val="20"/>
                <w:szCs w:val="20"/>
              </w:rPr>
              <w:t>RQF Level 3 (academic or vocational) qualifications</w:t>
            </w:r>
          </w:p>
        </w:tc>
      </w:tr>
      <w:tr w:rsidR="003A6119" w:rsidRPr="0078056B" w14:paraId="632E23EC" w14:textId="77777777" w:rsidTr="000A186C">
        <w:trPr>
          <w:trHeight w:val="21"/>
        </w:trPr>
        <w:tc>
          <w:tcPr>
            <w:tcW w:w="2484" w:type="pct"/>
            <w:tcBorders>
              <w:top w:val="single" w:sz="4" w:space="0" w:color="06357A"/>
              <w:bottom w:val="single" w:sz="4" w:space="0" w:color="06357A"/>
              <w:right w:val="nil"/>
            </w:tcBorders>
            <w:shd w:val="clear" w:color="auto" w:fill="06357A"/>
            <w:vAlign w:val="center"/>
          </w:tcPr>
          <w:p w14:paraId="46EA45C5" w14:textId="77777777" w:rsidR="003A6119" w:rsidRPr="0078056B" w:rsidRDefault="003A6119" w:rsidP="000A186C">
            <w:pPr>
              <w:keepNext/>
              <w:keepLines/>
              <w:spacing w:before="0" w:after="0"/>
              <w:ind w:left="57" w:right="57"/>
              <w:jc w:val="left"/>
              <w:rPr>
                <w:rStyle w:val="LETableText"/>
                <w:rFonts w:asciiTheme="minorHAnsi" w:hAnsiTheme="minorHAnsi"/>
                <w:b/>
                <w:bCs/>
                <w:color w:val="FFFFFF" w:themeColor="background1"/>
                <w:szCs w:val="20"/>
              </w:rPr>
            </w:pPr>
            <w:r w:rsidRPr="0078056B">
              <w:rPr>
                <w:rStyle w:val="LETableText"/>
                <w:rFonts w:asciiTheme="minorHAnsi" w:hAnsiTheme="minorHAnsi"/>
                <w:b/>
                <w:bCs/>
                <w:color w:val="FFFFFF" w:themeColor="background1"/>
                <w:szCs w:val="20"/>
              </w:rPr>
              <w:t>Other</w:t>
            </w:r>
          </w:p>
        </w:tc>
        <w:tc>
          <w:tcPr>
            <w:tcW w:w="2516" w:type="pct"/>
            <w:tcBorders>
              <w:top w:val="single" w:sz="4" w:space="0" w:color="06357A"/>
              <w:left w:val="nil"/>
              <w:bottom w:val="single" w:sz="4" w:space="0" w:color="06357A"/>
              <w:right w:val="nil"/>
            </w:tcBorders>
            <w:shd w:val="clear" w:color="auto" w:fill="06357A"/>
            <w:vAlign w:val="center"/>
          </w:tcPr>
          <w:p w14:paraId="24837BB9" w14:textId="77777777" w:rsidR="003A6119" w:rsidRPr="0078056B" w:rsidRDefault="003A6119" w:rsidP="000A186C">
            <w:pPr>
              <w:keepNext/>
              <w:keepLines/>
              <w:spacing w:before="0" w:after="0"/>
              <w:ind w:left="57" w:right="57"/>
              <w:jc w:val="left"/>
              <w:rPr>
                <w:rFonts w:asciiTheme="minorHAnsi" w:hAnsiTheme="minorHAnsi"/>
                <w:color w:val="FFFFFF" w:themeColor="background1"/>
                <w:sz w:val="20"/>
                <w:szCs w:val="20"/>
              </w:rPr>
            </w:pPr>
          </w:p>
        </w:tc>
      </w:tr>
      <w:tr w:rsidR="003A6119" w:rsidRPr="0078056B" w14:paraId="3BBBF466" w14:textId="77777777" w:rsidTr="000A186C">
        <w:trPr>
          <w:trHeight w:val="21"/>
        </w:trPr>
        <w:tc>
          <w:tcPr>
            <w:tcW w:w="2484" w:type="pct"/>
            <w:tcBorders>
              <w:top w:val="single" w:sz="4" w:space="0" w:color="06357A"/>
              <w:bottom w:val="single" w:sz="4" w:space="0" w:color="06357A"/>
            </w:tcBorders>
            <w:shd w:val="clear" w:color="auto" w:fill="auto"/>
            <w:vAlign w:val="center"/>
          </w:tcPr>
          <w:p w14:paraId="7C250C04" w14:textId="77777777" w:rsidR="003A6119" w:rsidRPr="0078056B" w:rsidRDefault="003A6119" w:rsidP="000A186C">
            <w:pPr>
              <w:keepNext/>
              <w:keepLines/>
              <w:spacing w:before="0" w:after="0"/>
              <w:ind w:left="57" w:right="57"/>
              <w:jc w:val="left"/>
              <w:rPr>
                <w:rStyle w:val="LETableText"/>
                <w:rFonts w:asciiTheme="minorHAnsi" w:hAnsiTheme="minorHAnsi"/>
                <w:szCs w:val="20"/>
              </w:rPr>
            </w:pPr>
            <w:r w:rsidRPr="0078056B">
              <w:rPr>
                <w:sz w:val="20"/>
                <w:szCs w:val="20"/>
              </w:rPr>
              <w:t>RQF Level 3 (academic or vocational) qualifications</w:t>
            </w:r>
            <w:r w:rsidRPr="0078056B">
              <w:rPr>
                <w:sz w:val="20"/>
                <w:szCs w:val="20"/>
                <w:vertAlign w:val="superscript"/>
              </w:rPr>
              <w:t>2</w:t>
            </w:r>
          </w:p>
        </w:tc>
        <w:tc>
          <w:tcPr>
            <w:tcW w:w="2516" w:type="pct"/>
            <w:tcBorders>
              <w:top w:val="single" w:sz="4" w:space="0" w:color="06357A"/>
              <w:bottom w:val="single" w:sz="4" w:space="0" w:color="06357A"/>
            </w:tcBorders>
            <w:shd w:val="clear" w:color="auto" w:fill="auto"/>
            <w:vAlign w:val="center"/>
          </w:tcPr>
          <w:p w14:paraId="344AFC40" w14:textId="77777777" w:rsidR="003A6119" w:rsidRPr="0078056B" w:rsidRDefault="003A6119" w:rsidP="000A186C">
            <w:pPr>
              <w:keepNext/>
              <w:keepLines/>
              <w:spacing w:before="0" w:after="0"/>
              <w:ind w:left="57" w:right="57"/>
              <w:jc w:val="left"/>
              <w:rPr>
                <w:rStyle w:val="LETableText"/>
                <w:rFonts w:asciiTheme="minorHAnsi" w:hAnsiTheme="minorHAnsi"/>
                <w:szCs w:val="20"/>
              </w:rPr>
            </w:pPr>
            <w:r w:rsidRPr="0078056B">
              <w:rPr>
                <w:rFonts w:asciiTheme="minorHAnsi" w:hAnsiTheme="minorHAnsi"/>
                <w:sz w:val="20"/>
                <w:szCs w:val="20"/>
              </w:rPr>
              <w:t>5 or more GCSEs grade A*-C</w:t>
            </w:r>
          </w:p>
        </w:tc>
      </w:tr>
    </w:tbl>
    <w:p w14:paraId="349BBC08" w14:textId="77777777" w:rsidR="003A6119" w:rsidRPr="0078056B" w:rsidRDefault="003A6119" w:rsidP="003A6119">
      <w:pPr>
        <w:pStyle w:val="TableSource"/>
        <w:rPr>
          <w:b w:val="0"/>
          <w:bCs/>
          <w:i w:val="0"/>
          <w:iCs/>
        </w:rPr>
      </w:pPr>
      <w:r w:rsidRPr="0078056B">
        <w:rPr>
          <w:b w:val="0"/>
          <w:bCs/>
          <w:i w:val="0"/>
          <w:iCs/>
        </w:rPr>
        <w:t>Note: 1. The analysis for first degrees (only) is weighted to reflect the specific prior attainment levels among UK domiciled students in the 2021-22 University of Birmingham cohort. In other words, the analysis is weighted to reflect the proportions of students in possession of 2 or more GCE ‘A’ Levels or other academic (or vocational) qualifications (at RQF Level 3) as their highest attainment prior to starting their learning at the University of Birmingham.</w:t>
      </w:r>
    </w:p>
    <w:p w14:paraId="5589439D" w14:textId="77777777" w:rsidR="003A6119" w:rsidRPr="0078056B" w:rsidRDefault="003A6119" w:rsidP="003A6119">
      <w:pPr>
        <w:pStyle w:val="TableSource"/>
        <w:rPr>
          <w:b w:val="0"/>
          <w:bCs/>
          <w:i w:val="0"/>
          <w:iCs/>
        </w:rPr>
      </w:pPr>
      <w:r w:rsidRPr="0078056B">
        <w:rPr>
          <w:b w:val="0"/>
          <w:bCs/>
          <w:i w:val="0"/>
          <w:iCs/>
        </w:rPr>
        <w:t>2. Similar to the counterfactual group for first degrees, the analysis for the treatment group here is weighted to reflect the proportions of students in possession of 2 or more GCE ‘A’ Levels or other equivalent (vocational or academic) qualifications (at RQF Level 3) as their highest attainment prior to starting their learning at the University of Birmingham.</w:t>
      </w:r>
    </w:p>
    <w:p w14:paraId="0DF3CD88" w14:textId="77777777" w:rsidR="003A6119" w:rsidRPr="0078056B" w:rsidRDefault="003A6119" w:rsidP="003A6119">
      <w:pPr>
        <w:pStyle w:val="TableSource"/>
      </w:pPr>
      <w:r w:rsidRPr="0078056B">
        <w:t>Source: London Economics</w:t>
      </w:r>
    </w:p>
    <w:p w14:paraId="5D2098AC" w14:textId="72147DA6" w:rsidR="003A6119" w:rsidRPr="0078056B" w:rsidRDefault="003A6119" w:rsidP="003A6119">
      <w:r w:rsidRPr="0078056B">
        <w:t xml:space="preserve">In instances where the level of prior attainment for students at the University of Birmingham was higher or lower than the ‘traditional’ counterfactual qualifications outlined in </w:t>
      </w:r>
      <w:r w:rsidR="00535C24" w:rsidRPr="0078056B">
        <w:fldChar w:fldCharType="begin"/>
      </w:r>
      <w:r w:rsidR="00535C24" w:rsidRPr="0078056B">
        <w:instrText xml:space="preserve"> REF _Ref161751159 \r \h </w:instrText>
      </w:r>
      <w:r w:rsidR="0078056B">
        <w:instrText xml:space="preserve"> \* MERGEFORMAT </w:instrText>
      </w:r>
      <w:r w:rsidR="00535C24" w:rsidRPr="0078056B">
        <w:fldChar w:fldCharType="separate"/>
      </w:r>
      <w:r w:rsidR="00E33157">
        <w:t>Table 16</w:t>
      </w:r>
      <w:r w:rsidR="00535C24" w:rsidRPr="0078056B">
        <w:fldChar w:fldCharType="end"/>
      </w:r>
      <w:r w:rsidRPr="0078056B">
        <w:t xml:space="preserve">, the analysis used </w:t>
      </w:r>
      <w:r w:rsidRPr="0078056B">
        <w:rPr>
          <w:bCs/>
        </w:rPr>
        <w:t>a</w:t>
      </w:r>
      <w:r w:rsidRPr="0078056B">
        <w:rPr>
          <w:b/>
        </w:rPr>
        <w:t xml:space="preserve"> </w:t>
      </w:r>
      <w:r w:rsidRPr="0078056B">
        <w:rPr>
          <w:b/>
          <w:color w:val="06357A"/>
        </w:rPr>
        <w:t>‘stepwise’ calculation of additional lifetime earnings</w:t>
      </w:r>
      <w:r w:rsidRPr="0078056B">
        <w:t xml:space="preserve">. For example, to calculate the earnings and employment returns for a student </w:t>
      </w:r>
      <w:r w:rsidRPr="0078056B">
        <w:rPr>
          <w:b/>
          <w:color w:val="06357A"/>
        </w:rPr>
        <w:t>in possession of an ‘other undergraduate’ qualification undertaking a first degree at the University of Birmingham</w:t>
      </w:r>
      <w:r w:rsidRPr="0078056B">
        <w:t xml:space="preserve">, we </w:t>
      </w:r>
      <w:r w:rsidRPr="0078056B">
        <w:rPr>
          <w:i/>
        </w:rPr>
        <w:t>deducted</w:t>
      </w:r>
      <w:r w:rsidRPr="0078056B">
        <w:t xml:space="preserve"> the returns to undertaking an ‘other undergraduate’ qualification (relative to the possession of an RQF Level 3 qualification) from the returns to undertaking a first degree (again relative to the possession of an RQF Level 3 qualification). Similarly, to calculate the returns for a student </w:t>
      </w:r>
      <w:r w:rsidRPr="0078056B">
        <w:rPr>
          <w:b/>
          <w:color w:val="06357A"/>
        </w:rPr>
        <w:t>in possession of 5 GCSEs A*-C (or equivalent) undertaking a first degree at the University of Birmingham</w:t>
      </w:r>
      <w:r w:rsidRPr="0078056B">
        <w:t xml:space="preserve">, we </w:t>
      </w:r>
      <w:r w:rsidRPr="0078056B">
        <w:rPr>
          <w:i/>
        </w:rPr>
        <w:t>added</w:t>
      </w:r>
      <w:r w:rsidRPr="0078056B">
        <w:t xml:space="preserve"> the returns to achieving an RQF Level 3 qualification (relative to the possession of 5 GCSEs A*-C) to the returns to undertaking a first degree (relative to the possession of an RQF Level 3 qualification)</w:t>
      </w:r>
      <w:r w:rsidRPr="0078056B">
        <w:rPr>
          <w:rStyle w:val="FootnoteReference"/>
        </w:rPr>
        <w:footnoteReference w:id="119"/>
      </w:r>
      <w:r w:rsidRPr="0078056B">
        <w:t>.</w:t>
      </w:r>
    </w:p>
    <w:p w14:paraId="468DD627" w14:textId="77777777" w:rsidR="003A6119" w:rsidRPr="0078056B" w:rsidRDefault="003A6119" w:rsidP="003A6119">
      <w:pPr>
        <w:pStyle w:val="AnnexHeading3"/>
      </w:pPr>
      <w:bookmarkStart w:id="484" w:name="_Ref525656922"/>
      <w:r w:rsidRPr="0078056B">
        <w:lastRenderedPageBreak/>
        <w:t>Marginal earnings and employment returns to higher education qualifications</w:t>
      </w:r>
      <w:bookmarkEnd w:id="484"/>
    </w:p>
    <w:p w14:paraId="4A5D5D93" w14:textId="77777777" w:rsidR="003A6119" w:rsidRPr="0078056B" w:rsidRDefault="003A6119" w:rsidP="003A6119">
      <w:pPr>
        <w:pStyle w:val="Heading4"/>
      </w:pPr>
      <w:r w:rsidRPr="0078056B">
        <w:t>Marginal earnings returns</w:t>
      </w:r>
    </w:p>
    <w:p w14:paraId="7ADBAE36" w14:textId="281BD98B" w:rsidR="003A6119" w:rsidRPr="0078056B" w:rsidRDefault="003A6119" w:rsidP="003A6119">
      <w:pPr>
        <w:spacing w:before="120"/>
        <w:rPr>
          <w:rFonts w:asciiTheme="minorHAnsi" w:hAnsiTheme="minorHAnsi" w:cs="Calibri"/>
        </w:rPr>
      </w:pPr>
      <w:r w:rsidRPr="0078056B">
        <w:rPr>
          <w:rFonts w:asciiTheme="minorHAnsi" w:hAnsiTheme="minorHAnsi" w:cs="Calibri"/>
        </w:rPr>
        <w:t xml:space="preserve">To estimate the impact of qualification attainment on earnings, using information from the Labour Force Survey (LFS), we estimated a standard </w:t>
      </w:r>
      <w:r w:rsidR="00CD54E1" w:rsidRPr="0078056B">
        <w:rPr>
          <w:b/>
          <w:color w:val="06357A"/>
        </w:rPr>
        <w:t>o</w:t>
      </w:r>
      <w:r w:rsidRPr="0078056B">
        <w:rPr>
          <w:b/>
          <w:color w:val="06357A"/>
        </w:rPr>
        <w:t xml:space="preserve">rdinary </w:t>
      </w:r>
      <w:r w:rsidR="00CD54E1" w:rsidRPr="0078056B">
        <w:rPr>
          <w:b/>
          <w:color w:val="06357A"/>
        </w:rPr>
        <w:t>l</w:t>
      </w:r>
      <w:r w:rsidRPr="0078056B">
        <w:rPr>
          <w:b/>
          <w:color w:val="06357A"/>
        </w:rPr>
        <w:t xml:space="preserve">east </w:t>
      </w:r>
      <w:r w:rsidR="00CD54E1" w:rsidRPr="0078056B">
        <w:rPr>
          <w:b/>
          <w:color w:val="06357A"/>
        </w:rPr>
        <w:t>s</w:t>
      </w:r>
      <w:r w:rsidRPr="0078056B">
        <w:rPr>
          <w:b/>
          <w:color w:val="06357A"/>
        </w:rPr>
        <w:t>quares</w:t>
      </w:r>
      <w:r w:rsidRPr="0078056B">
        <w:rPr>
          <w:rFonts w:asciiTheme="minorHAnsi" w:hAnsiTheme="minorHAnsi" w:cs="Calibri"/>
        </w:rPr>
        <w:t xml:space="preserve"> linear regression model, where the dependent variable is the natural logarithm of hourly earnings, and the independent variables include the full range of qualifications held alongside a range of personal, regional, and job-related characteristics that might be expected to influence earnings. In this model specification, we included individuals who were employed on either a full-time or a part-time basis. This approach has been used widely in the academic literature. </w:t>
      </w:r>
    </w:p>
    <w:p w14:paraId="58B73757" w14:textId="77777777" w:rsidR="003A6119" w:rsidRPr="0078056B" w:rsidRDefault="003A6119" w:rsidP="003A6119">
      <w:pPr>
        <w:spacing w:before="120"/>
        <w:rPr>
          <w:rFonts w:asciiTheme="minorHAnsi" w:hAnsiTheme="minorHAnsi" w:cs="Calibri"/>
        </w:rPr>
      </w:pPr>
      <w:r w:rsidRPr="0078056B">
        <w:rPr>
          <w:rFonts w:asciiTheme="minorHAnsi" w:hAnsiTheme="minorHAnsi" w:cs="Calibri"/>
        </w:rPr>
        <w:t>The basic specification of the model was as follows:</w:t>
      </w:r>
    </w:p>
    <w:p w14:paraId="07D2E9D6" w14:textId="77777777" w:rsidR="003A6119" w:rsidRPr="0078056B" w:rsidRDefault="003A6119" w:rsidP="003A6119">
      <w:pPr>
        <w:jc w:val="left"/>
        <w:rPr>
          <w:rFonts w:asciiTheme="minorHAnsi" w:hAnsiTheme="minorHAnsi" w:cs="Calibri"/>
        </w:rPr>
      </w:pPr>
      <m:oMath>
        <m:r>
          <w:rPr>
            <w:rFonts w:ascii="Cambria Math" w:hAnsi="Cambria Math" w:cs="Calibri"/>
          </w:rPr>
          <m:t>ln⁡(</m:t>
        </m:r>
        <m:sSub>
          <m:sSubPr>
            <m:ctrlPr>
              <w:rPr>
                <w:rFonts w:ascii="Cambria Math" w:hAnsi="Cambria Math" w:cs="Calibri"/>
                <w:i/>
                <w:iCs/>
              </w:rPr>
            </m:ctrlPr>
          </m:sSubPr>
          <m:e>
            <m:r>
              <w:rPr>
                <w:rFonts w:ascii="Cambria Math" w:hAnsi="Cambria Math" w:cs="Calibri"/>
              </w:rPr>
              <m:t>ω</m:t>
            </m:r>
          </m:e>
          <m:sub>
            <m:r>
              <w:rPr>
                <w:rFonts w:ascii="Cambria Math" w:hAnsi="Cambria Math" w:cs="Calibri"/>
              </w:rPr>
              <m:t>i</m:t>
            </m:r>
          </m:sub>
        </m:sSub>
        <m:r>
          <w:rPr>
            <w:rFonts w:ascii="Cambria Math" w:hAnsi="Cambria Math" w:cs="Calibri"/>
          </w:rPr>
          <m:t>)=α+β</m:t>
        </m:r>
        <m:sSub>
          <m:sSubPr>
            <m:ctrlPr>
              <w:rPr>
                <w:rFonts w:ascii="Cambria Math" w:hAnsi="Cambria Math" w:cs="Calibri"/>
                <w:i/>
                <w:iCs/>
              </w:rPr>
            </m:ctrlPr>
          </m:sSubPr>
          <m:e>
            <m:r>
              <w:rPr>
                <w:rFonts w:ascii="Cambria Math" w:hAnsi="Cambria Math" w:cs="Calibri"/>
              </w:rPr>
              <m:t>X</m:t>
            </m:r>
          </m:e>
          <m:sub>
            <m:r>
              <w:rPr>
                <w:rFonts w:ascii="Cambria Math" w:hAnsi="Cambria Math" w:cs="Calibri"/>
              </w:rPr>
              <m:t>i</m:t>
            </m:r>
          </m:sub>
        </m:sSub>
        <m:r>
          <w:rPr>
            <w:rFonts w:ascii="Cambria Math" w:hAnsi="Cambria Math" w:cs="Calibri"/>
          </w:rPr>
          <m:t>+</m:t>
        </m:r>
        <m:sSub>
          <m:sSubPr>
            <m:ctrlPr>
              <w:rPr>
                <w:rFonts w:ascii="Cambria Math" w:hAnsi="Cambria Math" w:cs="Calibri"/>
                <w:i/>
                <w:iCs/>
              </w:rPr>
            </m:ctrlPr>
          </m:sSubPr>
          <m:e>
            <m:r>
              <w:rPr>
                <w:rFonts w:ascii="Cambria Math" w:hAnsi="Cambria Math" w:cs="Calibri"/>
              </w:rPr>
              <m:t>ϵ</m:t>
            </m:r>
          </m:e>
          <m:sub>
            <m:r>
              <w:rPr>
                <w:rFonts w:ascii="Cambria Math" w:hAnsi="Cambria Math" w:cs="Calibri"/>
              </w:rPr>
              <m:t>i</m:t>
            </m:r>
          </m:sub>
        </m:sSub>
      </m:oMath>
      <w:r w:rsidRPr="0078056B">
        <w:rPr>
          <w:rFonts w:asciiTheme="minorHAnsi" w:hAnsiTheme="minorHAnsi" w:cs="Calibri"/>
        </w:rPr>
        <w:t xml:space="preserve">      for </w:t>
      </w:r>
      <w:r w:rsidRPr="0078056B">
        <w:rPr>
          <w:rFonts w:asciiTheme="minorHAnsi" w:hAnsiTheme="minorHAnsi" w:cs="Calibri"/>
          <w:i/>
        </w:rPr>
        <w:t xml:space="preserve">i = </w:t>
      </w:r>
      <w:r w:rsidRPr="0078056B">
        <w:rPr>
          <w:rFonts w:asciiTheme="minorHAnsi" w:hAnsiTheme="minorHAnsi" w:cs="Calibri"/>
        </w:rPr>
        <w:t>1 to n</w:t>
      </w:r>
    </w:p>
    <w:p w14:paraId="4161796E" w14:textId="77777777" w:rsidR="003A6119" w:rsidRPr="0078056B" w:rsidRDefault="003A6119" w:rsidP="003A6119">
      <w:pPr>
        <w:spacing w:before="0" w:after="0"/>
        <w:rPr>
          <w:rFonts w:asciiTheme="minorHAnsi" w:hAnsiTheme="minorHAnsi" w:cs="Calibri"/>
        </w:rPr>
      </w:pPr>
      <w:r w:rsidRPr="0078056B">
        <w:rPr>
          <w:rFonts w:asciiTheme="minorHAnsi" w:hAnsiTheme="minorHAnsi" w:cs="Calibri"/>
        </w:rPr>
        <w:t>where ln(</w:t>
      </w:r>
      <m:oMath>
        <m:sSub>
          <m:sSubPr>
            <m:ctrlPr>
              <w:rPr>
                <w:rFonts w:ascii="Cambria Math" w:hAnsi="Cambria Math" w:cs="Calibri"/>
                <w:i/>
              </w:rPr>
            </m:ctrlPr>
          </m:sSubPr>
          <m:e>
            <m:r>
              <w:rPr>
                <w:rFonts w:ascii="Cambria Math" w:hAnsi="Cambria Math" w:cs="Calibri"/>
              </w:rPr>
              <m:t>ω</m:t>
            </m:r>
          </m:e>
          <m:sub>
            <m:r>
              <w:rPr>
                <w:rFonts w:ascii="Cambria Math" w:hAnsi="Cambria Math" w:cs="Calibri"/>
              </w:rPr>
              <m:t>i</m:t>
            </m:r>
          </m:sub>
        </m:sSub>
      </m:oMath>
      <w:r w:rsidRPr="0078056B">
        <w:rPr>
          <w:rFonts w:asciiTheme="minorHAnsi" w:hAnsiTheme="minorHAnsi" w:cs="Calibri"/>
        </w:rPr>
        <w:t xml:space="preserve">) represents the natural logarithm of hourly earnings, </w:t>
      </w:r>
      <m:oMath>
        <m:sSub>
          <m:sSubPr>
            <m:ctrlPr>
              <w:rPr>
                <w:rFonts w:ascii="Cambria Math" w:hAnsi="Cambria Math" w:cs="Calibri"/>
                <w:i/>
              </w:rPr>
            </m:ctrlPr>
          </m:sSubPr>
          <m:e>
            <m:r>
              <w:rPr>
                <w:rFonts w:ascii="Cambria Math" w:hAnsi="Cambria Math" w:cs="Calibri"/>
              </w:rPr>
              <m:t>ϵ</m:t>
            </m:r>
          </m:e>
          <m:sub>
            <m:r>
              <w:rPr>
                <w:rFonts w:ascii="Cambria Math" w:hAnsi="Cambria Math" w:cs="Calibri"/>
              </w:rPr>
              <m:t>i</m:t>
            </m:r>
          </m:sub>
        </m:sSub>
      </m:oMath>
      <w:r w:rsidRPr="0078056B">
        <w:rPr>
          <w:rFonts w:asciiTheme="minorHAnsi" w:hAnsiTheme="minorHAnsi" w:cs="Calibri"/>
        </w:rPr>
        <w:t xml:space="preserve">represents an error term, </w:t>
      </w:r>
      <m:oMath>
        <m:r>
          <w:rPr>
            <w:rFonts w:ascii="Cambria Math" w:hAnsi="Cambria Math" w:cs="Calibri"/>
          </w:rPr>
          <m:t>α</m:t>
        </m:r>
      </m:oMath>
      <w:r w:rsidRPr="0078056B">
        <w:rPr>
          <w:rFonts w:asciiTheme="minorHAnsi" w:eastAsiaTheme="minorEastAsia" w:hAnsiTheme="minorHAnsi" w:cs="Calibri"/>
        </w:rPr>
        <w:t xml:space="preserve"> represents a constant term,</w:t>
      </w:r>
      <w:r w:rsidRPr="0078056B">
        <w:rPr>
          <w:rFonts w:asciiTheme="minorHAnsi" w:hAnsiTheme="minorHAnsi" w:cs="Calibri"/>
        </w:rPr>
        <w:t xml:space="preserve"> i is an individual LFS respondent, and </w:t>
      </w:r>
      <m:oMath>
        <m:sSub>
          <m:sSubPr>
            <m:ctrlPr>
              <w:rPr>
                <w:rFonts w:ascii="Cambria Math" w:hAnsi="Cambria Math" w:cs="Calibri"/>
                <w:i/>
              </w:rPr>
            </m:ctrlPr>
          </m:sSubPr>
          <m:e>
            <m:r>
              <w:rPr>
                <w:rFonts w:ascii="Cambria Math" w:hAnsi="Cambria Math" w:cs="Calibri"/>
              </w:rPr>
              <m:t>X</m:t>
            </m:r>
          </m:e>
          <m:sub>
            <m:r>
              <w:rPr>
                <w:rFonts w:ascii="Cambria Math" w:hAnsi="Cambria Math" w:cs="Calibri"/>
              </w:rPr>
              <m:t>i</m:t>
            </m:r>
          </m:sub>
        </m:sSub>
      </m:oMath>
      <w:r w:rsidRPr="0078056B">
        <w:rPr>
          <w:rFonts w:asciiTheme="minorHAnsi" w:hAnsiTheme="minorHAnsi" w:cs="Calibri"/>
        </w:rPr>
        <w:t xml:space="preserve"> provides the independent variables included in the analysis, as follows:</w:t>
      </w:r>
    </w:p>
    <w:p w14:paraId="537C3DC3" w14:textId="77777777" w:rsidR="003A6119" w:rsidRPr="0078056B" w:rsidRDefault="003A6119" w:rsidP="003A6119">
      <w:pPr>
        <w:pStyle w:val="MinorBullet1"/>
        <w:numPr>
          <w:ilvl w:val="0"/>
          <w:numId w:val="21"/>
        </w:numPr>
      </w:pPr>
      <w:r w:rsidRPr="0078056B">
        <w:t>Highest qualification held;</w:t>
      </w:r>
    </w:p>
    <w:p w14:paraId="605A42A5" w14:textId="77777777" w:rsidR="003A6119" w:rsidRPr="0078056B" w:rsidRDefault="003A6119" w:rsidP="003A6119">
      <w:pPr>
        <w:pStyle w:val="MinorBullet1"/>
        <w:numPr>
          <w:ilvl w:val="0"/>
          <w:numId w:val="21"/>
        </w:numPr>
      </w:pPr>
      <w:r w:rsidRPr="0078056B">
        <w:t xml:space="preserve">Age; </w:t>
      </w:r>
    </w:p>
    <w:p w14:paraId="01BBA7DC" w14:textId="77777777" w:rsidR="003A6119" w:rsidRPr="0078056B" w:rsidRDefault="003A6119" w:rsidP="003A6119">
      <w:pPr>
        <w:pStyle w:val="MinorBullet1"/>
        <w:numPr>
          <w:ilvl w:val="0"/>
          <w:numId w:val="21"/>
        </w:numPr>
      </w:pPr>
      <w:r w:rsidRPr="0078056B">
        <w:t>Age squared;</w:t>
      </w:r>
    </w:p>
    <w:p w14:paraId="17235653" w14:textId="77777777" w:rsidR="003A6119" w:rsidRPr="0078056B" w:rsidRDefault="003A6119" w:rsidP="003A6119">
      <w:pPr>
        <w:pStyle w:val="MinorBullet1"/>
        <w:numPr>
          <w:ilvl w:val="0"/>
          <w:numId w:val="21"/>
        </w:numPr>
      </w:pPr>
      <w:r w:rsidRPr="0078056B">
        <w:t>Ethnic origin;</w:t>
      </w:r>
    </w:p>
    <w:p w14:paraId="41B378DC" w14:textId="77777777" w:rsidR="003A6119" w:rsidRPr="0078056B" w:rsidRDefault="003A6119" w:rsidP="003A6119">
      <w:pPr>
        <w:pStyle w:val="MinorBullet1"/>
        <w:numPr>
          <w:ilvl w:val="0"/>
          <w:numId w:val="21"/>
        </w:numPr>
      </w:pPr>
      <w:r w:rsidRPr="0078056B">
        <w:t>Disability status;</w:t>
      </w:r>
    </w:p>
    <w:p w14:paraId="1D305E13" w14:textId="77777777" w:rsidR="003A6119" w:rsidRPr="0078056B" w:rsidRDefault="003A6119" w:rsidP="003A6119">
      <w:pPr>
        <w:pStyle w:val="MinorBullet1"/>
        <w:numPr>
          <w:ilvl w:val="0"/>
          <w:numId w:val="21"/>
        </w:numPr>
      </w:pPr>
      <w:r w:rsidRPr="0078056B">
        <w:t>Region of work;</w:t>
      </w:r>
    </w:p>
    <w:p w14:paraId="6395C3AF" w14:textId="77777777" w:rsidR="003A6119" w:rsidRPr="0078056B" w:rsidRDefault="003A6119" w:rsidP="003A6119">
      <w:pPr>
        <w:pStyle w:val="MinorBullet1"/>
        <w:numPr>
          <w:ilvl w:val="0"/>
          <w:numId w:val="21"/>
        </w:numPr>
      </w:pPr>
      <w:r w:rsidRPr="0078056B">
        <w:t>Marital status;</w:t>
      </w:r>
    </w:p>
    <w:p w14:paraId="0381070A" w14:textId="77777777" w:rsidR="003A6119" w:rsidRPr="0078056B" w:rsidRDefault="003A6119" w:rsidP="003A6119">
      <w:pPr>
        <w:pStyle w:val="MinorBullet1"/>
        <w:numPr>
          <w:ilvl w:val="0"/>
          <w:numId w:val="21"/>
        </w:numPr>
      </w:pPr>
      <w:r w:rsidRPr="0078056B">
        <w:t>Number of dependent children under the age of 16;</w:t>
      </w:r>
    </w:p>
    <w:p w14:paraId="07F7C4C8" w14:textId="77777777" w:rsidR="003A6119" w:rsidRPr="0078056B" w:rsidRDefault="003A6119" w:rsidP="003A6119">
      <w:pPr>
        <w:pStyle w:val="MinorBullet1"/>
        <w:numPr>
          <w:ilvl w:val="0"/>
          <w:numId w:val="21"/>
        </w:numPr>
      </w:pPr>
      <w:r w:rsidRPr="0078056B">
        <w:t>Full-time / part-time employment;</w:t>
      </w:r>
    </w:p>
    <w:p w14:paraId="4744DE55" w14:textId="77777777" w:rsidR="003A6119" w:rsidRPr="0078056B" w:rsidRDefault="003A6119" w:rsidP="003A6119">
      <w:pPr>
        <w:pStyle w:val="MinorBullet1"/>
        <w:numPr>
          <w:ilvl w:val="0"/>
          <w:numId w:val="21"/>
        </w:numPr>
      </w:pPr>
      <w:r w:rsidRPr="0078056B">
        <w:t>Temporary or permanent contract;</w:t>
      </w:r>
    </w:p>
    <w:p w14:paraId="38124D21" w14:textId="77777777" w:rsidR="003A6119" w:rsidRPr="0078056B" w:rsidRDefault="003A6119" w:rsidP="003A6119">
      <w:pPr>
        <w:pStyle w:val="MinorBullet1"/>
        <w:numPr>
          <w:ilvl w:val="0"/>
          <w:numId w:val="21"/>
        </w:numPr>
      </w:pPr>
      <w:r w:rsidRPr="0078056B">
        <w:t>Public or private sector employment;</w:t>
      </w:r>
    </w:p>
    <w:p w14:paraId="3125B432" w14:textId="77777777" w:rsidR="003A6119" w:rsidRPr="0078056B" w:rsidRDefault="003A6119" w:rsidP="003A6119">
      <w:pPr>
        <w:pStyle w:val="MinorBullet1"/>
        <w:numPr>
          <w:ilvl w:val="0"/>
          <w:numId w:val="21"/>
        </w:numPr>
      </w:pPr>
      <w:r w:rsidRPr="0078056B">
        <w:t>Workplace size; and</w:t>
      </w:r>
    </w:p>
    <w:p w14:paraId="0E7EA767" w14:textId="47989B4E" w:rsidR="003A6119" w:rsidRPr="0078056B" w:rsidRDefault="003A6119" w:rsidP="003A6119">
      <w:pPr>
        <w:pStyle w:val="MinorBullet1"/>
        <w:numPr>
          <w:ilvl w:val="0"/>
          <w:numId w:val="21"/>
        </w:numPr>
      </w:pPr>
      <w:r w:rsidRPr="0078056B">
        <w:t xml:space="preserve">Yearly </w:t>
      </w:r>
      <w:r w:rsidR="00EA7842" w:rsidRPr="0078056B">
        <w:t>d</w:t>
      </w:r>
      <w:r w:rsidRPr="0078056B">
        <w:t>ummies.</w:t>
      </w:r>
    </w:p>
    <w:p w14:paraId="2BE8C79A" w14:textId="0A9EE7B4" w:rsidR="003A6119" w:rsidRPr="0078056B" w:rsidRDefault="003A6119" w:rsidP="003A6119">
      <w:r w:rsidRPr="0078056B">
        <w:t xml:space="preserve">Using the above specification, we estimated earnings returns in aggregate and </w:t>
      </w:r>
      <w:r w:rsidRPr="0078056B">
        <w:rPr>
          <w:b/>
          <w:color w:val="06357A"/>
        </w:rPr>
        <w:t>for men and women separately</w:t>
      </w:r>
      <w:r w:rsidRPr="0078056B">
        <w:t xml:space="preserve">. Further, to analyse the benefits associated with different education qualifications over the lifetime of individuals holding these qualifications, the regressions were </w:t>
      </w:r>
      <w:r w:rsidRPr="0078056B">
        <w:rPr>
          <w:b/>
          <w:color w:val="06357A"/>
        </w:rPr>
        <w:t>estimated separately across a range of specific age bands</w:t>
      </w:r>
      <w:r w:rsidRPr="0078056B">
        <w:rPr>
          <w:color w:val="0B5ED7" w:themeColor="accent2"/>
        </w:rPr>
        <w:t xml:space="preserve"> </w:t>
      </w:r>
      <w:r w:rsidRPr="0078056B">
        <w:t>for the working age population, depending on the qualification considered. The estimated marginal earnings returns also take account of the specific subject mix of UK domiciled students in the 2021-22 University of Birmingham cohort.</w:t>
      </w:r>
      <w:r w:rsidRPr="0078056B">
        <w:rPr>
          <w:vertAlign w:val="superscript"/>
        </w:rPr>
        <w:footnoteReference w:id="120"/>
      </w:r>
      <w:r w:rsidRPr="0078056B">
        <w:t xml:space="preserve"> As a result, the estimated marginal wage returns </w:t>
      </w:r>
      <w:r w:rsidRPr="0078056B">
        <w:rPr>
          <w:b/>
          <w:color w:val="06357A"/>
        </w:rPr>
        <w:t xml:space="preserve">adjust for the specific subject composition of the University of </w:t>
      </w:r>
      <w:r w:rsidRPr="0078056B">
        <w:rPr>
          <w:b/>
          <w:color w:val="06357A"/>
        </w:rPr>
        <w:lastRenderedPageBreak/>
        <w:t>Birmingham’s student cohort</w:t>
      </w:r>
      <w:r w:rsidRPr="0078056B">
        <w:rPr>
          <w:bCs/>
        </w:rPr>
        <w:t>, where possible.</w:t>
      </w:r>
      <w:r w:rsidRPr="0078056B">
        <w:rPr>
          <w:rStyle w:val="FootnoteReference"/>
          <w:bCs/>
        </w:rPr>
        <w:footnoteReference w:id="121"/>
      </w:r>
      <w:r w:rsidRPr="0078056B">
        <w:t xml:space="preserve"> In addition, as outlined in Annex </w:t>
      </w:r>
      <w:r w:rsidRPr="0078056B">
        <w:fldChar w:fldCharType="begin"/>
      </w:r>
      <w:r w:rsidRPr="0078056B">
        <w:instrText xml:space="preserve"> REF _Ref454898098 \r \h </w:instrText>
      </w:r>
      <w:r w:rsidR="00EA7842" w:rsidRPr="0078056B">
        <w:instrText xml:space="preserve"> \* MERGEFORMAT </w:instrText>
      </w:r>
      <w:r w:rsidRPr="0078056B">
        <w:fldChar w:fldCharType="separate"/>
      </w:r>
      <w:r w:rsidR="00E33157">
        <w:t>A2.3.3</w:t>
      </w:r>
      <w:r w:rsidRPr="0078056B">
        <w:fldChar w:fldCharType="end"/>
      </w:r>
      <w:r w:rsidRPr="0078056B">
        <w:t xml:space="preserve">, the marginal wage returns for first degrees also reflect the specific prior level of attainment of students in the 2021-22 University of Birmingham cohort (i.e. where the analysis is adjusted for the proportions of students in possession of GCE ‘A’ levels or other types of RQF Level 3 qualifications as their highest prior attainment on entry). </w:t>
      </w:r>
    </w:p>
    <w:p w14:paraId="1C3E26BB" w14:textId="77777777" w:rsidR="003A6119" w:rsidRPr="0078056B" w:rsidRDefault="003A6119" w:rsidP="003A6119">
      <w:r w:rsidRPr="0078056B">
        <w:t>Further note that the analysis of earnings premiums was undertaken at a national (UK-wide) level. However, to adjust for differences across the Home Nations, these UK-wide earnings premiums were then combined with the relevant differential direct costs facing the individual and/or the public purse for students domiciled in the different Home Nations.</w:t>
      </w:r>
    </w:p>
    <w:p w14:paraId="176087DD" w14:textId="77777777" w:rsidR="003A6119" w:rsidRPr="0078056B" w:rsidRDefault="003A6119" w:rsidP="003A6119">
      <w:r w:rsidRPr="0078056B">
        <w:t xml:space="preserve">To estimate the impact of higher education qualifications on labour market outcomes using this methodology, we used information from </w:t>
      </w:r>
      <w:r w:rsidRPr="0078056B">
        <w:rPr>
          <w:b/>
          <w:color w:val="06357A"/>
        </w:rPr>
        <w:t>pooled Quarterly UK Labour Force Surveys between 2010 and 2022</w:t>
      </w:r>
      <w:r w:rsidRPr="0078056B">
        <w:t xml:space="preserve">. </w:t>
      </w:r>
    </w:p>
    <w:p w14:paraId="0E57D57C" w14:textId="77777777" w:rsidR="00FB5452" w:rsidRPr="0078056B" w:rsidRDefault="00FB5452" w:rsidP="00FB5452">
      <w:pPr>
        <w:pStyle w:val="TableTitle"/>
      </w:pPr>
      <w:bookmarkStart w:id="485" w:name="_Ref161751090"/>
      <w:bookmarkStart w:id="486" w:name="_Toc162275846"/>
      <w:bookmarkStart w:id="487" w:name="_Toc168652172"/>
      <w:r w:rsidRPr="0078056B">
        <w:t>Marginal earnings returns to higher education qualifications (weighted across subjects), in % (following exponentiation), by gender and age band</w:t>
      </w:r>
      <w:bookmarkEnd w:id="485"/>
      <w:bookmarkEnd w:id="486"/>
      <w:bookmarkEnd w:id="487"/>
    </w:p>
    <w:tbl>
      <w:tblPr>
        <w:tblW w:w="5000" w:type="pct"/>
        <w:jc w:val="center"/>
        <w:tblBorders>
          <w:top w:val="single" w:sz="4" w:space="0" w:color="BFBFBF"/>
          <w:bottom w:val="single" w:sz="4" w:space="0" w:color="BFBFBF"/>
          <w:insideH w:val="single" w:sz="4" w:space="0" w:color="BFBFBF"/>
          <w:insideV w:val="single" w:sz="4" w:space="0" w:color="BFBFBF"/>
        </w:tblBorders>
        <w:tblCellMar>
          <w:left w:w="0" w:type="dxa"/>
          <w:right w:w="0" w:type="dxa"/>
        </w:tblCellMar>
        <w:tblLook w:val="0000" w:firstRow="0" w:lastRow="0" w:firstColumn="0" w:lastColumn="0" w:noHBand="0" w:noVBand="0"/>
      </w:tblPr>
      <w:tblGrid>
        <w:gridCol w:w="3332"/>
        <w:gridCol w:w="550"/>
        <w:gridCol w:w="550"/>
        <w:gridCol w:w="552"/>
        <w:gridCol w:w="552"/>
        <w:gridCol w:w="552"/>
        <w:gridCol w:w="552"/>
        <w:gridCol w:w="552"/>
        <w:gridCol w:w="552"/>
        <w:gridCol w:w="552"/>
        <w:gridCol w:w="548"/>
      </w:tblGrid>
      <w:tr w:rsidR="00FB5452" w:rsidRPr="0078056B" w14:paraId="51B96FE4" w14:textId="77777777" w:rsidTr="00C042A1">
        <w:trPr>
          <w:trHeight w:val="283"/>
          <w:jc w:val="center"/>
        </w:trPr>
        <w:tc>
          <w:tcPr>
            <w:tcW w:w="1884" w:type="pct"/>
            <w:vMerge w:val="restart"/>
            <w:tcBorders>
              <w:top w:val="single" w:sz="4" w:space="0" w:color="06357A"/>
            </w:tcBorders>
            <w:vAlign w:val="center"/>
          </w:tcPr>
          <w:p w14:paraId="5AA59CA2" w14:textId="77777777" w:rsidR="00FB5452" w:rsidRPr="0078056B" w:rsidRDefault="00FB5452" w:rsidP="00C042A1">
            <w:pPr>
              <w:pStyle w:val="TableHeading"/>
              <w:keepNext/>
              <w:rPr>
                <w:rFonts w:asciiTheme="minorHAnsi" w:hAnsiTheme="minorHAnsi"/>
                <w:sz w:val="18"/>
                <w:szCs w:val="18"/>
              </w:rPr>
            </w:pPr>
            <w:r w:rsidRPr="0078056B">
              <w:rPr>
                <w:rFonts w:asciiTheme="minorHAnsi" w:hAnsiTheme="minorHAnsi"/>
                <w:sz w:val="18"/>
                <w:szCs w:val="18"/>
              </w:rPr>
              <w:t>Qualification level (vs. counterfactual)</w:t>
            </w:r>
          </w:p>
        </w:tc>
        <w:tc>
          <w:tcPr>
            <w:tcW w:w="3116" w:type="pct"/>
            <w:gridSpan w:val="10"/>
            <w:tcBorders>
              <w:top w:val="single" w:sz="4" w:space="0" w:color="06357A"/>
              <w:bottom w:val="single" w:sz="4" w:space="0" w:color="06357A"/>
            </w:tcBorders>
            <w:shd w:val="clear" w:color="auto" w:fill="auto"/>
            <w:vAlign w:val="center"/>
          </w:tcPr>
          <w:p w14:paraId="1E76E199" w14:textId="77777777" w:rsidR="00FB5452" w:rsidRPr="0078056B" w:rsidRDefault="00FB5452" w:rsidP="00C042A1">
            <w:pPr>
              <w:pStyle w:val="TableHeading"/>
              <w:keepNext/>
              <w:jc w:val="center"/>
              <w:rPr>
                <w:rFonts w:asciiTheme="minorHAnsi" w:hAnsiTheme="minorHAnsi"/>
                <w:bCs/>
                <w:sz w:val="18"/>
                <w:szCs w:val="18"/>
              </w:rPr>
            </w:pPr>
            <w:r w:rsidRPr="0078056B">
              <w:rPr>
                <w:rFonts w:asciiTheme="minorHAnsi" w:hAnsiTheme="minorHAnsi"/>
                <w:bCs/>
                <w:sz w:val="18"/>
                <w:szCs w:val="18"/>
              </w:rPr>
              <w:t>Age band</w:t>
            </w:r>
          </w:p>
        </w:tc>
      </w:tr>
      <w:tr w:rsidR="00FB5452" w:rsidRPr="0078056B" w14:paraId="3CA0CA2C" w14:textId="77777777" w:rsidTr="00C042A1">
        <w:trPr>
          <w:trHeight w:val="283"/>
          <w:jc w:val="center"/>
        </w:trPr>
        <w:tc>
          <w:tcPr>
            <w:tcW w:w="1884" w:type="pct"/>
            <w:vMerge/>
            <w:tcBorders>
              <w:bottom w:val="single" w:sz="4" w:space="0" w:color="06357A"/>
            </w:tcBorders>
            <w:vAlign w:val="center"/>
          </w:tcPr>
          <w:p w14:paraId="52065857" w14:textId="77777777" w:rsidR="00FB5452" w:rsidRPr="0078056B" w:rsidRDefault="00FB5452" w:rsidP="00C042A1">
            <w:pPr>
              <w:pStyle w:val="TableHeading"/>
              <w:keepNext/>
              <w:rPr>
                <w:sz w:val="18"/>
                <w:szCs w:val="18"/>
              </w:rPr>
            </w:pPr>
          </w:p>
        </w:tc>
        <w:tc>
          <w:tcPr>
            <w:tcW w:w="311" w:type="pct"/>
            <w:tcBorders>
              <w:top w:val="single" w:sz="4" w:space="0" w:color="06357A"/>
              <w:bottom w:val="single" w:sz="4" w:space="0" w:color="06357A"/>
            </w:tcBorders>
            <w:shd w:val="clear" w:color="auto" w:fill="auto"/>
            <w:vAlign w:val="center"/>
          </w:tcPr>
          <w:p w14:paraId="5877EBA1" w14:textId="77777777" w:rsidR="00FB5452" w:rsidRPr="0078056B" w:rsidRDefault="00FB5452" w:rsidP="00C042A1">
            <w:pPr>
              <w:pStyle w:val="TableHeading"/>
              <w:keepNext/>
              <w:ind w:left="0"/>
              <w:jc w:val="center"/>
              <w:rPr>
                <w:sz w:val="18"/>
                <w:szCs w:val="18"/>
              </w:rPr>
            </w:pPr>
            <w:r w:rsidRPr="0078056B">
              <w:rPr>
                <w:rFonts w:asciiTheme="minorHAnsi" w:hAnsiTheme="minorHAnsi"/>
                <w:bCs/>
                <w:sz w:val="18"/>
                <w:szCs w:val="18"/>
              </w:rPr>
              <w:t>16-20</w:t>
            </w:r>
          </w:p>
        </w:tc>
        <w:tc>
          <w:tcPr>
            <w:tcW w:w="311" w:type="pct"/>
            <w:tcBorders>
              <w:top w:val="single" w:sz="4" w:space="0" w:color="06357A"/>
              <w:bottom w:val="single" w:sz="4" w:space="0" w:color="06357A"/>
            </w:tcBorders>
            <w:shd w:val="clear" w:color="auto" w:fill="auto"/>
            <w:vAlign w:val="center"/>
          </w:tcPr>
          <w:p w14:paraId="0B975A28" w14:textId="77777777" w:rsidR="00FB5452" w:rsidRPr="0078056B" w:rsidRDefault="00FB5452" w:rsidP="00C042A1">
            <w:pPr>
              <w:pStyle w:val="TableHeading"/>
              <w:keepNext/>
              <w:ind w:left="0"/>
              <w:jc w:val="center"/>
              <w:rPr>
                <w:sz w:val="18"/>
                <w:szCs w:val="18"/>
              </w:rPr>
            </w:pPr>
            <w:r w:rsidRPr="0078056B">
              <w:rPr>
                <w:rFonts w:asciiTheme="minorHAnsi" w:hAnsiTheme="minorHAnsi"/>
                <w:bCs/>
                <w:sz w:val="18"/>
                <w:szCs w:val="18"/>
              </w:rPr>
              <w:t>21-25</w:t>
            </w:r>
          </w:p>
        </w:tc>
        <w:tc>
          <w:tcPr>
            <w:tcW w:w="312" w:type="pct"/>
            <w:tcBorders>
              <w:top w:val="single" w:sz="4" w:space="0" w:color="06357A"/>
              <w:bottom w:val="single" w:sz="4" w:space="0" w:color="06357A"/>
            </w:tcBorders>
            <w:shd w:val="clear" w:color="auto" w:fill="auto"/>
            <w:vAlign w:val="center"/>
          </w:tcPr>
          <w:p w14:paraId="486A5BC4" w14:textId="77777777" w:rsidR="00FB5452" w:rsidRPr="0078056B" w:rsidRDefault="00FB5452" w:rsidP="00C042A1">
            <w:pPr>
              <w:pStyle w:val="TableHeading"/>
              <w:keepNext/>
              <w:ind w:left="0"/>
              <w:jc w:val="center"/>
              <w:rPr>
                <w:sz w:val="18"/>
                <w:szCs w:val="18"/>
              </w:rPr>
            </w:pPr>
            <w:r w:rsidRPr="0078056B">
              <w:rPr>
                <w:rFonts w:asciiTheme="minorHAnsi" w:hAnsiTheme="minorHAnsi"/>
                <w:bCs/>
                <w:sz w:val="18"/>
                <w:szCs w:val="18"/>
              </w:rPr>
              <w:t>26-30</w:t>
            </w:r>
          </w:p>
        </w:tc>
        <w:tc>
          <w:tcPr>
            <w:tcW w:w="312" w:type="pct"/>
            <w:tcBorders>
              <w:top w:val="single" w:sz="4" w:space="0" w:color="06357A"/>
              <w:bottom w:val="single" w:sz="4" w:space="0" w:color="06357A"/>
            </w:tcBorders>
            <w:shd w:val="clear" w:color="auto" w:fill="auto"/>
            <w:vAlign w:val="center"/>
          </w:tcPr>
          <w:p w14:paraId="334F40A0" w14:textId="77777777" w:rsidR="00FB5452" w:rsidRPr="0078056B" w:rsidRDefault="00FB5452" w:rsidP="00C042A1">
            <w:pPr>
              <w:pStyle w:val="TableHeading"/>
              <w:keepNext/>
              <w:ind w:left="0"/>
              <w:jc w:val="center"/>
              <w:rPr>
                <w:sz w:val="18"/>
                <w:szCs w:val="18"/>
              </w:rPr>
            </w:pPr>
            <w:r w:rsidRPr="0078056B">
              <w:rPr>
                <w:rFonts w:asciiTheme="minorHAnsi" w:hAnsiTheme="minorHAnsi"/>
                <w:bCs/>
                <w:sz w:val="18"/>
                <w:szCs w:val="18"/>
              </w:rPr>
              <w:t>31-35</w:t>
            </w:r>
          </w:p>
        </w:tc>
        <w:tc>
          <w:tcPr>
            <w:tcW w:w="312" w:type="pct"/>
            <w:tcBorders>
              <w:top w:val="single" w:sz="4" w:space="0" w:color="06357A"/>
              <w:bottom w:val="single" w:sz="4" w:space="0" w:color="06357A"/>
            </w:tcBorders>
            <w:shd w:val="clear" w:color="auto" w:fill="auto"/>
            <w:vAlign w:val="center"/>
          </w:tcPr>
          <w:p w14:paraId="026F0C7A" w14:textId="77777777" w:rsidR="00FB5452" w:rsidRPr="0078056B" w:rsidRDefault="00FB5452" w:rsidP="00C042A1">
            <w:pPr>
              <w:pStyle w:val="TableHeading"/>
              <w:keepNext/>
              <w:ind w:left="0"/>
              <w:jc w:val="center"/>
              <w:rPr>
                <w:sz w:val="18"/>
                <w:szCs w:val="18"/>
              </w:rPr>
            </w:pPr>
            <w:r w:rsidRPr="0078056B">
              <w:rPr>
                <w:rFonts w:asciiTheme="minorHAnsi" w:hAnsiTheme="minorHAnsi"/>
                <w:bCs/>
                <w:sz w:val="18"/>
                <w:szCs w:val="18"/>
              </w:rPr>
              <w:t>36-40</w:t>
            </w:r>
          </w:p>
        </w:tc>
        <w:tc>
          <w:tcPr>
            <w:tcW w:w="312" w:type="pct"/>
            <w:tcBorders>
              <w:top w:val="single" w:sz="4" w:space="0" w:color="06357A"/>
              <w:bottom w:val="single" w:sz="4" w:space="0" w:color="06357A"/>
            </w:tcBorders>
            <w:shd w:val="clear" w:color="auto" w:fill="auto"/>
            <w:vAlign w:val="center"/>
          </w:tcPr>
          <w:p w14:paraId="793E4955" w14:textId="77777777" w:rsidR="00FB5452" w:rsidRPr="0078056B" w:rsidRDefault="00FB5452" w:rsidP="00C042A1">
            <w:pPr>
              <w:pStyle w:val="TableHeading"/>
              <w:keepNext/>
              <w:ind w:left="0"/>
              <w:jc w:val="center"/>
              <w:rPr>
                <w:sz w:val="18"/>
                <w:szCs w:val="18"/>
              </w:rPr>
            </w:pPr>
            <w:r w:rsidRPr="0078056B">
              <w:rPr>
                <w:rFonts w:asciiTheme="minorHAnsi" w:hAnsiTheme="minorHAnsi"/>
                <w:bCs/>
                <w:sz w:val="18"/>
                <w:szCs w:val="18"/>
              </w:rPr>
              <w:t>41-45</w:t>
            </w:r>
          </w:p>
        </w:tc>
        <w:tc>
          <w:tcPr>
            <w:tcW w:w="312" w:type="pct"/>
            <w:tcBorders>
              <w:top w:val="single" w:sz="4" w:space="0" w:color="06357A"/>
              <w:bottom w:val="single" w:sz="4" w:space="0" w:color="06357A"/>
            </w:tcBorders>
            <w:shd w:val="clear" w:color="auto" w:fill="auto"/>
            <w:vAlign w:val="center"/>
          </w:tcPr>
          <w:p w14:paraId="659037BE" w14:textId="77777777" w:rsidR="00FB5452" w:rsidRPr="0078056B" w:rsidRDefault="00FB5452" w:rsidP="00C042A1">
            <w:pPr>
              <w:pStyle w:val="TableHeading"/>
              <w:keepNext/>
              <w:ind w:left="0"/>
              <w:jc w:val="center"/>
              <w:rPr>
                <w:sz w:val="18"/>
                <w:szCs w:val="18"/>
              </w:rPr>
            </w:pPr>
            <w:r w:rsidRPr="0078056B">
              <w:rPr>
                <w:rFonts w:asciiTheme="minorHAnsi" w:hAnsiTheme="minorHAnsi"/>
                <w:bCs/>
                <w:sz w:val="18"/>
                <w:szCs w:val="18"/>
              </w:rPr>
              <w:t>46-50</w:t>
            </w:r>
          </w:p>
        </w:tc>
        <w:tc>
          <w:tcPr>
            <w:tcW w:w="312" w:type="pct"/>
            <w:tcBorders>
              <w:top w:val="single" w:sz="4" w:space="0" w:color="06357A"/>
              <w:bottom w:val="single" w:sz="4" w:space="0" w:color="06357A"/>
            </w:tcBorders>
            <w:shd w:val="clear" w:color="auto" w:fill="auto"/>
            <w:vAlign w:val="center"/>
          </w:tcPr>
          <w:p w14:paraId="68B75A26" w14:textId="77777777" w:rsidR="00FB5452" w:rsidRPr="0078056B" w:rsidRDefault="00FB5452" w:rsidP="00C042A1">
            <w:pPr>
              <w:pStyle w:val="TableHeading"/>
              <w:keepNext/>
              <w:ind w:left="0"/>
              <w:jc w:val="center"/>
              <w:rPr>
                <w:sz w:val="18"/>
                <w:szCs w:val="18"/>
              </w:rPr>
            </w:pPr>
            <w:r w:rsidRPr="0078056B">
              <w:rPr>
                <w:rFonts w:asciiTheme="minorHAnsi" w:hAnsiTheme="minorHAnsi"/>
                <w:bCs/>
                <w:sz w:val="18"/>
                <w:szCs w:val="18"/>
              </w:rPr>
              <w:t>51-55</w:t>
            </w:r>
          </w:p>
        </w:tc>
        <w:tc>
          <w:tcPr>
            <w:tcW w:w="312" w:type="pct"/>
            <w:tcBorders>
              <w:top w:val="single" w:sz="4" w:space="0" w:color="06357A"/>
              <w:bottom w:val="single" w:sz="4" w:space="0" w:color="06357A"/>
            </w:tcBorders>
            <w:shd w:val="clear" w:color="auto" w:fill="auto"/>
            <w:vAlign w:val="center"/>
          </w:tcPr>
          <w:p w14:paraId="5D0A53BF" w14:textId="77777777" w:rsidR="00FB5452" w:rsidRPr="0078056B" w:rsidRDefault="00FB5452" w:rsidP="00C042A1">
            <w:pPr>
              <w:pStyle w:val="TableHeading"/>
              <w:keepNext/>
              <w:ind w:left="0"/>
              <w:jc w:val="center"/>
              <w:rPr>
                <w:sz w:val="18"/>
                <w:szCs w:val="18"/>
              </w:rPr>
            </w:pPr>
            <w:r w:rsidRPr="0078056B">
              <w:rPr>
                <w:rFonts w:asciiTheme="minorHAnsi" w:hAnsiTheme="minorHAnsi"/>
                <w:bCs/>
                <w:sz w:val="18"/>
                <w:szCs w:val="18"/>
              </w:rPr>
              <w:t>56-60</w:t>
            </w:r>
          </w:p>
        </w:tc>
        <w:tc>
          <w:tcPr>
            <w:tcW w:w="310" w:type="pct"/>
            <w:tcBorders>
              <w:top w:val="single" w:sz="4" w:space="0" w:color="06357A"/>
              <w:bottom w:val="single" w:sz="4" w:space="0" w:color="06357A"/>
            </w:tcBorders>
            <w:shd w:val="clear" w:color="auto" w:fill="auto"/>
            <w:vAlign w:val="center"/>
          </w:tcPr>
          <w:p w14:paraId="703BAE76" w14:textId="77777777" w:rsidR="00FB5452" w:rsidRPr="0078056B" w:rsidRDefault="00FB5452" w:rsidP="00C042A1">
            <w:pPr>
              <w:pStyle w:val="TableHeading"/>
              <w:keepNext/>
              <w:ind w:left="0"/>
              <w:jc w:val="center"/>
              <w:rPr>
                <w:sz w:val="18"/>
                <w:szCs w:val="18"/>
              </w:rPr>
            </w:pPr>
            <w:r w:rsidRPr="0078056B">
              <w:rPr>
                <w:rFonts w:asciiTheme="minorHAnsi" w:hAnsiTheme="minorHAnsi"/>
                <w:bCs/>
                <w:sz w:val="18"/>
                <w:szCs w:val="18"/>
              </w:rPr>
              <w:t>61-65</w:t>
            </w:r>
          </w:p>
        </w:tc>
      </w:tr>
      <w:tr w:rsidR="00FB5452" w:rsidRPr="0078056B" w14:paraId="75897A5A" w14:textId="77777777" w:rsidTr="00C042A1">
        <w:trPr>
          <w:trHeight w:val="283"/>
          <w:jc w:val="center"/>
        </w:trPr>
        <w:tc>
          <w:tcPr>
            <w:tcW w:w="1884" w:type="pct"/>
            <w:tcBorders>
              <w:top w:val="single" w:sz="4" w:space="0" w:color="06357A"/>
              <w:right w:val="nil"/>
            </w:tcBorders>
            <w:shd w:val="clear" w:color="auto" w:fill="06357A" w:themeFill="accent1"/>
            <w:vAlign w:val="center"/>
          </w:tcPr>
          <w:p w14:paraId="7F78C3A3" w14:textId="77777777" w:rsidR="00FB5452" w:rsidRPr="0078056B" w:rsidRDefault="00FB5452" w:rsidP="00C042A1">
            <w:pPr>
              <w:pStyle w:val="TableText"/>
              <w:keepNext/>
              <w:rPr>
                <w:b/>
                <w:color w:val="FFFFFF" w:themeColor="background1"/>
                <w:sz w:val="18"/>
                <w:szCs w:val="18"/>
              </w:rPr>
            </w:pPr>
            <w:r w:rsidRPr="0078056B">
              <w:rPr>
                <w:b/>
                <w:color w:val="FFFFFF" w:themeColor="background1"/>
                <w:sz w:val="18"/>
                <w:szCs w:val="18"/>
              </w:rPr>
              <w:t>Men</w:t>
            </w:r>
          </w:p>
        </w:tc>
        <w:tc>
          <w:tcPr>
            <w:tcW w:w="311" w:type="pct"/>
            <w:tcBorders>
              <w:top w:val="single" w:sz="4" w:space="0" w:color="06357A"/>
              <w:left w:val="nil"/>
              <w:right w:val="nil"/>
            </w:tcBorders>
            <w:shd w:val="clear" w:color="auto" w:fill="06357A" w:themeFill="accent1"/>
            <w:vAlign w:val="center"/>
          </w:tcPr>
          <w:p w14:paraId="56F63342" w14:textId="77777777" w:rsidR="00FB5452" w:rsidRPr="0078056B" w:rsidRDefault="00FB5452" w:rsidP="00C042A1">
            <w:pPr>
              <w:pStyle w:val="TableText"/>
              <w:keepNext/>
              <w:rPr>
                <w:color w:val="FFFFFF" w:themeColor="background1"/>
                <w:sz w:val="18"/>
                <w:szCs w:val="18"/>
              </w:rPr>
            </w:pPr>
          </w:p>
        </w:tc>
        <w:tc>
          <w:tcPr>
            <w:tcW w:w="311" w:type="pct"/>
            <w:tcBorders>
              <w:top w:val="single" w:sz="4" w:space="0" w:color="06357A"/>
              <w:left w:val="nil"/>
              <w:right w:val="nil"/>
            </w:tcBorders>
            <w:shd w:val="clear" w:color="auto" w:fill="06357A" w:themeFill="accent1"/>
            <w:vAlign w:val="center"/>
          </w:tcPr>
          <w:p w14:paraId="3E194C4F" w14:textId="77777777" w:rsidR="00FB5452" w:rsidRPr="0078056B" w:rsidRDefault="00FB5452" w:rsidP="00C042A1">
            <w:pPr>
              <w:pStyle w:val="TableText"/>
              <w:keepNext/>
              <w:rPr>
                <w:color w:val="FFFFFF" w:themeColor="background1"/>
                <w:sz w:val="18"/>
                <w:szCs w:val="18"/>
              </w:rPr>
            </w:pPr>
          </w:p>
        </w:tc>
        <w:tc>
          <w:tcPr>
            <w:tcW w:w="312" w:type="pct"/>
            <w:tcBorders>
              <w:top w:val="single" w:sz="4" w:space="0" w:color="06357A"/>
              <w:left w:val="nil"/>
              <w:right w:val="nil"/>
            </w:tcBorders>
            <w:shd w:val="clear" w:color="auto" w:fill="06357A" w:themeFill="accent1"/>
            <w:vAlign w:val="center"/>
          </w:tcPr>
          <w:p w14:paraId="6B914AAA" w14:textId="77777777" w:rsidR="00FB5452" w:rsidRPr="0078056B" w:rsidRDefault="00FB5452" w:rsidP="00C042A1">
            <w:pPr>
              <w:pStyle w:val="TableText"/>
              <w:keepNext/>
              <w:rPr>
                <w:color w:val="FFFFFF" w:themeColor="background1"/>
                <w:sz w:val="18"/>
                <w:szCs w:val="18"/>
              </w:rPr>
            </w:pPr>
          </w:p>
        </w:tc>
        <w:tc>
          <w:tcPr>
            <w:tcW w:w="312" w:type="pct"/>
            <w:tcBorders>
              <w:top w:val="single" w:sz="4" w:space="0" w:color="06357A"/>
              <w:left w:val="nil"/>
              <w:right w:val="nil"/>
            </w:tcBorders>
            <w:shd w:val="clear" w:color="auto" w:fill="06357A" w:themeFill="accent1"/>
            <w:vAlign w:val="center"/>
          </w:tcPr>
          <w:p w14:paraId="3FEA3F0A" w14:textId="77777777" w:rsidR="00FB5452" w:rsidRPr="0078056B" w:rsidRDefault="00FB5452" w:rsidP="00C042A1">
            <w:pPr>
              <w:pStyle w:val="TableText"/>
              <w:keepNext/>
              <w:rPr>
                <w:color w:val="FFFFFF" w:themeColor="background1"/>
                <w:sz w:val="18"/>
                <w:szCs w:val="18"/>
              </w:rPr>
            </w:pPr>
          </w:p>
        </w:tc>
        <w:tc>
          <w:tcPr>
            <w:tcW w:w="312" w:type="pct"/>
            <w:tcBorders>
              <w:top w:val="single" w:sz="4" w:space="0" w:color="06357A"/>
              <w:left w:val="nil"/>
              <w:right w:val="nil"/>
            </w:tcBorders>
            <w:shd w:val="clear" w:color="auto" w:fill="06357A" w:themeFill="accent1"/>
            <w:vAlign w:val="center"/>
          </w:tcPr>
          <w:p w14:paraId="18813009" w14:textId="77777777" w:rsidR="00FB5452" w:rsidRPr="0078056B" w:rsidRDefault="00FB5452" w:rsidP="00C042A1">
            <w:pPr>
              <w:pStyle w:val="TableText"/>
              <w:keepNext/>
              <w:rPr>
                <w:color w:val="FFFFFF" w:themeColor="background1"/>
                <w:sz w:val="18"/>
                <w:szCs w:val="18"/>
              </w:rPr>
            </w:pPr>
          </w:p>
        </w:tc>
        <w:tc>
          <w:tcPr>
            <w:tcW w:w="312" w:type="pct"/>
            <w:tcBorders>
              <w:top w:val="single" w:sz="4" w:space="0" w:color="06357A"/>
              <w:left w:val="nil"/>
              <w:right w:val="nil"/>
            </w:tcBorders>
            <w:shd w:val="clear" w:color="auto" w:fill="06357A" w:themeFill="accent1"/>
            <w:vAlign w:val="center"/>
          </w:tcPr>
          <w:p w14:paraId="2F1C9519" w14:textId="77777777" w:rsidR="00FB5452" w:rsidRPr="0078056B" w:rsidRDefault="00FB5452" w:rsidP="00C042A1">
            <w:pPr>
              <w:pStyle w:val="TableText"/>
              <w:keepNext/>
              <w:rPr>
                <w:color w:val="FFFFFF" w:themeColor="background1"/>
                <w:sz w:val="18"/>
                <w:szCs w:val="18"/>
              </w:rPr>
            </w:pPr>
          </w:p>
        </w:tc>
        <w:tc>
          <w:tcPr>
            <w:tcW w:w="312" w:type="pct"/>
            <w:tcBorders>
              <w:top w:val="single" w:sz="4" w:space="0" w:color="06357A"/>
              <w:left w:val="nil"/>
              <w:right w:val="nil"/>
            </w:tcBorders>
            <w:shd w:val="clear" w:color="auto" w:fill="06357A" w:themeFill="accent1"/>
            <w:vAlign w:val="center"/>
          </w:tcPr>
          <w:p w14:paraId="7690B306" w14:textId="77777777" w:rsidR="00FB5452" w:rsidRPr="0078056B" w:rsidRDefault="00FB5452" w:rsidP="00C042A1">
            <w:pPr>
              <w:pStyle w:val="TableText"/>
              <w:keepNext/>
              <w:rPr>
                <w:color w:val="FFFFFF" w:themeColor="background1"/>
                <w:sz w:val="18"/>
                <w:szCs w:val="18"/>
              </w:rPr>
            </w:pPr>
          </w:p>
        </w:tc>
        <w:tc>
          <w:tcPr>
            <w:tcW w:w="312" w:type="pct"/>
            <w:tcBorders>
              <w:top w:val="single" w:sz="4" w:space="0" w:color="06357A"/>
              <w:left w:val="nil"/>
              <w:right w:val="nil"/>
            </w:tcBorders>
            <w:shd w:val="clear" w:color="auto" w:fill="06357A" w:themeFill="accent1"/>
            <w:vAlign w:val="center"/>
          </w:tcPr>
          <w:p w14:paraId="2830F04E" w14:textId="77777777" w:rsidR="00FB5452" w:rsidRPr="0078056B" w:rsidRDefault="00FB5452" w:rsidP="00C042A1">
            <w:pPr>
              <w:pStyle w:val="TableText"/>
              <w:keepNext/>
              <w:rPr>
                <w:color w:val="FFFFFF" w:themeColor="background1"/>
                <w:sz w:val="18"/>
                <w:szCs w:val="18"/>
              </w:rPr>
            </w:pPr>
          </w:p>
        </w:tc>
        <w:tc>
          <w:tcPr>
            <w:tcW w:w="312" w:type="pct"/>
            <w:tcBorders>
              <w:top w:val="single" w:sz="4" w:space="0" w:color="06357A"/>
              <w:left w:val="nil"/>
              <w:right w:val="nil"/>
            </w:tcBorders>
            <w:shd w:val="clear" w:color="auto" w:fill="06357A" w:themeFill="accent1"/>
            <w:vAlign w:val="center"/>
          </w:tcPr>
          <w:p w14:paraId="787FB560" w14:textId="77777777" w:rsidR="00FB5452" w:rsidRPr="0078056B" w:rsidRDefault="00FB5452" w:rsidP="00C042A1">
            <w:pPr>
              <w:pStyle w:val="TableText"/>
              <w:keepNext/>
              <w:rPr>
                <w:color w:val="FFFFFF" w:themeColor="background1"/>
                <w:sz w:val="18"/>
                <w:szCs w:val="18"/>
              </w:rPr>
            </w:pPr>
          </w:p>
        </w:tc>
        <w:tc>
          <w:tcPr>
            <w:tcW w:w="310" w:type="pct"/>
            <w:tcBorders>
              <w:top w:val="single" w:sz="4" w:space="0" w:color="06357A"/>
              <w:left w:val="nil"/>
            </w:tcBorders>
            <w:shd w:val="clear" w:color="auto" w:fill="06357A" w:themeFill="accent1"/>
            <w:vAlign w:val="center"/>
          </w:tcPr>
          <w:p w14:paraId="565E2A4C" w14:textId="77777777" w:rsidR="00FB5452" w:rsidRPr="0078056B" w:rsidRDefault="00FB5452" w:rsidP="00C042A1">
            <w:pPr>
              <w:pStyle w:val="TableText"/>
              <w:keepNext/>
              <w:rPr>
                <w:color w:val="FFFFFF" w:themeColor="background1"/>
                <w:sz w:val="18"/>
                <w:szCs w:val="18"/>
              </w:rPr>
            </w:pPr>
          </w:p>
        </w:tc>
      </w:tr>
      <w:tr w:rsidR="00FB5452" w:rsidRPr="0078056B" w14:paraId="42DCF1C9" w14:textId="77777777" w:rsidTr="00C042A1">
        <w:trPr>
          <w:trHeight w:val="283"/>
          <w:jc w:val="center"/>
        </w:trPr>
        <w:tc>
          <w:tcPr>
            <w:tcW w:w="1884" w:type="pct"/>
            <w:vAlign w:val="center"/>
          </w:tcPr>
          <w:p w14:paraId="3627B93F" w14:textId="77777777" w:rsidR="00FB5452" w:rsidRPr="0078056B" w:rsidRDefault="00FB5452" w:rsidP="00C042A1">
            <w:pPr>
              <w:pStyle w:val="TableText"/>
              <w:keepNext/>
              <w:rPr>
                <w:sz w:val="18"/>
                <w:szCs w:val="18"/>
              </w:rPr>
            </w:pPr>
            <w:r w:rsidRPr="0078056B">
              <w:rPr>
                <w:sz w:val="18"/>
                <w:szCs w:val="18"/>
              </w:rPr>
              <w:t>Level 3 (vs. 5+GCSEs)</w:t>
            </w:r>
            <w:r w:rsidRPr="0078056B">
              <w:rPr>
                <w:rFonts w:asciiTheme="minorHAnsi" w:hAnsiTheme="minorHAnsi"/>
                <w:sz w:val="18"/>
                <w:szCs w:val="18"/>
                <w:vertAlign w:val="superscript"/>
              </w:rPr>
              <w:t>1</w:t>
            </w:r>
          </w:p>
        </w:tc>
        <w:tc>
          <w:tcPr>
            <w:tcW w:w="311" w:type="pct"/>
            <w:shd w:val="clear" w:color="auto" w:fill="auto"/>
            <w:vAlign w:val="center"/>
          </w:tcPr>
          <w:p w14:paraId="2CFA64C1" w14:textId="77777777" w:rsidR="00FB5452" w:rsidRPr="0078056B" w:rsidRDefault="00FB5452" w:rsidP="00C042A1">
            <w:pPr>
              <w:pStyle w:val="TableText"/>
              <w:keepNext/>
              <w:ind w:left="0"/>
              <w:jc w:val="center"/>
              <w:rPr>
                <w:rFonts w:asciiTheme="minorHAnsi" w:hAnsiTheme="minorHAnsi" w:cstheme="minorHAnsi"/>
                <w:szCs w:val="20"/>
              </w:rPr>
            </w:pPr>
          </w:p>
        </w:tc>
        <w:tc>
          <w:tcPr>
            <w:tcW w:w="311" w:type="pct"/>
            <w:shd w:val="clear" w:color="auto" w:fill="auto"/>
            <w:vAlign w:val="center"/>
          </w:tcPr>
          <w:p w14:paraId="1CF802CD"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7.1%</w:t>
            </w:r>
          </w:p>
        </w:tc>
        <w:tc>
          <w:tcPr>
            <w:tcW w:w="312" w:type="pct"/>
            <w:shd w:val="clear" w:color="auto" w:fill="auto"/>
            <w:vAlign w:val="center"/>
          </w:tcPr>
          <w:p w14:paraId="71903F45"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9.0%</w:t>
            </w:r>
          </w:p>
        </w:tc>
        <w:tc>
          <w:tcPr>
            <w:tcW w:w="312" w:type="pct"/>
            <w:shd w:val="clear" w:color="auto" w:fill="auto"/>
            <w:vAlign w:val="center"/>
          </w:tcPr>
          <w:p w14:paraId="45D8413D"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14.1%</w:t>
            </w:r>
          </w:p>
        </w:tc>
        <w:tc>
          <w:tcPr>
            <w:tcW w:w="312" w:type="pct"/>
            <w:shd w:val="clear" w:color="auto" w:fill="auto"/>
            <w:vAlign w:val="center"/>
          </w:tcPr>
          <w:p w14:paraId="144B8EB7"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16.3%</w:t>
            </w:r>
          </w:p>
        </w:tc>
        <w:tc>
          <w:tcPr>
            <w:tcW w:w="312" w:type="pct"/>
            <w:shd w:val="clear" w:color="auto" w:fill="auto"/>
            <w:vAlign w:val="center"/>
          </w:tcPr>
          <w:p w14:paraId="31AEB5E2"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12.5%</w:t>
            </w:r>
          </w:p>
        </w:tc>
        <w:tc>
          <w:tcPr>
            <w:tcW w:w="312" w:type="pct"/>
            <w:shd w:val="clear" w:color="auto" w:fill="auto"/>
            <w:vAlign w:val="center"/>
          </w:tcPr>
          <w:p w14:paraId="168469CF"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12.6%</w:t>
            </w:r>
          </w:p>
        </w:tc>
        <w:tc>
          <w:tcPr>
            <w:tcW w:w="312" w:type="pct"/>
            <w:shd w:val="clear" w:color="auto" w:fill="auto"/>
            <w:vAlign w:val="center"/>
          </w:tcPr>
          <w:p w14:paraId="70DBE158"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11.2%</w:t>
            </w:r>
          </w:p>
        </w:tc>
        <w:tc>
          <w:tcPr>
            <w:tcW w:w="312" w:type="pct"/>
            <w:shd w:val="clear" w:color="auto" w:fill="auto"/>
            <w:vAlign w:val="center"/>
          </w:tcPr>
          <w:p w14:paraId="3E60E12F"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13.8%</w:t>
            </w:r>
          </w:p>
        </w:tc>
        <w:tc>
          <w:tcPr>
            <w:tcW w:w="310" w:type="pct"/>
            <w:shd w:val="clear" w:color="auto" w:fill="auto"/>
            <w:vAlign w:val="center"/>
          </w:tcPr>
          <w:p w14:paraId="25AB976D"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9.6%</w:t>
            </w:r>
          </w:p>
        </w:tc>
      </w:tr>
      <w:tr w:rsidR="00FB5452" w:rsidRPr="0078056B" w14:paraId="1ED90C70" w14:textId="77777777" w:rsidTr="00C042A1">
        <w:trPr>
          <w:trHeight w:val="283"/>
          <w:jc w:val="center"/>
        </w:trPr>
        <w:tc>
          <w:tcPr>
            <w:tcW w:w="1884" w:type="pct"/>
            <w:vAlign w:val="center"/>
          </w:tcPr>
          <w:p w14:paraId="313486E9" w14:textId="77777777" w:rsidR="00FB5452" w:rsidRPr="0078056B" w:rsidRDefault="00FB5452" w:rsidP="00C042A1">
            <w:pPr>
              <w:pStyle w:val="TableText"/>
              <w:keepNext/>
              <w:rPr>
                <w:sz w:val="18"/>
                <w:szCs w:val="18"/>
              </w:rPr>
            </w:pPr>
            <w:r w:rsidRPr="0078056B">
              <w:rPr>
                <w:rFonts w:asciiTheme="minorHAnsi" w:hAnsiTheme="minorHAnsi"/>
                <w:sz w:val="18"/>
                <w:szCs w:val="18"/>
              </w:rPr>
              <w:t>Other un</w:t>
            </w:r>
            <w:r w:rsidRPr="0078056B">
              <w:rPr>
                <w:sz w:val="18"/>
                <w:szCs w:val="18"/>
              </w:rPr>
              <w:t>dergraduate (vs. Level 3)</w:t>
            </w:r>
            <w:r w:rsidRPr="0078056B">
              <w:rPr>
                <w:rFonts w:asciiTheme="minorHAnsi" w:hAnsiTheme="minorHAnsi"/>
                <w:sz w:val="18"/>
                <w:szCs w:val="18"/>
                <w:vertAlign w:val="superscript"/>
              </w:rPr>
              <w:t>2</w:t>
            </w:r>
          </w:p>
        </w:tc>
        <w:tc>
          <w:tcPr>
            <w:tcW w:w="311" w:type="pct"/>
            <w:shd w:val="clear" w:color="auto" w:fill="auto"/>
            <w:vAlign w:val="center"/>
          </w:tcPr>
          <w:p w14:paraId="472858C8" w14:textId="77777777" w:rsidR="00FB5452" w:rsidRPr="0078056B" w:rsidRDefault="00FB5452" w:rsidP="00C042A1">
            <w:pPr>
              <w:pStyle w:val="TableText"/>
              <w:keepNext/>
              <w:ind w:left="0"/>
              <w:jc w:val="center"/>
              <w:rPr>
                <w:rFonts w:asciiTheme="minorHAnsi" w:hAnsiTheme="minorHAnsi" w:cstheme="minorHAnsi"/>
                <w:szCs w:val="20"/>
              </w:rPr>
            </w:pPr>
          </w:p>
        </w:tc>
        <w:tc>
          <w:tcPr>
            <w:tcW w:w="311" w:type="pct"/>
            <w:shd w:val="clear" w:color="auto" w:fill="auto"/>
            <w:vAlign w:val="center"/>
          </w:tcPr>
          <w:p w14:paraId="71E2DD13" w14:textId="77777777" w:rsidR="00FB5452" w:rsidRPr="0078056B" w:rsidRDefault="00FB5452" w:rsidP="00C042A1">
            <w:pPr>
              <w:pStyle w:val="TableText"/>
              <w:keepNext/>
              <w:ind w:left="0"/>
              <w:jc w:val="center"/>
              <w:rPr>
                <w:rFonts w:asciiTheme="minorHAnsi" w:hAnsiTheme="minorHAnsi" w:cstheme="minorHAnsi"/>
                <w:sz w:val="18"/>
                <w:szCs w:val="18"/>
              </w:rPr>
            </w:pPr>
          </w:p>
        </w:tc>
        <w:tc>
          <w:tcPr>
            <w:tcW w:w="312" w:type="pct"/>
            <w:shd w:val="clear" w:color="auto" w:fill="auto"/>
            <w:vAlign w:val="center"/>
          </w:tcPr>
          <w:p w14:paraId="27481BBD" w14:textId="77777777" w:rsidR="00FB5452" w:rsidRPr="0078056B" w:rsidRDefault="00FB5452" w:rsidP="00C042A1">
            <w:pPr>
              <w:pStyle w:val="TableText"/>
              <w:keepNext/>
              <w:ind w:left="0"/>
              <w:jc w:val="center"/>
              <w:rPr>
                <w:rFonts w:asciiTheme="minorHAnsi" w:hAnsiTheme="minorHAnsi" w:cstheme="minorHAnsi"/>
                <w:color w:val="FF0000"/>
                <w:sz w:val="18"/>
                <w:szCs w:val="18"/>
              </w:rPr>
            </w:pPr>
          </w:p>
        </w:tc>
        <w:tc>
          <w:tcPr>
            <w:tcW w:w="312" w:type="pct"/>
            <w:shd w:val="clear" w:color="auto" w:fill="auto"/>
            <w:vAlign w:val="center"/>
          </w:tcPr>
          <w:p w14:paraId="145CE2A0" w14:textId="77777777" w:rsidR="00FB5452" w:rsidRPr="0078056B" w:rsidRDefault="00FB5452" w:rsidP="00C042A1">
            <w:pPr>
              <w:pStyle w:val="TableText"/>
              <w:keepNext/>
              <w:ind w:left="0"/>
              <w:jc w:val="center"/>
              <w:rPr>
                <w:rFonts w:asciiTheme="minorHAnsi" w:hAnsiTheme="minorHAnsi" w:cstheme="minorHAnsi"/>
                <w:color w:val="FF0000"/>
                <w:sz w:val="18"/>
                <w:szCs w:val="18"/>
              </w:rPr>
            </w:pPr>
            <w:r w:rsidRPr="0078056B">
              <w:rPr>
                <w:rFonts w:asciiTheme="minorHAnsi" w:hAnsiTheme="minorHAnsi" w:cstheme="minorHAnsi"/>
                <w:sz w:val="18"/>
                <w:szCs w:val="18"/>
              </w:rPr>
              <w:t>17.4%</w:t>
            </w:r>
          </w:p>
        </w:tc>
        <w:tc>
          <w:tcPr>
            <w:tcW w:w="312" w:type="pct"/>
            <w:shd w:val="clear" w:color="auto" w:fill="auto"/>
            <w:vAlign w:val="center"/>
          </w:tcPr>
          <w:p w14:paraId="4A6EDA1C"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20.3%</w:t>
            </w:r>
          </w:p>
        </w:tc>
        <w:tc>
          <w:tcPr>
            <w:tcW w:w="312" w:type="pct"/>
            <w:shd w:val="clear" w:color="auto" w:fill="auto"/>
            <w:vAlign w:val="center"/>
          </w:tcPr>
          <w:p w14:paraId="19B230AD"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27.3%</w:t>
            </w:r>
          </w:p>
        </w:tc>
        <w:tc>
          <w:tcPr>
            <w:tcW w:w="312" w:type="pct"/>
            <w:shd w:val="clear" w:color="auto" w:fill="auto"/>
            <w:vAlign w:val="center"/>
          </w:tcPr>
          <w:p w14:paraId="640221C8"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25.2%</w:t>
            </w:r>
          </w:p>
        </w:tc>
        <w:tc>
          <w:tcPr>
            <w:tcW w:w="312" w:type="pct"/>
            <w:shd w:val="clear" w:color="auto" w:fill="auto"/>
            <w:vAlign w:val="center"/>
          </w:tcPr>
          <w:p w14:paraId="40D6D3B1"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23.0%</w:t>
            </w:r>
          </w:p>
        </w:tc>
        <w:tc>
          <w:tcPr>
            <w:tcW w:w="312" w:type="pct"/>
            <w:shd w:val="clear" w:color="auto" w:fill="auto"/>
            <w:vAlign w:val="center"/>
          </w:tcPr>
          <w:p w14:paraId="0C840592"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28.4%</w:t>
            </w:r>
          </w:p>
        </w:tc>
        <w:tc>
          <w:tcPr>
            <w:tcW w:w="310" w:type="pct"/>
            <w:shd w:val="clear" w:color="auto" w:fill="auto"/>
            <w:vAlign w:val="center"/>
          </w:tcPr>
          <w:p w14:paraId="3FD66477"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35.4%</w:t>
            </w:r>
          </w:p>
        </w:tc>
      </w:tr>
      <w:tr w:rsidR="00FB5452" w:rsidRPr="0078056B" w14:paraId="4FBB2407" w14:textId="77777777" w:rsidTr="00C042A1">
        <w:trPr>
          <w:trHeight w:val="283"/>
          <w:jc w:val="center"/>
        </w:trPr>
        <w:tc>
          <w:tcPr>
            <w:tcW w:w="1884" w:type="pct"/>
            <w:vAlign w:val="center"/>
          </w:tcPr>
          <w:p w14:paraId="07BEEB0D" w14:textId="77777777" w:rsidR="00FB5452" w:rsidRPr="0078056B" w:rsidRDefault="00FB5452" w:rsidP="00C042A1">
            <w:pPr>
              <w:pStyle w:val="TableText"/>
              <w:keepNext/>
              <w:rPr>
                <w:sz w:val="18"/>
                <w:szCs w:val="18"/>
              </w:rPr>
            </w:pPr>
            <w:r w:rsidRPr="0078056B">
              <w:rPr>
                <w:rFonts w:asciiTheme="minorHAnsi" w:hAnsiTheme="minorHAnsi"/>
                <w:sz w:val="18"/>
                <w:szCs w:val="18"/>
              </w:rPr>
              <w:t>First degree (vs. Level 3)</w:t>
            </w:r>
            <w:r w:rsidRPr="0078056B">
              <w:rPr>
                <w:rFonts w:asciiTheme="minorHAnsi" w:hAnsiTheme="minorHAnsi"/>
                <w:sz w:val="18"/>
                <w:szCs w:val="18"/>
                <w:vertAlign w:val="superscript"/>
              </w:rPr>
              <w:t>2</w:t>
            </w:r>
          </w:p>
        </w:tc>
        <w:tc>
          <w:tcPr>
            <w:tcW w:w="311" w:type="pct"/>
            <w:shd w:val="clear" w:color="auto" w:fill="auto"/>
            <w:vAlign w:val="center"/>
          </w:tcPr>
          <w:p w14:paraId="424BF457" w14:textId="77777777" w:rsidR="00FB5452" w:rsidRPr="0078056B" w:rsidRDefault="00FB5452" w:rsidP="00C042A1">
            <w:pPr>
              <w:pStyle w:val="TableText"/>
              <w:keepNext/>
              <w:ind w:left="0"/>
              <w:jc w:val="center"/>
              <w:rPr>
                <w:rFonts w:asciiTheme="minorHAnsi" w:hAnsiTheme="minorHAnsi" w:cstheme="minorHAnsi"/>
                <w:szCs w:val="20"/>
              </w:rPr>
            </w:pPr>
          </w:p>
        </w:tc>
        <w:tc>
          <w:tcPr>
            <w:tcW w:w="311" w:type="pct"/>
            <w:shd w:val="clear" w:color="auto" w:fill="auto"/>
            <w:vAlign w:val="center"/>
          </w:tcPr>
          <w:p w14:paraId="76E9844B"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7.9%</w:t>
            </w:r>
          </w:p>
        </w:tc>
        <w:tc>
          <w:tcPr>
            <w:tcW w:w="312" w:type="pct"/>
            <w:shd w:val="clear" w:color="auto" w:fill="auto"/>
            <w:vAlign w:val="center"/>
          </w:tcPr>
          <w:p w14:paraId="77853784"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15.4%</w:t>
            </w:r>
          </w:p>
        </w:tc>
        <w:tc>
          <w:tcPr>
            <w:tcW w:w="312" w:type="pct"/>
            <w:shd w:val="clear" w:color="auto" w:fill="auto"/>
            <w:vAlign w:val="center"/>
          </w:tcPr>
          <w:p w14:paraId="4CAFAFF9"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25.2%</w:t>
            </w:r>
          </w:p>
        </w:tc>
        <w:tc>
          <w:tcPr>
            <w:tcW w:w="312" w:type="pct"/>
            <w:shd w:val="clear" w:color="auto" w:fill="auto"/>
            <w:vAlign w:val="center"/>
          </w:tcPr>
          <w:p w14:paraId="0AFEC864"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26.6%</w:t>
            </w:r>
          </w:p>
        </w:tc>
        <w:tc>
          <w:tcPr>
            <w:tcW w:w="312" w:type="pct"/>
            <w:shd w:val="clear" w:color="auto" w:fill="auto"/>
            <w:vAlign w:val="center"/>
          </w:tcPr>
          <w:p w14:paraId="6B5A4B23"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30.9%</w:t>
            </w:r>
          </w:p>
        </w:tc>
        <w:tc>
          <w:tcPr>
            <w:tcW w:w="312" w:type="pct"/>
            <w:shd w:val="clear" w:color="auto" w:fill="auto"/>
            <w:vAlign w:val="center"/>
          </w:tcPr>
          <w:p w14:paraId="0201815E"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27.3%</w:t>
            </w:r>
          </w:p>
        </w:tc>
        <w:tc>
          <w:tcPr>
            <w:tcW w:w="312" w:type="pct"/>
            <w:shd w:val="clear" w:color="auto" w:fill="auto"/>
            <w:vAlign w:val="center"/>
          </w:tcPr>
          <w:p w14:paraId="0ECCAC2C"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29.8%</w:t>
            </w:r>
          </w:p>
        </w:tc>
        <w:tc>
          <w:tcPr>
            <w:tcW w:w="312" w:type="pct"/>
            <w:shd w:val="clear" w:color="auto" w:fill="auto"/>
            <w:vAlign w:val="center"/>
          </w:tcPr>
          <w:p w14:paraId="5CF5D03A"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37.0%</w:t>
            </w:r>
          </w:p>
        </w:tc>
        <w:tc>
          <w:tcPr>
            <w:tcW w:w="310" w:type="pct"/>
            <w:shd w:val="clear" w:color="auto" w:fill="auto"/>
            <w:vAlign w:val="center"/>
          </w:tcPr>
          <w:p w14:paraId="5D423369"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29.3%</w:t>
            </w:r>
          </w:p>
        </w:tc>
      </w:tr>
      <w:tr w:rsidR="00FB5452" w:rsidRPr="0078056B" w14:paraId="4714107D" w14:textId="77777777" w:rsidTr="00C042A1">
        <w:trPr>
          <w:trHeight w:val="283"/>
          <w:jc w:val="center"/>
        </w:trPr>
        <w:tc>
          <w:tcPr>
            <w:tcW w:w="1884" w:type="pct"/>
            <w:vAlign w:val="center"/>
          </w:tcPr>
          <w:p w14:paraId="5961F510" w14:textId="77777777" w:rsidR="00FB5452" w:rsidRPr="0078056B" w:rsidRDefault="00FB5452" w:rsidP="00C042A1">
            <w:pPr>
              <w:pStyle w:val="TableText"/>
              <w:keepNext/>
              <w:rPr>
                <w:sz w:val="18"/>
                <w:szCs w:val="18"/>
              </w:rPr>
            </w:pPr>
            <w:r w:rsidRPr="0078056B">
              <w:rPr>
                <w:rFonts w:asciiTheme="minorHAnsi" w:hAnsiTheme="minorHAnsi"/>
                <w:sz w:val="18"/>
                <w:szCs w:val="18"/>
              </w:rPr>
              <w:t>Other postgraduate (vs. first degrees)</w:t>
            </w:r>
            <w:r w:rsidRPr="0078056B">
              <w:rPr>
                <w:rFonts w:asciiTheme="minorHAnsi" w:hAnsiTheme="minorHAnsi"/>
                <w:sz w:val="18"/>
                <w:szCs w:val="18"/>
                <w:vertAlign w:val="superscript"/>
              </w:rPr>
              <w:t>3</w:t>
            </w:r>
          </w:p>
        </w:tc>
        <w:tc>
          <w:tcPr>
            <w:tcW w:w="311" w:type="pct"/>
            <w:shd w:val="clear" w:color="auto" w:fill="auto"/>
            <w:vAlign w:val="center"/>
          </w:tcPr>
          <w:p w14:paraId="1E033C75" w14:textId="77777777" w:rsidR="00FB5452" w:rsidRPr="0078056B" w:rsidRDefault="00FB5452" w:rsidP="00C042A1">
            <w:pPr>
              <w:pStyle w:val="TableText"/>
              <w:keepNext/>
              <w:ind w:left="0"/>
              <w:jc w:val="center"/>
              <w:rPr>
                <w:rFonts w:asciiTheme="minorHAnsi" w:hAnsiTheme="minorHAnsi" w:cstheme="minorHAnsi"/>
                <w:szCs w:val="20"/>
              </w:rPr>
            </w:pPr>
          </w:p>
        </w:tc>
        <w:tc>
          <w:tcPr>
            <w:tcW w:w="311" w:type="pct"/>
            <w:shd w:val="clear" w:color="auto" w:fill="auto"/>
            <w:vAlign w:val="center"/>
          </w:tcPr>
          <w:p w14:paraId="7D331F94"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8.2%</w:t>
            </w:r>
          </w:p>
        </w:tc>
        <w:tc>
          <w:tcPr>
            <w:tcW w:w="312" w:type="pct"/>
            <w:shd w:val="clear" w:color="auto" w:fill="auto"/>
            <w:vAlign w:val="center"/>
          </w:tcPr>
          <w:p w14:paraId="2D4F711F"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8.5%</w:t>
            </w:r>
          </w:p>
        </w:tc>
        <w:tc>
          <w:tcPr>
            <w:tcW w:w="312" w:type="pct"/>
            <w:shd w:val="clear" w:color="auto" w:fill="auto"/>
            <w:vAlign w:val="center"/>
          </w:tcPr>
          <w:p w14:paraId="5BB36B95"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6.1%</w:t>
            </w:r>
          </w:p>
        </w:tc>
        <w:tc>
          <w:tcPr>
            <w:tcW w:w="312" w:type="pct"/>
            <w:shd w:val="clear" w:color="auto" w:fill="auto"/>
            <w:vAlign w:val="center"/>
          </w:tcPr>
          <w:p w14:paraId="0D330B3F" w14:textId="77777777" w:rsidR="00FB5452" w:rsidRPr="0078056B" w:rsidRDefault="00FB5452" w:rsidP="00C042A1">
            <w:pPr>
              <w:pStyle w:val="TableText"/>
              <w:keepNext/>
              <w:ind w:left="0"/>
              <w:jc w:val="center"/>
              <w:rPr>
                <w:rFonts w:asciiTheme="minorHAnsi" w:hAnsiTheme="minorHAnsi" w:cstheme="minorHAnsi"/>
                <w:sz w:val="18"/>
                <w:szCs w:val="18"/>
              </w:rPr>
            </w:pPr>
          </w:p>
        </w:tc>
        <w:tc>
          <w:tcPr>
            <w:tcW w:w="312" w:type="pct"/>
            <w:shd w:val="clear" w:color="auto" w:fill="auto"/>
            <w:vAlign w:val="center"/>
          </w:tcPr>
          <w:p w14:paraId="7A433ABD" w14:textId="77777777" w:rsidR="00FB5452" w:rsidRPr="0078056B" w:rsidRDefault="00FB5452" w:rsidP="00C042A1">
            <w:pPr>
              <w:pStyle w:val="TableText"/>
              <w:keepNext/>
              <w:ind w:left="0"/>
              <w:jc w:val="center"/>
              <w:rPr>
                <w:rFonts w:asciiTheme="minorHAnsi" w:hAnsiTheme="minorHAnsi" w:cstheme="minorHAnsi"/>
                <w:sz w:val="18"/>
                <w:szCs w:val="18"/>
              </w:rPr>
            </w:pPr>
          </w:p>
        </w:tc>
        <w:tc>
          <w:tcPr>
            <w:tcW w:w="312" w:type="pct"/>
            <w:shd w:val="clear" w:color="auto" w:fill="auto"/>
            <w:vAlign w:val="center"/>
          </w:tcPr>
          <w:p w14:paraId="0031501D"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7.5%</w:t>
            </w:r>
          </w:p>
        </w:tc>
        <w:tc>
          <w:tcPr>
            <w:tcW w:w="312" w:type="pct"/>
            <w:shd w:val="clear" w:color="auto" w:fill="auto"/>
            <w:vAlign w:val="center"/>
          </w:tcPr>
          <w:p w14:paraId="7EDB07ED" w14:textId="77777777" w:rsidR="00FB5452" w:rsidRPr="0078056B" w:rsidRDefault="00FB5452" w:rsidP="00C042A1">
            <w:pPr>
              <w:pStyle w:val="TableText"/>
              <w:keepNext/>
              <w:ind w:left="0"/>
              <w:jc w:val="center"/>
              <w:rPr>
                <w:rFonts w:asciiTheme="minorHAnsi" w:hAnsiTheme="minorHAnsi" w:cstheme="minorHAnsi"/>
                <w:sz w:val="18"/>
                <w:szCs w:val="18"/>
              </w:rPr>
            </w:pPr>
          </w:p>
        </w:tc>
        <w:tc>
          <w:tcPr>
            <w:tcW w:w="312" w:type="pct"/>
            <w:shd w:val="clear" w:color="auto" w:fill="auto"/>
            <w:vAlign w:val="center"/>
          </w:tcPr>
          <w:p w14:paraId="33CC136C" w14:textId="77777777" w:rsidR="00FB5452" w:rsidRPr="0078056B" w:rsidRDefault="00FB5452" w:rsidP="00C042A1">
            <w:pPr>
              <w:pStyle w:val="TableText"/>
              <w:keepNext/>
              <w:ind w:left="0"/>
              <w:jc w:val="center"/>
              <w:rPr>
                <w:rFonts w:asciiTheme="minorHAnsi" w:hAnsiTheme="minorHAnsi" w:cstheme="minorHAnsi"/>
                <w:sz w:val="18"/>
                <w:szCs w:val="18"/>
              </w:rPr>
            </w:pPr>
          </w:p>
        </w:tc>
        <w:tc>
          <w:tcPr>
            <w:tcW w:w="310" w:type="pct"/>
            <w:shd w:val="clear" w:color="auto" w:fill="auto"/>
            <w:vAlign w:val="center"/>
          </w:tcPr>
          <w:p w14:paraId="3711F5EB" w14:textId="77777777" w:rsidR="00FB5452" w:rsidRPr="0078056B" w:rsidRDefault="00FB5452" w:rsidP="00C042A1">
            <w:pPr>
              <w:pStyle w:val="TableText"/>
              <w:keepNext/>
              <w:ind w:left="0"/>
              <w:jc w:val="center"/>
              <w:rPr>
                <w:rFonts w:asciiTheme="minorHAnsi" w:hAnsiTheme="minorHAnsi" w:cstheme="minorHAnsi"/>
                <w:sz w:val="18"/>
                <w:szCs w:val="18"/>
              </w:rPr>
            </w:pPr>
          </w:p>
        </w:tc>
      </w:tr>
      <w:tr w:rsidR="00FB5452" w:rsidRPr="0078056B" w14:paraId="45F93409" w14:textId="77777777" w:rsidTr="00C042A1">
        <w:trPr>
          <w:trHeight w:val="283"/>
          <w:jc w:val="center"/>
        </w:trPr>
        <w:tc>
          <w:tcPr>
            <w:tcW w:w="1884" w:type="pct"/>
            <w:vAlign w:val="center"/>
          </w:tcPr>
          <w:p w14:paraId="67C95643" w14:textId="77777777" w:rsidR="00FB5452" w:rsidRPr="0078056B" w:rsidRDefault="00FB5452" w:rsidP="00C042A1">
            <w:pPr>
              <w:pStyle w:val="TableText"/>
              <w:keepNext/>
              <w:rPr>
                <w:sz w:val="18"/>
                <w:szCs w:val="18"/>
              </w:rPr>
            </w:pPr>
            <w:r w:rsidRPr="0078056B">
              <w:rPr>
                <w:rFonts w:asciiTheme="minorHAnsi" w:hAnsiTheme="minorHAnsi"/>
                <w:sz w:val="18"/>
                <w:szCs w:val="18"/>
              </w:rPr>
              <w:t>Higher degree (taught) (vs. first degrees)</w:t>
            </w:r>
            <w:r w:rsidRPr="0078056B">
              <w:rPr>
                <w:rFonts w:asciiTheme="minorHAnsi" w:hAnsiTheme="minorHAnsi"/>
                <w:sz w:val="18"/>
                <w:szCs w:val="18"/>
                <w:vertAlign w:val="superscript"/>
              </w:rPr>
              <w:t>3</w:t>
            </w:r>
          </w:p>
        </w:tc>
        <w:tc>
          <w:tcPr>
            <w:tcW w:w="311" w:type="pct"/>
            <w:shd w:val="clear" w:color="auto" w:fill="auto"/>
            <w:vAlign w:val="center"/>
          </w:tcPr>
          <w:p w14:paraId="31FF33CA" w14:textId="77777777" w:rsidR="00FB5452" w:rsidRPr="0078056B" w:rsidRDefault="00FB5452" w:rsidP="00C042A1">
            <w:pPr>
              <w:pStyle w:val="TableText"/>
              <w:keepNext/>
              <w:ind w:left="0"/>
              <w:jc w:val="center"/>
              <w:rPr>
                <w:rFonts w:asciiTheme="minorHAnsi" w:hAnsiTheme="minorHAnsi" w:cstheme="minorHAnsi"/>
                <w:szCs w:val="20"/>
              </w:rPr>
            </w:pPr>
          </w:p>
        </w:tc>
        <w:tc>
          <w:tcPr>
            <w:tcW w:w="311" w:type="pct"/>
            <w:shd w:val="clear" w:color="auto" w:fill="auto"/>
            <w:vAlign w:val="center"/>
          </w:tcPr>
          <w:p w14:paraId="267291FE" w14:textId="77777777" w:rsidR="00FB5452" w:rsidRPr="0078056B" w:rsidRDefault="00FB5452" w:rsidP="00C042A1">
            <w:pPr>
              <w:pStyle w:val="TableText"/>
              <w:keepNext/>
              <w:ind w:left="0"/>
              <w:jc w:val="center"/>
              <w:rPr>
                <w:rFonts w:asciiTheme="minorHAnsi" w:hAnsiTheme="minorHAnsi" w:cstheme="minorHAnsi"/>
                <w:color w:val="FF0000"/>
                <w:sz w:val="18"/>
                <w:szCs w:val="18"/>
              </w:rPr>
            </w:pPr>
            <w:r w:rsidRPr="0078056B">
              <w:rPr>
                <w:rFonts w:asciiTheme="minorHAnsi" w:hAnsiTheme="minorHAnsi" w:cstheme="minorHAnsi"/>
                <w:sz w:val="18"/>
                <w:szCs w:val="18"/>
              </w:rPr>
              <w:t>6.7%</w:t>
            </w:r>
          </w:p>
        </w:tc>
        <w:tc>
          <w:tcPr>
            <w:tcW w:w="312" w:type="pct"/>
            <w:shd w:val="clear" w:color="auto" w:fill="auto"/>
            <w:vAlign w:val="center"/>
          </w:tcPr>
          <w:p w14:paraId="14578D4D" w14:textId="77777777" w:rsidR="00FB5452" w:rsidRPr="0078056B" w:rsidRDefault="00FB5452" w:rsidP="00C042A1">
            <w:pPr>
              <w:pStyle w:val="TableText"/>
              <w:keepNext/>
              <w:ind w:left="0"/>
              <w:jc w:val="center"/>
              <w:rPr>
                <w:rFonts w:asciiTheme="minorHAnsi" w:hAnsiTheme="minorHAnsi" w:cstheme="minorHAnsi"/>
                <w:color w:val="FF0000"/>
                <w:sz w:val="18"/>
                <w:szCs w:val="18"/>
              </w:rPr>
            </w:pPr>
            <w:r w:rsidRPr="0078056B">
              <w:rPr>
                <w:rFonts w:asciiTheme="minorHAnsi" w:hAnsiTheme="minorHAnsi" w:cstheme="minorHAnsi"/>
                <w:sz w:val="18"/>
                <w:szCs w:val="18"/>
              </w:rPr>
              <w:t>8.9%</w:t>
            </w:r>
          </w:p>
        </w:tc>
        <w:tc>
          <w:tcPr>
            <w:tcW w:w="312" w:type="pct"/>
            <w:shd w:val="clear" w:color="auto" w:fill="auto"/>
            <w:vAlign w:val="center"/>
          </w:tcPr>
          <w:p w14:paraId="7DD47625"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8.3%</w:t>
            </w:r>
          </w:p>
        </w:tc>
        <w:tc>
          <w:tcPr>
            <w:tcW w:w="312" w:type="pct"/>
            <w:shd w:val="clear" w:color="auto" w:fill="auto"/>
            <w:vAlign w:val="center"/>
          </w:tcPr>
          <w:p w14:paraId="5AC56BF7"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9.0%</w:t>
            </w:r>
          </w:p>
        </w:tc>
        <w:tc>
          <w:tcPr>
            <w:tcW w:w="312" w:type="pct"/>
            <w:shd w:val="clear" w:color="auto" w:fill="auto"/>
            <w:vAlign w:val="center"/>
          </w:tcPr>
          <w:p w14:paraId="62CBCCC1"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13.1%</w:t>
            </w:r>
          </w:p>
        </w:tc>
        <w:tc>
          <w:tcPr>
            <w:tcW w:w="312" w:type="pct"/>
            <w:shd w:val="clear" w:color="auto" w:fill="auto"/>
            <w:vAlign w:val="center"/>
          </w:tcPr>
          <w:p w14:paraId="3F7AE2C7"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312" w:type="pct"/>
            <w:shd w:val="clear" w:color="auto" w:fill="auto"/>
            <w:vAlign w:val="center"/>
          </w:tcPr>
          <w:p w14:paraId="685ABDE3"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13.8%</w:t>
            </w:r>
          </w:p>
        </w:tc>
        <w:tc>
          <w:tcPr>
            <w:tcW w:w="312" w:type="pct"/>
            <w:shd w:val="clear" w:color="auto" w:fill="auto"/>
            <w:vAlign w:val="center"/>
          </w:tcPr>
          <w:p w14:paraId="7C33A63F"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14.8%</w:t>
            </w:r>
          </w:p>
        </w:tc>
        <w:tc>
          <w:tcPr>
            <w:tcW w:w="310" w:type="pct"/>
            <w:shd w:val="clear" w:color="auto" w:fill="auto"/>
            <w:vAlign w:val="center"/>
          </w:tcPr>
          <w:p w14:paraId="647DB798"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19.5%</w:t>
            </w:r>
          </w:p>
        </w:tc>
      </w:tr>
      <w:tr w:rsidR="00FB5452" w:rsidRPr="0078056B" w14:paraId="37F5361A" w14:textId="77777777" w:rsidTr="00C042A1">
        <w:trPr>
          <w:trHeight w:val="283"/>
          <w:jc w:val="center"/>
        </w:trPr>
        <w:tc>
          <w:tcPr>
            <w:tcW w:w="1884" w:type="pct"/>
            <w:tcBorders>
              <w:bottom w:val="single" w:sz="4" w:space="0" w:color="BFBFBF"/>
            </w:tcBorders>
            <w:vAlign w:val="center"/>
          </w:tcPr>
          <w:p w14:paraId="044E13BE" w14:textId="77777777" w:rsidR="00FB5452" w:rsidRPr="0078056B" w:rsidRDefault="00FB5452" w:rsidP="00C042A1">
            <w:pPr>
              <w:pStyle w:val="TableText"/>
              <w:keepNext/>
              <w:rPr>
                <w:sz w:val="18"/>
                <w:szCs w:val="18"/>
              </w:rPr>
            </w:pPr>
            <w:r w:rsidRPr="0078056B">
              <w:rPr>
                <w:rFonts w:asciiTheme="minorHAnsi" w:hAnsiTheme="minorHAnsi"/>
                <w:sz w:val="18"/>
                <w:szCs w:val="18"/>
              </w:rPr>
              <w:t>Higher degree (research) (vs. first degrees)</w:t>
            </w:r>
            <w:r w:rsidRPr="0078056B">
              <w:rPr>
                <w:rFonts w:asciiTheme="minorHAnsi" w:hAnsiTheme="minorHAnsi"/>
                <w:sz w:val="18"/>
                <w:szCs w:val="18"/>
                <w:vertAlign w:val="superscript"/>
              </w:rPr>
              <w:t>3</w:t>
            </w:r>
          </w:p>
        </w:tc>
        <w:tc>
          <w:tcPr>
            <w:tcW w:w="311" w:type="pct"/>
            <w:tcBorders>
              <w:bottom w:val="single" w:sz="4" w:space="0" w:color="BFBFBF"/>
            </w:tcBorders>
            <w:shd w:val="clear" w:color="auto" w:fill="auto"/>
            <w:vAlign w:val="center"/>
          </w:tcPr>
          <w:p w14:paraId="425804AA" w14:textId="77777777" w:rsidR="00FB5452" w:rsidRPr="0078056B" w:rsidRDefault="00FB5452" w:rsidP="00C042A1">
            <w:pPr>
              <w:pStyle w:val="TableText"/>
              <w:keepNext/>
              <w:ind w:left="0"/>
              <w:jc w:val="center"/>
              <w:rPr>
                <w:rFonts w:asciiTheme="minorHAnsi" w:hAnsiTheme="minorHAnsi" w:cstheme="minorHAnsi"/>
                <w:szCs w:val="20"/>
              </w:rPr>
            </w:pPr>
          </w:p>
        </w:tc>
        <w:tc>
          <w:tcPr>
            <w:tcW w:w="311" w:type="pct"/>
            <w:tcBorders>
              <w:bottom w:val="single" w:sz="4" w:space="0" w:color="BFBFBF"/>
            </w:tcBorders>
            <w:shd w:val="clear" w:color="auto" w:fill="auto"/>
            <w:vAlign w:val="center"/>
          </w:tcPr>
          <w:p w14:paraId="45B7C0C7"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30.9%</w:t>
            </w:r>
          </w:p>
        </w:tc>
        <w:tc>
          <w:tcPr>
            <w:tcW w:w="312" w:type="pct"/>
            <w:tcBorders>
              <w:bottom w:val="single" w:sz="4" w:space="0" w:color="BFBFBF"/>
            </w:tcBorders>
            <w:shd w:val="clear" w:color="auto" w:fill="auto"/>
            <w:vAlign w:val="center"/>
          </w:tcPr>
          <w:p w14:paraId="356B7606"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9.3%</w:t>
            </w:r>
          </w:p>
        </w:tc>
        <w:tc>
          <w:tcPr>
            <w:tcW w:w="312" w:type="pct"/>
            <w:tcBorders>
              <w:bottom w:val="single" w:sz="4" w:space="0" w:color="BFBFBF"/>
            </w:tcBorders>
            <w:shd w:val="clear" w:color="auto" w:fill="auto"/>
            <w:vAlign w:val="center"/>
          </w:tcPr>
          <w:p w14:paraId="769B94F3"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16.8%</w:t>
            </w:r>
          </w:p>
        </w:tc>
        <w:tc>
          <w:tcPr>
            <w:tcW w:w="312" w:type="pct"/>
            <w:tcBorders>
              <w:bottom w:val="single" w:sz="4" w:space="0" w:color="BFBFBF"/>
            </w:tcBorders>
            <w:shd w:val="clear" w:color="auto" w:fill="auto"/>
            <w:vAlign w:val="center"/>
          </w:tcPr>
          <w:p w14:paraId="49AE2723"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15.4%</w:t>
            </w:r>
          </w:p>
        </w:tc>
        <w:tc>
          <w:tcPr>
            <w:tcW w:w="312" w:type="pct"/>
            <w:tcBorders>
              <w:bottom w:val="single" w:sz="4" w:space="0" w:color="BFBFBF"/>
            </w:tcBorders>
            <w:shd w:val="clear" w:color="auto" w:fill="auto"/>
            <w:vAlign w:val="center"/>
          </w:tcPr>
          <w:p w14:paraId="3920431B"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22.9%</w:t>
            </w:r>
          </w:p>
        </w:tc>
        <w:tc>
          <w:tcPr>
            <w:tcW w:w="312" w:type="pct"/>
            <w:tcBorders>
              <w:bottom w:val="single" w:sz="4" w:space="0" w:color="BFBFBF"/>
            </w:tcBorders>
            <w:shd w:val="clear" w:color="auto" w:fill="auto"/>
            <w:vAlign w:val="center"/>
          </w:tcPr>
          <w:p w14:paraId="25BB3109"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34.2%</w:t>
            </w:r>
          </w:p>
        </w:tc>
        <w:tc>
          <w:tcPr>
            <w:tcW w:w="312" w:type="pct"/>
            <w:tcBorders>
              <w:bottom w:val="single" w:sz="4" w:space="0" w:color="BFBFBF"/>
            </w:tcBorders>
            <w:shd w:val="clear" w:color="auto" w:fill="auto"/>
            <w:vAlign w:val="center"/>
          </w:tcPr>
          <w:p w14:paraId="1954F206"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32.0%</w:t>
            </w:r>
          </w:p>
        </w:tc>
        <w:tc>
          <w:tcPr>
            <w:tcW w:w="312" w:type="pct"/>
            <w:tcBorders>
              <w:bottom w:val="single" w:sz="4" w:space="0" w:color="BFBFBF"/>
            </w:tcBorders>
            <w:shd w:val="clear" w:color="auto" w:fill="auto"/>
            <w:vAlign w:val="center"/>
          </w:tcPr>
          <w:p w14:paraId="6AD59C28"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20.1%</w:t>
            </w:r>
          </w:p>
        </w:tc>
        <w:tc>
          <w:tcPr>
            <w:tcW w:w="310" w:type="pct"/>
            <w:tcBorders>
              <w:bottom w:val="single" w:sz="4" w:space="0" w:color="BFBFBF"/>
            </w:tcBorders>
            <w:shd w:val="clear" w:color="auto" w:fill="auto"/>
            <w:vAlign w:val="center"/>
          </w:tcPr>
          <w:p w14:paraId="1FD48B6A"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52.8%</w:t>
            </w:r>
          </w:p>
        </w:tc>
      </w:tr>
      <w:tr w:rsidR="00FB5452" w:rsidRPr="0078056B" w14:paraId="3696D961" w14:textId="77777777" w:rsidTr="00C042A1">
        <w:trPr>
          <w:trHeight w:val="283"/>
          <w:jc w:val="center"/>
        </w:trPr>
        <w:tc>
          <w:tcPr>
            <w:tcW w:w="1884" w:type="pct"/>
            <w:tcBorders>
              <w:right w:val="nil"/>
            </w:tcBorders>
            <w:shd w:val="clear" w:color="auto" w:fill="06357A" w:themeFill="accent1"/>
            <w:vAlign w:val="center"/>
          </w:tcPr>
          <w:p w14:paraId="5529600E" w14:textId="77777777" w:rsidR="00FB5452" w:rsidRPr="0078056B" w:rsidRDefault="00FB5452" w:rsidP="00C042A1">
            <w:pPr>
              <w:pStyle w:val="TableText"/>
              <w:keepNext/>
              <w:rPr>
                <w:color w:val="FFFFFF" w:themeColor="background1"/>
                <w:sz w:val="18"/>
                <w:szCs w:val="18"/>
              </w:rPr>
            </w:pPr>
            <w:r w:rsidRPr="0078056B">
              <w:rPr>
                <w:b/>
                <w:color w:val="FFFFFF" w:themeColor="background1"/>
                <w:sz w:val="18"/>
                <w:szCs w:val="18"/>
              </w:rPr>
              <w:t>Women</w:t>
            </w:r>
          </w:p>
        </w:tc>
        <w:tc>
          <w:tcPr>
            <w:tcW w:w="311" w:type="pct"/>
            <w:tcBorders>
              <w:left w:val="nil"/>
              <w:right w:val="nil"/>
            </w:tcBorders>
            <w:shd w:val="clear" w:color="auto" w:fill="06357A" w:themeFill="accent1"/>
            <w:vAlign w:val="center"/>
          </w:tcPr>
          <w:p w14:paraId="2F56E668" w14:textId="77777777" w:rsidR="00FB5452" w:rsidRPr="0078056B" w:rsidRDefault="00FB5452" w:rsidP="00C042A1">
            <w:pPr>
              <w:pStyle w:val="TableText"/>
              <w:keepNext/>
              <w:ind w:left="0"/>
              <w:jc w:val="center"/>
              <w:rPr>
                <w:color w:val="FFFFFF" w:themeColor="background1"/>
                <w:sz w:val="18"/>
                <w:szCs w:val="18"/>
              </w:rPr>
            </w:pPr>
          </w:p>
        </w:tc>
        <w:tc>
          <w:tcPr>
            <w:tcW w:w="311" w:type="pct"/>
            <w:tcBorders>
              <w:left w:val="nil"/>
              <w:right w:val="nil"/>
            </w:tcBorders>
            <w:shd w:val="clear" w:color="auto" w:fill="06357A" w:themeFill="accent1"/>
            <w:vAlign w:val="center"/>
          </w:tcPr>
          <w:p w14:paraId="33D1FE25" w14:textId="77777777" w:rsidR="00FB5452" w:rsidRPr="0078056B" w:rsidRDefault="00FB5452" w:rsidP="00C042A1">
            <w:pPr>
              <w:pStyle w:val="TableText"/>
              <w:keepNext/>
              <w:ind w:left="0"/>
              <w:jc w:val="center"/>
              <w:rPr>
                <w:color w:val="FFFFFF" w:themeColor="background1"/>
                <w:sz w:val="18"/>
                <w:szCs w:val="18"/>
              </w:rPr>
            </w:pPr>
          </w:p>
        </w:tc>
        <w:tc>
          <w:tcPr>
            <w:tcW w:w="312" w:type="pct"/>
            <w:tcBorders>
              <w:left w:val="nil"/>
              <w:right w:val="nil"/>
            </w:tcBorders>
            <w:shd w:val="clear" w:color="auto" w:fill="06357A" w:themeFill="accent1"/>
            <w:vAlign w:val="center"/>
          </w:tcPr>
          <w:p w14:paraId="1A0FAD88" w14:textId="77777777" w:rsidR="00FB5452" w:rsidRPr="0078056B" w:rsidRDefault="00FB5452" w:rsidP="00C042A1">
            <w:pPr>
              <w:pStyle w:val="TableText"/>
              <w:keepNext/>
              <w:ind w:left="0"/>
              <w:jc w:val="center"/>
              <w:rPr>
                <w:color w:val="FFFFFF" w:themeColor="background1"/>
                <w:sz w:val="18"/>
                <w:szCs w:val="18"/>
              </w:rPr>
            </w:pPr>
          </w:p>
        </w:tc>
        <w:tc>
          <w:tcPr>
            <w:tcW w:w="312" w:type="pct"/>
            <w:tcBorders>
              <w:left w:val="nil"/>
              <w:right w:val="nil"/>
            </w:tcBorders>
            <w:shd w:val="clear" w:color="auto" w:fill="06357A" w:themeFill="accent1"/>
            <w:vAlign w:val="center"/>
          </w:tcPr>
          <w:p w14:paraId="6680F6F2" w14:textId="77777777" w:rsidR="00FB5452" w:rsidRPr="0078056B" w:rsidRDefault="00FB5452" w:rsidP="00C042A1">
            <w:pPr>
              <w:pStyle w:val="TableText"/>
              <w:keepNext/>
              <w:ind w:left="0"/>
              <w:jc w:val="center"/>
              <w:rPr>
                <w:color w:val="FFFFFF" w:themeColor="background1"/>
                <w:sz w:val="18"/>
                <w:szCs w:val="18"/>
              </w:rPr>
            </w:pPr>
          </w:p>
        </w:tc>
        <w:tc>
          <w:tcPr>
            <w:tcW w:w="312" w:type="pct"/>
            <w:tcBorders>
              <w:left w:val="nil"/>
              <w:right w:val="nil"/>
            </w:tcBorders>
            <w:shd w:val="clear" w:color="auto" w:fill="06357A" w:themeFill="accent1"/>
            <w:vAlign w:val="center"/>
          </w:tcPr>
          <w:p w14:paraId="7C8E991F" w14:textId="77777777" w:rsidR="00FB5452" w:rsidRPr="0078056B" w:rsidRDefault="00FB5452" w:rsidP="00C042A1">
            <w:pPr>
              <w:pStyle w:val="TableText"/>
              <w:keepNext/>
              <w:ind w:left="0"/>
              <w:jc w:val="center"/>
              <w:rPr>
                <w:color w:val="FFFFFF" w:themeColor="background1"/>
                <w:sz w:val="18"/>
                <w:szCs w:val="18"/>
              </w:rPr>
            </w:pPr>
          </w:p>
        </w:tc>
        <w:tc>
          <w:tcPr>
            <w:tcW w:w="312" w:type="pct"/>
            <w:tcBorders>
              <w:left w:val="nil"/>
              <w:right w:val="nil"/>
            </w:tcBorders>
            <w:shd w:val="clear" w:color="auto" w:fill="06357A" w:themeFill="accent1"/>
            <w:vAlign w:val="center"/>
          </w:tcPr>
          <w:p w14:paraId="05953A18" w14:textId="77777777" w:rsidR="00FB5452" w:rsidRPr="0078056B" w:rsidRDefault="00FB5452" w:rsidP="00C042A1">
            <w:pPr>
              <w:pStyle w:val="TableText"/>
              <w:keepNext/>
              <w:ind w:left="0"/>
              <w:jc w:val="center"/>
              <w:rPr>
                <w:color w:val="FFFFFF" w:themeColor="background1"/>
                <w:sz w:val="18"/>
                <w:szCs w:val="18"/>
              </w:rPr>
            </w:pPr>
          </w:p>
        </w:tc>
        <w:tc>
          <w:tcPr>
            <w:tcW w:w="312" w:type="pct"/>
            <w:tcBorders>
              <w:left w:val="nil"/>
              <w:right w:val="nil"/>
            </w:tcBorders>
            <w:shd w:val="clear" w:color="auto" w:fill="06357A" w:themeFill="accent1"/>
            <w:vAlign w:val="center"/>
          </w:tcPr>
          <w:p w14:paraId="48E259B3" w14:textId="77777777" w:rsidR="00FB5452" w:rsidRPr="0078056B" w:rsidRDefault="00FB5452" w:rsidP="00C042A1">
            <w:pPr>
              <w:pStyle w:val="TableText"/>
              <w:keepNext/>
              <w:ind w:left="0"/>
              <w:jc w:val="center"/>
              <w:rPr>
                <w:color w:val="FFFFFF" w:themeColor="background1"/>
                <w:sz w:val="18"/>
                <w:szCs w:val="18"/>
              </w:rPr>
            </w:pPr>
          </w:p>
        </w:tc>
        <w:tc>
          <w:tcPr>
            <w:tcW w:w="312" w:type="pct"/>
            <w:tcBorders>
              <w:left w:val="nil"/>
              <w:right w:val="nil"/>
            </w:tcBorders>
            <w:shd w:val="clear" w:color="auto" w:fill="06357A" w:themeFill="accent1"/>
            <w:vAlign w:val="center"/>
          </w:tcPr>
          <w:p w14:paraId="2E97FD99" w14:textId="77777777" w:rsidR="00FB5452" w:rsidRPr="0078056B" w:rsidRDefault="00FB5452" w:rsidP="00C042A1">
            <w:pPr>
              <w:pStyle w:val="TableText"/>
              <w:keepNext/>
              <w:ind w:left="0"/>
              <w:jc w:val="center"/>
              <w:rPr>
                <w:color w:val="FFFFFF" w:themeColor="background1"/>
                <w:sz w:val="18"/>
                <w:szCs w:val="18"/>
              </w:rPr>
            </w:pPr>
          </w:p>
        </w:tc>
        <w:tc>
          <w:tcPr>
            <w:tcW w:w="312" w:type="pct"/>
            <w:tcBorders>
              <w:left w:val="nil"/>
              <w:right w:val="nil"/>
            </w:tcBorders>
            <w:shd w:val="clear" w:color="auto" w:fill="06357A" w:themeFill="accent1"/>
            <w:vAlign w:val="center"/>
          </w:tcPr>
          <w:p w14:paraId="17E89AB2" w14:textId="77777777" w:rsidR="00FB5452" w:rsidRPr="0078056B" w:rsidRDefault="00FB5452" w:rsidP="00C042A1">
            <w:pPr>
              <w:pStyle w:val="TableText"/>
              <w:keepNext/>
              <w:ind w:left="0"/>
              <w:jc w:val="center"/>
              <w:rPr>
                <w:color w:val="FFFFFF" w:themeColor="background1"/>
                <w:sz w:val="18"/>
                <w:szCs w:val="18"/>
              </w:rPr>
            </w:pPr>
          </w:p>
        </w:tc>
        <w:tc>
          <w:tcPr>
            <w:tcW w:w="310" w:type="pct"/>
            <w:tcBorders>
              <w:left w:val="nil"/>
            </w:tcBorders>
            <w:shd w:val="clear" w:color="auto" w:fill="06357A" w:themeFill="accent1"/>
            <w:vAlign w:val="center"/>
          </w:tcPr>
          <w:p w14:paraId="51835669" w14:textId="77777777" w:rsidR="00FB5452" w:rsidRPr="0078056B" w:rsidRDefault="00FB5452" w:rsidP="00C042A1">
            <w:pPr>
              <w:pStyle w:val="TableText"/>
              <w:keepNext/>
              <w:ind w:left="0"/>
              <w:jc w:val="center"/>
              <w:rPr>
                <w:color w:val="FFFFFF" w:themeColor="background1"/>
                <w:sz w:val="18"/>
                <w:szCs w:val="18"/>
              </w:rPr>
            </w:pPr>
          </w:p>
        </w:tc>
      </w:tr>
      <w:tr w:rsidR="00FB5452" w:rsidRPr="0078056B" w14:paraId="70B0FF59" w14:textId="77777777" w:rsidTr="00C042A1">
        <w:trPr>
          <w:trHeight w:val="283"/>
          <w:jc w:val="center"/>
        </w:trPr>
        <w:tc>
          <w:tcPr>
            <w:tcW w:w="1884" w:type="pct"/>
            <w:vAlign w:val="center"/>
          </w:tcPr>
          <w:p w14:paraId="541E32E8" w14:textId="77777777" w:rsidR="00FB5452" w:rsidRPr="0078056B" w:rsidRDefault="00FB5452" w:rsidP="00C042A1">
            <w:pPr>
              <w:pStyle w:val="TableText"/>
              <w:keepNext/>
              <w:rPr>
                <w:b/>
                <w:color w:val="0B5ED7" w:themeColor="accent2"/>
                <w:sz w:val="18"/>
                <w:szCs w:val="18"/>
              </w:rPr>
            </w:pPr>
            <w:r w:rsidRPr="0078056B">
              <w:rPr>
                <w:sz w:val="18"/>
                <w:szCs w:val="18"/>
              </w:rPr>
              <w:t>Level 3 (vs. 5+GCSEs)</w:t>
            </w:r>
            <w:r w:rsidRPr="0078056B">
              <w:rPr>
                <w:rFonts w:asciiTheme="minorHAnsi" w:hAnsiTheme="minorHAnsi"/>
                <w:sz w:val="18"/>
                <w:szCs w:val="18"/>
                <w:vertAlign w:val="superscript"/>
              </w:rPr>
              <w:t>1</w:t>
            </w:r>
          </w:p>
        </w:tc>
        <w:tc>
          <w:tcPr>
            <w:tcW w:w="311" w:type="pct"/>
            <w:shd w:val="clear" w:color="auto" w:fill="auto"/>
            <w:vAlign w:val="center"/>
          </w:tcPr>
          <w:p w14:paraId="2593D1DD" w14:textId="77777777" w:rsidR="00FB5452" w:rsidRPr="0078056B" w:rsidRDefault="00FB5452" w:rsidP="00C042A1">
            <w:pPr>
              <w:pStyle w:val="TableText"/>
              <w:keepNext/>
              <w:ind w:left="0"/>
              <w:jc w:val="center"/>
              <w:rPr>
                <w:rFonts w:asciiTheme="minorHAnsi" w:hAnsiTheme="minorHAnsi" w:cstheme="minorHAnsi"/>
                <w:sz w:val="18"/>
                <w:szCs w:val="18"/>
              </w:rPr>
            </w:pPr>
          </w:p>
        </w:tc>
        <w:tc>
          <w:tcPr>
            <w:tcW w:w="311" w:type="pct"/>
            <w:shd w:val="clear" w:color="auto" w:fill="auto"/>
            <w:vAlign w:val="center"/>
          </w:tcPr>
          <w:p w14:paraId="32E6CE1F"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2.9%</w:t>
            </w:r>
          </w:p>
        </w:tc>
        <w:tc>
          <w:tcPr>
            <w:tcW w:w="312" w:type="pct"/>
            <w:shd w:val="clear" w:color="auto" w:fill="auto"/>
            <w:vAlign w:val="center"/>
          </w:tcPr>
          <w:p w14:paraId="5B7E5600"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4.9%</w:t>
            </w:r>
          </w:p>
        </w:tc>
        <w:tc>
          <w:tcPr>
            <w:tcW w:w="312" w:type="pct"/>
            <w:shd w:val="clear" w:color="auto" w:fill="auto"/>
            <w:vAlign w:val="center"/>
          </w:tcPr>
          <w:p w14:paraId="18B61691"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4.5%</w:t>
            </w:r>
          </w:p>
        </w:tc>
        <w:tc>
          <w:tcPr>
            <w:tcW w:w="312" w:type="pct"/>
            <w:shd w:val="clear" w:color="auto" w:fill="auto"/>
            <w:vAlign w:val="center"/>
          </w:tcPr>
          <w:p w14:paraId="1C8C86FA"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9.2%</w:t>
            </w:r>
          </w:p>
        </w:tc>
        <w:tc>
          <w:tcPr>
            <w:tcW w:w="312" w:type="pct"/>
            <w:shd w:val="clear" w:color="auto" w:fill="auto"/>
            <w:vAlign w:val="center"/>
          </w:tcPr>
          <w:p w14:paraId="5622F78A"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9.5%</w:t>
            </w:r>
          </w:p>
        </w:tc>
        <w:tc>
          <w:tcPr>
            <w:tcW w:w="312" w:type="pct"/>
            <w:shd w:val="clear" w:color="auto" w:fill="auto"/>
            <w:vAlign w:val="center"/>
          </w:tcPr>
          <w:p w14:paraId="167F575B"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4.7%</w:t>
            </w:r>
          </w:p>
        </w:tc>
        <w:tc>
          <w:tcPr>
            <w:tcW w:w="312" w:type="pct"/>
            <w:shd w:val="clear" w:color="auto" w:fill="auto"/>
            <w:vAlign w:val="center"/>
          </w:tcPr>
          <w:p w14:paraId="2E46F8F4"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6.2%</w:t>
            </w:r>
          </w:p>
        </w:tc>
        <w:tc>
          <w:tcPr>
            <w:tcW w:w="312" w:type="pct"/>
            <w:shd w:val="clear" w:color="auto" w:fill="auto"/>
            <w:vAlign w:val="center"/>
          </w:tcPr>
          <w:p w14:paraId="73C979A3"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6.1%</w:t>
            </w:r>
          </w:p>
        </w:tc>
        <w:tc>
          <w:tcPr>
            <w:tcW w:w="310" w:type="pct"/>
            <w:shd w:val="clear" w:color="auto" w:fill="auto"/>
            <w:vAlign w:val="center"/>
          </w:tcPr>
          <w:p w14:paraId="134C499E"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5.9%</w:t>
            </w:r>
          </w:p>
        </w:tc>
      </w:tr>
      <w:tr w:rsidR="00FB5452" w:rsidRPr="0078056B" w14:paraId="60CAEE3D" w14:textId="77777777" w:rsidTr="00C042A1">
        <w:trPr>
          <w:trHeight w:val="283"/>
          <w:jc w:val="center"/>
        </w:trPr>
        <w:tc>
          <w:tcPr>
            <w:tcW w:w="1884" w:type="pct"/>
            <w:vAlign w:val="center"/>
          </w:tcPr>
          <w:p w14:paraId="5140E813" w14:textId="77777777" w:rsidR="00FB5452" w:rsidRPr="0078056B" w:rsidRDefault="00FB5452" w:rsidP="00C042A1">
            <w:pPr>
              <w:pStyle w:val="TableText"/>
              <w:keepNext/>
              <w:rPr>
                <w:b/>
                <w:color w:val="0B5ED7" w:themeColor="accent2"/>
                <w:sz w:val="18"/>
                <w:szCs w:val="18"/>
              </w:rPr>
            </w:pPr>
            <w:r w:rsidRPr="0078056B">
              <w:rPr>
                <w:rFonts w:asciiTheme="minorHAnsi" w:hAnsiTheme="minorHAnsi"/>
                <w:sz w:val="18"/>
                <w:szCs w:val="18"/>
              </w:rPr>
              <w:t>Other un</w:t>
            </w:r>
            <w:r w:rsidRPr="0078056B">
              <w:rPr>
                <w:sz w:val="18"/>
                <w:szCs w:val="18"/>
              </w:rPr>
              <w:t>dergraduate (vs. Level 3)</w:t>
            </w:r>
            <w:r w:rsidRPr="0078056B">
              <w:rPr>
                <w:rFonts w:asciiTheme="minorHAnsi" w:hAnsiTheme="minorHAnsi"/>
                <w:sz w:val="18"/>
                <w:szCs w:val="18"/>
                <w:vertAlign w:val="superscript"/>
              </w:rPr>
              <w:t>2</w:t>
            </w:r>
          </w:p>
        </w:tc>
        <w:tc>
          <w:tcPr>
            <w:tcW w:w="311" w:type="pct"/>
            <w:shd w:val="clear" w:color="auto" w:fill="auto"/>
            <w:vAlign w:val="center"/>
          </w:tcPr>
          <w:p w14:paraId="42140CB9" w14:textId="77777777" w:rsidR="00FB5452" w:rsidRPr="0078056B" w:rsidRDefault="00FB5452" w:rsidP="00C042A1">
            <w:pPr>
              <w:pStyle w:val="TableText"/>
              <w:keepNext/>
              <w:ind w:left="0"/>
              <w:jc w:val="center"/>
              <w:rPr>
                <w:rFonts w:asciiTheme="minorHAnsi" w:hAnsiTheme="minorHAnsi" w:cstheme="minorHAnsi"/>
                <w:sz w:val="18"/>
                <w:szCs w:val="18"/>
              </w:rPr>
            </w:pPr>
          </w:p>
        </w:tc>
        <w:tc>
          <w:tcPr>
            <w:tcW w:w="311" w:type="pct"/>
            <w:shd w:val="clear" w:color="auto" w:fill="auto"/>
            <w:vAlign w:val="center"/>
          </w:tcPr>
          <w:p w14:paraId="1638FDA9"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3.7%</w:t>
            </w:r>
          </w:p>
        </w:tc>
        <w:tc>
          <w:tcPr>
            <w:tcW w:w="312" w:type="pct"/>
            <w:shd w:val="clear" w:color="auto" w:fill="auto"/>
            <w:vAlign w:val="center"/>
          </w:tcPr>
          <w:p w14:paraId="2367F7D1"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9.0%</w:t>
            </w:r>
          </w:p>
        </w:tc>
        <w:tc>
          <w:tcPr>
            <w:tcW w:w="312" w:type="pct"/>
            <w:shd w:val="clear" w:color="auto" w:fill="auto"/>
            <w:vAlign w:val="center"/>
          </w:tcPr>
          <w:p w14:paraId="669AC1F9"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13.7%</w:t>
            </w:r>
          </w:p>
        </w:tc>
        <w:tc>
          <w:tcPr>
            <w:tcW w:w="312" w:type="pct"/>
            <w:shd w:val="clear" w:color="auto" w:fill="auto"/>
            <w:vAlign w:val="center"/>
          </w:tcPr>
          <w:p w14:paraId="5A105E5F"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26.6%</w:t>
            </w:r>
          </w:p>
        </w:tc>
        <w:tc>
          <w:tcPr>
            <w:tcW w:w="312" w:type="pct"/>
            <w:shd w:val="clear" w:color="auto" w:fill="auto"/>
            <w:vAlign w:val="center"/>
          </w:tcPr>
          <w:p w14:paraId="41015873"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25.5%</w:t>
            </w:r>
          </w:p>
        </w:tc>
        <w:tc>
          <w:tcPr>
            <w:tcW w:w="312" w:type="pct"/>
            <w:shd w:val="clear" w:color="auto" w:fill="auto"/>
            <w:vAlign w:val="center"/>
          </w:tcPr>
          <w:p w14:paraId="6BAB09DE"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26.2%</w:t>
            </w:r>
          </w:p>
        </w:tc>
        <w:tc>
          <w:tcPr>
            <w:tcW w:w="312" w:type="pct"/>
            <w:shd w:val="clear" w:color="auto" w:fill="auto"/>
            <w:vAlign w:val="center"/>
          </w:tcPr>
          <w:p w14:paraId="1BA67E8A"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25.5%</w:t>
            </w:r>
          </w:p>
        </w:tc>
        <w:tc>
          <w:tcPr>
            <w:tcW w:w="312" w:type="pct"/>
            <w:shd w:val="clear" w:color="auto" w:fill="auto"/>
            <w:vAlign w:val="center"/>
          </w:tcPr>
          <w:p w14:paraId="5D513565"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26.5%</w:t>
            </w:r>
          </w:p>
        </w:tc>
        <w:tc>
          <w:tcPr>
            <w:tcW w:w="310" w:type="pct"/>
            <w:shd w:val="clear" w:color="auto" w:fill="auto"/>
            <w:vAlign w:val="center"/>
          </w:tcPr>
          <w:p w14:paraId="0F7A458D"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28.5%</w:t>
            </w:r>
          </w:p>
        </w:tc>
      </w:tr>
      <w:tr w:rsidR="00FB5452" w:rsidRPr="0078056B" w14:paraId="19D9E18C" w14:textId="77777777" w:rsidTr="00C042A1">
        <w:trPr>
          <w:trHeight w:val="283"/>
          <w:jc w:val="center"/>
        </w:trPr>
        <w:tc>
          <w:tcPr>
            <w:tcW w:w="1884" w:type="pct"/>
            <w:vAlign w:val="center"/>
          </w:tcPr>
          <w:p w14:paraId="642286F4" w14:textId="77777777" w:rsidR="00FB5452" w:rsidRPr="0078056B" w:rsidRDefault="00FB5452" w:rsidP="00C042A1">
            <w:pPr>
              <w:pStyle w:val="TableText"/>
              <w:keepNext/>
              <w:rPr>
                <w:b/>
                <w:color w:val="0B5ED7" w:themeColor="accent2"/>
                <w:sz w:val="18"/>
                <w:szCs w:val="18"/>
              </w:rPr>
            </w:pPr>
            <w:r w:rsidRPr="0078056B">
              <w:rPr>
                <w:rFonts w:asciiTheme="minorHAnsi" w:hAnsiTheme="minorHAnsi"/>
                <w:sz w:val="18"/>
                <w:szCs w:val="18"/>
              </w:rPr>
              <w:t>First degree (vs. Level 3)</w:t>
            </w:r>
            <w:r w:rsidRPr="0078056B">
              <w:rPr>
                <w:rFonts w:asciiTheme="minorHAnsi" w:hAnsiTheme="minorHAnsi"/>
                <w:sz w:val="18"/>
                <w:szCs w:val="18"/>
                <w:vertAlign w:val="superscript"/>
              </w:rPr>
              <w:t>2</w:t>
            </w:r>
          </w:p>
        </w:tc>
        <w:tc>
          <w:tcPr>
            <w:tcW w:w="311" w:type="pct"/>
            <w:shd w:val="clear" w:color="auto" w:fill="auto"/>
            <w:vAlign w:val="center"/>
          </w:tcPr>
          <w:p w14:paraId="1BA034F4"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21.5%</w:t>
            </w:r>
          </w:p>
        </w:tc>
        <w:tc>
          <w:tcPr>
            <w:tcW w:w="311" w:type="pct"/>
            <w:shd w:val="clear" w:color="auto" w:fill="auto"/>
            <w:vAlign w:val="center"/>
          </w:tcPr>
          <w:p w14:paraId="6C1C4736"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8.8%</w:t>
            </w:r>
          </w:p>
        </w:tc>
        <w:tc>
          <w:tcPr>
            <w:tcW w:w="312" w:type="pct"/>
            <w:shd w:val="clear" w:color="auto" w:fill="auto"/>
            <w:vAlign w:val="center"/>
          </w:tcPr>
          <w:p w14:paraId="13E4C2E7"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16.0%</w:t>
            </w:r>
          </w:p>
        </w:tc>
        <w:tc>
          <w:tcPr>
            <w:tcW w:w="312" w:type="pct"/>
            <w:shd w:val="clear" w:color="auto" w:fill="auto"/>
            <w:vAlign w:val="center"/>
          </w:tcPr>
          <w:p w14:paraId="4A15DB21"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28.9%</w:t>
            </w:r>
          </w:p>
        </w:tc>
        <w:tc>
          <w:tcPr>
            <w:tcW w:w="312" w:type="pct"/>
            <w:shd w:val="clear" w:color="auto" w:fill="auto"/>
            <w:vAlign w:val="center"/>
          </w:tcPr>
          <w:p w14:paraId="43845834"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35.8%</w:t>
            </w:r>
          </w:p>
        </w:tc>
        <w:tc>
          <w:tcPr>
            <w:tcW w:w="312" w:type="pct"/>
            <w:shd w:val="clear" w:color="auto" w:fill="auto"/>
            <w:vAlign w:val="center"/>
          </w:tcPr>
          <w:p w14:paraId="4738AD37"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37.9%</w:t>
            </w:r>
          </w:p>
        </w:tc>
        <w:tc>
          <w:tcPr>
            <w:tcW w:w="312" w:type="pct"/>
            <w:shd w:val="clear" w:color="auto" w:fill="auto"/>
            <w:vAlign w:val="center"/>
          </w:tcPr>
          <w:p w14:paraId="6459E727"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35.4%</w:t>
            </w:r>
          </w:p>
        </w:tc>
        <w:tc>
          <w:tcPr>
            <w:tcW w:w="312" w:type="pct"/>
            <w:shd w:val="clear" w:color="auto" w:fill="auto"/>
            <w:vAlign w:val="center"/>
          </w:tcPr>
          <w:p w14:paraId="6805AAA4"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32.3%</w:t>
            </w:r>
          </w:p>
        </w:tc>
        <w:tc>
          <w:tcPr>
            <w:tcW w:w="312" w:type="pct"/>
            <w:shd w:val="clear" w:color="auto" w:fill="auto"/>
            <w:vAlign w:val="center"/>
          </w:tcPr>
          <w:p w14:paraId="3C704FDD"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35.0%</w:t>
            </w:r>
          </w:p>
        </w:tc>
        <w:tc>
          <w:tcPr>
            <w:tcW w:w="310" w:type="pct"/>
            <w:shd w:val="clear" w:color="auto" w:fill="auto"/>
            <w:vAlign w:val="center"/>
          </w:tcPr>
          <w:p w14:paraId="3BB4958C"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27.6%</w:t>
            </w:r>
          </w:p>
        </w:tc>
      </w:tr>
      <w:tr w:rsidR="00FB5452" w:rsidRPr="0078056B" w14:paraId="4737C39A" w14:textId="77777777" w:rsidTr="00C042A1">
        <w:trPr>
          <w:trHeight w:val="283"/>
          <w:jc w:val="center"/>
        </w:trPr>
        <w:tc>
          <w:tcPr>
            <w:tcW w:w="1884" w:type="pct"/>
            <w:vAlign w:val="center"/>
          </w:tcPr>
          <w:p w14:paraId="56AE687D" w14:textId="77777777" w:rsidR="00FB5452" w:rsidRPr="0078056B" w:rsidRDefault="00FB5452" w:rsidP="00C042A1">
            <w:pPr>
              <w:pStyle w:val="TableText"/>
              <w:keepNext/>
              <w:rPr>
                <w:b/>
                <w:color w:val="0B5ED7" w:themeColor="accent2"/>
                <w:sz w:val="18"/>
                <w:szCs w:val="18"/>
              </w:rPr>
            </w:pPr>
            <w:r w:rsidRPr="0078056B">
              <w:rPr>
                <w:rFonts w:asciiTheme="minorHAnsi" w:hAnsiTheme="minorHAnsi"/>
                <w:sz w:val="18"/>
                <w:szCs w:val="18"/>
              </w:rPr>
              <w:t>Other postgraduate (vs. first degrees)</w:t>
            </w:r>
            <w:r w:rsidRPr="0078056B">
              <w:rPr>
                <w:rFonts w:asciiTheme="minorHAnsi" w:hAnsiTheme="minorHAnsi"/>
                <w:sz w:val="18"/>
                <w:szCs w:val="18"/>
                <w:vertAlign w:val="superscript"/>
              </w:rPr>
              <w:t>3</w:t>
            </w:r>
          </w:p>
        </w:tc>
        <w:tc>
          <w:tcPr>
            <w:tcW w:w="311" w:type="pct"/>
            <w:shd w:val="clear" w:color="auto" w:fill="auto"/>
            <w:vAlign w:val="center"/>
          </w:tcPr>
          <w:p w14:paraId="7BEB58D3" w14:textId="77777777" w:rsidR="00FB5452" w:rsidRPr="0078056B" w:rsidRDefault="00FB5452" w:rsidP="00C042A1">
            <w:pPr>
              <w:pStyle w:val="TableText"/>
              <w:keepNext/>
              <w:ind w:left="0"/>
              <w:jc w:val="center"/>
              <w:rPr>
                <w:rFonts w:asciiTheme="minorHAnsi" w:hAnsiTheme="minorHAnsi" w:cstheme="minorHAnsi"/>
                <w:sz w:val="18"/>
                <w:szCs w:val="18"/>
              </w:rPr>
            </w:pPr>
          </w:p>
        </w:tc>
        <w:tc>
          <w:tcPr>
            <w:tcW w:w="311" w:type="pct"/>
            <w:shd w:val="clear" w:color="auto" w:fill="auto"/>
            <w:vAlign w:val="center"/>
          </w:tcPr>
          <w:p w14:paraId="0EBB998E"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5.5%</w:t>
            </w:r>
          </w:p>
        </w:tc>
        <w:tc>
          <w:tcPr>
            <w:tcW w:w="312" w:type="pct"/>
            <w:shd w:val="clear" w:color="auto" w:fill="auto"/>
            <w:vAlign w:val="center"/>
          </w:tcPr>
          <w:p w14:paraId="4DFE9CA6" w14:textId="77777777" w:rsidR="00FB5452" w:rsidRPr="0078056B" w:rsidRDefault="00FB5452" w:rsidP="00C042A1">
            <w:pPr>
              <w:pStyle w:val="TableText"/>
              <w:keepNext/>
              <w:ind w:left="0"/>
              <w:jc w:val="center"/>
              <w:rPr>
                <w:rFonts w:asciiTheme="minorHAnsi" w:hAnsiTheme="minorHAnsi" w:cstheme="minorHAnsi"/>
                <w:sz w:val="18"/>
                <w:szCs w:val="18"/>
              </w:rPr>
            </w:pPr>
          </w:p>
        </w:tc>
        <w:tc>
          <w:tcPr>
            <w:tcW w:w="312" w:type="pct"/>
            <w:shd w:val="clear" w:color="auto" w:fill="auto"/>
            <w:vAlign w:val="center"/>
          </w:tcPr>
          <w:p w14:paraId="3BCC71C2"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10.2%</w:t>
            </w:r>
          </w:p>
        </w:tc>
        <w:tc>
          <w:tcPr>
            <w:tcW w:w="312" w:type="pct"/>
            <w:shd w:val="clear" w:color="auto" w:fill="auto"/>
            <w:vAlign w:val="center"/>
          </w:tcPr>
          <w:p w14:paraId="2D34F712"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8.4%</w:t>
            </w:r>
          </w:p>
        </w:tc>
        <w:tc>
          <w:tcPr>
            <w:tcW w:w="312" w:type="pct"/>
            <w:shd w:val="clear" w:color="auto" w:fill="auto"/>
            <w:vAlign w:val="center"/>
          </w:tcPr>
          <w:p w14:paraId="63F72DFA"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12.0%</w:t>
            </w:r>
          </w:p>
        </w:tc>
        <w:tc>
          <w:tcPr>
            <w:tcW w:w="312" w:type="pct"/>
            <w:shd w:val="clear" w:color="auto" w:fill="auto"/>
            <w:vAlign w:val="center"/>
          </w:tcPr>
          <w:p w14:paraId="1CABB1C1"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13.3%</w:t>
            </w:r>
          </w:p>
        </w:tc>
        <w:tc>
          <w:tcPr>
            <w:tcW w:w="312" w:type="pct"/>
            <w:shd w:val="clear" w:color="auto" w:fill="auto"/>
            <w:vAlign w:val="center"/>
          </w:tcPr>
          <w:p w14:paraId="01CEFC1A"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15.6%</w:t>
            </w:r>
          </w:p>
        </w:tc>
        <w:tc>
          <w:tcPr>
            <w:tcW w:w="312" w:type="pct"/>
            <w:shd w:val="clear" w:color="auto" w:fill="auto"/>
            <w:vAlign w:val="center"/>
          </w:tcPr>
          <w:p w14:paraId="7CAA33C1"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18.6%</w:t>
            </w:r>
          </w:p>
        </w:tc>
        <w:tc>
          <w:tcPr>
            <w:tcW w:w="310" w:type="pct"/>
            <w:shd w:val="clear" w:color="auto" w:fill="auto"/>
            <w:vAlign w:val="center"/>
          </w:tcPr>
          <w:p w14:paraId="289069CE"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14.1%</w:t>
            </w:r>
          </w:p>
        </w:tc>
      </w:tr>
      <w:tr w:rsidR="00FB5452" w:rsidRPr="0078056B" w14:paraId="2429B519" w14:textId="77777777" w:rsidTr="00C042A1">
        <w:trPr>
          <w:trHeight w:val="283"/>
          <w:jc w:val="center"/>
        </w:trPr>
        <w:tc>
          <w:tcPr>
            <w:tcW w:w="1884" w:type="pct"/>
            <w:vAlign w:val="center"/>
          </w:tcPr>
          <w:p w14:paraId="4157B486" w14:textId="77777777" w:rsidR="00FB5452" w:rsidRPr="0078056B" w:rsidRDefault="00FB5452" w:rsidP="00C042A1">
            <w:pPr>
              <w:pStyle w:val="TableText"/>
              <w:keepNext/>
              <w:rPr>
                <w:rFonts w:asciiTheme="minorHAnsi" w:hAnsiTheme="minorHAnsi"/>
                <w:sz w:val="18"/>
                <w:szCs w:val="18"/>
              </w:rPr>
            </w:pPr>
            <w:r w:rsidRPr="0078056B">
              <w:rPr>
                <w:rFonts w:asciiTheme="minorHAnsi" w:hAnsiTheme="minorHAnsi"/>
                <w:sz w:val="18"/>
                <w:szCs w:val="18"/>
              </w:rPr>
              <w:t>Higher degree (taught) (vs. first degrees)</w:t>
            </w:r>
            <w:r w:rsidRPr="0078056B">
              <w:rPr>
                <w:rFonts w:asciiTheme="minorHAnsi" w:hAnsiTheme="minorHAnsi"/>
                <w:sz w:val="18"/>
                <w:szCs w:val="18"/>
                <w:vertAlign w:val="superscript"/>
              </w:rPr>
              <w:t>3</w:t>
            </w:r>
          </w:p>
        </w:tc>
        <w:tc>
          <w:tcPr>
            <w:tcW w:w="311" w:type="pct"/>
            <w:shd w:val="clear" w:color="auto" w:fill="auto"/>
            <w:vAlign w:val="center"/>
          </w:tcPr>
          <w:p w14:paraId="5CB560C1" w14:textId="77777777" w:rsidR="00FB5452" w:rsidRPr="0078056B" w:rsidRDefault="00FB5452" w:rsidP="00C042A1">
            <w:pPr>
              <w:pStyle w:val="TableText"/>
              <w:keepNext/>
              <w:ind w:left="0"/>
              <w:jc w:val="center"/>
              <w:rPr>
                <w:rFonts w:asciiTheme="minorHAnsi" w:hAnsiTheme="minorHAnsi" w:cstheme="minorHAnsi"/>
                <w:sz w:val="18"/>
                <w:szCs w:val="18"/>
              </w:rPr>
            </w:pPr>
          </w:p>
        </w:tc>
        <w:tc>
          <w:tcPr>
            <w:tcW w:w="311" w:type="pct"/>
            <w:shd w:val="clear" w:color="auto" w:fill="auto"/>
            <w:vAlign w:val="center"/>
          </w:tcPr>
          <w:p w14:paraId="354DB16B" w14:textId="77777777" w:rsidR="00FB5452" w:rsidRPr="0078056B" w:rsidRDefault="00FB5452" w:rsidP="00C042A1">
            <w:pPr>
              <w:pStyle w:val="TableText"/>
              <w:keepNext/>
              <w:ind w:left="0"/>
              <w:jc w:val="center"/>
              <w:rPr>
                <w:rFonts w:asciiTheme="minorHAnsi" w:hAnsiTheme="minorHAnsi" w:cstheme="minorHAnsi"/>
                <w:color w:val="FF0000"/>
                <w:sz w:val="18"/>
                <w:szCs w:val="18"/>
              </w:rPr>
            </w:pPr>
            <w:r w:rsidRPr="0078056B">
              <w:rPr>
                <w:rFonts w:asciiTheme="minorHAnsi" w:hAnsiTheme="minorHAnsi" w:cstheme="minorHAnsi"/>
                <w:sz w:val="18"/>
                <w:szCs w:val="18"/>
              </w:rPr>
              <w:t>6.1%</w:t>
            </w:r>
          </w:p>
        </w:tc>
        <w:tc>
          <w:tcPr>
            <w:tcW w:w="312" w:type="pct"/>
            <w:shd w:val="clear" w:color="auto" w:fill="auto"/>
            <w:vAlign w:val="center"/>
          </w:tcPr>
          <w:p w14:paraId="009C1F88" w14:textId="77777777" w:rsidR="00FB5452" w:rsidRPr="0078056B" w:rsidRDefault="00FB5452" w:rsidP="00C042A1">
            <w:pPr>
              <w:pStyle w:val="TableText"/>
              <w:keepNext/>
              <w:ind w:left="0"/>
              <w:jc w:val="center"/>
              <w:rPr>
                <w:rFonts w:asciiTheme="minorHAnsi" w:hAnsiTheme="minorHAnsi" w:cstheme="minorHAnsi"/>
                <w:color w:val="FF0000"/>
                <w:sz w:val="18"/>
                <w:szCs w:val="18"/>
              </w:rPr>
            </w:pPr>
            <w:r w:rsidRPr="0078056B">
              <w:rPr>
                <w:rFonts w:asciiTheme="minorHAnsi" w:hAnsiTheme="minorHAnsi" w:cstheme="minorHAnsi"/>
                <w:sz w:val="18"/>
                <w:szCs w:val="18"/>
              </w:rPr>
              <w:t>6.6%</w:t>
            </w:r>
          </w:p>
        </w:tc>
        <w:tc>
          <w:tcPr>
            <w:tcW w:w="312" w:type="pct"/>
            <w:shd w:val="clear" w:color="auto" w:fill="auto"/>
            <w:vAlign w:val="center"/>
          </w:tcPr>
          <w:p w14:paraId="007246BA"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12.4%</w:t>
            </w:r>
          </w:p>
        </w:tc>
        <w:tc>
          <w:tcPr>
            <w:tcW w:w="312" w:type="pct"/>
            <w:shd w:val="clear" w:color="auto" w:fill="auto"/>
            <w:vAlign w:val="center"/>
          </w:tcPr>
          <w:p w14:paraId="3B100864"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18.3%</w:t>
            </w:r>
          </w:p>
        </w:tc>
        <w:tc>
          <w:tcPr>
            <w:tcW w:w="312" w:type="pct"/>
            <w:shd w:val="clear" w:color="auto" w:fill="auto"/>
            <w:vAlign w:val="center"/>
          </w:tcPr>
          <w:p w14:paraId="711EB9DB"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20.2%</w:t>
            </w:r>
          </w:p>
        </w:tc>
        <w:tc>
          <w:tcPr>
            <w:tcW w:w="312" w:type="pct"/>
            <w:shd w:val="clear" w:color="auto" w:fill="auto"/>
            <w:vAlign w:val="center"/>
          </w:tcPr>
          <w:p w14:paraId="42CCE9C4"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26.1%</w:t>
            </w:r>
          </w:p>
        </w:tc>
        <w:tc>
          <w:tcPr>
            <w:tcW w:w="312" w:type="pct"/>
            <w:shd w:val="clear" w:color="auto" w:fill="auto"/>
            <w:vAlign w:val="center"/>
          </w:tcPr>
          <w:p w14:paraId="4A30CA8F"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20.9%</w:t>
            </w:r>
          </w:p>
        </w:tc>
        <w:tc>
          <w:tcPr>
            <w:tcW w:w="312" w:type="pct"/>
            <w:shd w:val="clear" w:color="auto" w:fill="auto"/>
            <w:vAlign w:val="center"/>
          </w:tcPr>
          <w:p w14:paraId="4CD7BF4B"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31.1%</w:t>
            </w:r>
          </w:p>
        </w:tc>
        <w:tc>
          <w:tcPr>
            <w:tcW w:w="310" w:type="pct"/>
            <w:shd w:val="clear" w:color="auto" w:fill="auto"/>
            <w:vAlign w:val="center"/>
          </w:tcPr>
          <w:p w14:paraId="0BD276F1"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22.6%</w:t>
            </w:r>
          </w:p>
        </w:tc>
      </w:tr>
      <w:tr w:rsidR="00FB5452" w:rsidRPr="0078056B" w14:paraId="45DCDE31" w14:textId="77777777" w:rsidTr="00C042A1">
        <w:trPr>
          <w:trHeight w:val="283"/>
          <w:jc w:val="center"/>
        </w:trPr>
        <w:tc>
          <w:tcPr>
            <w:tcW w:w="1884" w:type="pct"/>
            <w:tcBorders>
              <w:bottom w:val="single" w:sz="4" w:space="0" w:color="06357A"/>
            </w:tcBorders>
            <w:vAlign w:val="center"/>
          </w:tcPr>
          <w:p w14:paraId="6F1546BD" w14:textId="77777777" w:rsidR="00FB5452" w:rsidRPr="0078056B" w:rsidRDefault="00FB5452" w:rsidP="00C042A1">
            <w:pPr>
              <w:pStyle w:val="TableText"/>
              <w:keepNext/>
              <w:rPr>
                <w:sz w:val="18"/>
                <w:szCs w:val="18"/>
              </w:rPr>
            </w:pPr>
            <w:r w:rsidRPr="0078056B">
              <w:rPr>
                <w:rFonts w:asciiTheme="minorHAnsi" w:hAnsiTheme="minorHAnsi"/>
                <w:sz w:val="18"/>
                <w:szCs w:val="18"/>
              </w:rPr>
              <w:t>Higher degree (research) (vs. first degrees)</w:t>
            </w:r>
            <w:r w:rsidRPr="0078056B">
              <w:rPr>
                <w:rFonts w:asciiTheme="minorHAnsi" w:hAnsiTheme="minorHAnsi"/>
                <w:sz w:val="18"/>
                <w:szCs w:val="18"/>
                <w:vertAlign w:val="superscript"/>
              </w:rPr>
              <w:t>3</w:t>
            </w:r>
          </w:p>
        </w:tc>
        <w:tc>
          <w:tcPr>
            <w:tcW w:w="311" w:type="pct"/>
            <w:tcBorders>
              <w:bottom w:val="single" w:sz="4" w:space="0" w:color="06357A"/>
            </w:tcBorders>
            <w:shd w:val="clear" w:color="auto" w:fill="auto"/>
            <w:vAlign w:val="center"/>
          </w:tcPr>
          <w:p w14:paraId="1E47A584" w14:textId="77777777" w:rsidR="00FB5452" w:rsidRPr="0078056B" w:rsidRDefault="00FB5452" w:rsidP="00C042A1">
            <w:pPr>
              <w:pStyle w:val="TableText"/>
              <w:keepNext/>
              <w:ind w:left="0"/>
              <w:jc w:val="center"/>
              <w:rPr>
                <w:rFonts w:asciiTheme="minorHAnsi" w:hAnsiTheme="minorHAnsi" w:cstheme="minorHAnsi"/>
                <w:sz w:val="18"/>
                <w:szCs w:val="18"/>
              </w:rPr>
            </w:pPr>
          </w:p>
        </w:tc>
        <w:tc>
          <w:tcPr>
            <w:tcW w:w="311" w:type="pct"/>
            <w:tcBorders>
              <w:bottom w:val="single" w:sz="4" w:space="0" w:color="06357A"/>
            </w:tcBorders>
            <w:shd w:val="clear" w:color="auto" w:fill="auto"/>
            <w:vAlign w:val="center"/>
          </w:tcPr>
          <w:p w14:paraId="3DA57F50" w14:textId="77777777" w:rsidR="00FB5452" w:rsidRPr="0078056B" w:rsidRDefault="00FB5452" w:rsidP="00C042A1">
            <w:pPr>
              <w:pStyle w:val="TableText"/>
              <w:keepNext/>
              <w:ind w:left="0"/>
              <w:jc w:val="center"/>
              <w:rPr>
                <w:rFonts w:asciiTheme="minorHAnsi" w:hAnsiTheme="minorHAnsi" w:cstheme="minorHAnsi"/>
                <w:color w:val="FF0000"/>
                <w:sz w:val="18"/>
                <w:szCs w:val="18"/>
              </w:rPr>
            </w:pPr>
            <w:r w:rsidRPr="0078056B">
              <w:rPr>
                <w:rFonts w:asciiTheme="minorHAnsi" w:hAnsiTheme="minorHAnsi" w:cstheme="minorHAnsi"/>
                <w:sz w:val="18"/>
                <w:szCs w:val="18"/>
              </w:rPr>
              <w:t>14.7%</w:t>
            </w:r>
          </w:p>
        </w:tc>
        <w:tc>
          <w:tcPr>
            <w:tcW w:w="312" w:type="pct"/>
            <w:tcBorders>
              <w:bottom w:val="single" w:sz="4" w:space="0" w:color="06357A"/>
            </w:tcBorders>
            <w:shd w:val="clear" w:color="auto" w:fill="auto"/>
            <w:vAlign w:val="center"/>
          </w:tcPr>
          <w:p w14:paraId="1111E90C" w14:textId="77777777" w:rsidR="00FB5452" w:rsidRPr="0078056B" w:rsidRDefault="00FB5452" w:rsidP="00C042A1">
            <w:pPr>
              <w:pStyle w:val="TableText"/>
              <w:keepNext/>
              <w:ind w:left="0"/>
              <w:jc w:val="center"/>
              <w:rPr>
                <w:rFonts w:asciiTheme="minorHAnsi" w:hAnsiTheme="minorHAnsi" w:cstheme="minorHAnsi"/>
                <w:color w:val="FF0000"/>
                <w:sz w:val="18"/>
                <w:szCs w:val="18"/>
              </w:rPr>
            </w:pPr>
            <w:r w:rsidRPr="0078056B">
              <w:rPr>
                <w:rFonts w:asciiTheme="minorHAnsi" w:hAnsiTheme="minorHAnsi" w:cstheme="minorHAnsi"/>
                <w:sz w:val="18"/>
                <w:szCs w:val="18"/>
              </w:rPr>
              <w:t>16.3%</w:t>
            </w:r>
          </w:p>
        </w:tc>
        <w:tc>
          <w:tcPr>
            <w:tcW w:w="312" w:type="pct"/>
            <w:tcBorders>
              <w:bottom w:val="single" w:sz="4" w:space="0" w:color="06357A"/>
            </w:tcBorders>
            <w:shd w:val="clear" w:color="auto" w:fill="auto"/>
            <w:vAlign w:val="center"/>
          </w:tcPr>
          <w:p w14:paraId="772621AF"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31.9%</w:t>
            </w:r>
          </w:p>
        </w:tc>
        <w:tc>
          <w:tcPr>
            <w:tcW w:w="312" w:type="pct"/>
            <w:tcBorders>
              <w:bottom w:val="single" w:sz="4" w:space="0" w:color="06357A"/>
            </w:tcBorders>
            <w:shd w:val="clear" w:color="auto" w:fill="auto"/>
            <w:vAlign w:val="center"/>
          </w:tcPr>
          <w:p w14:paraId="0CE73CD9"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41.2%</w:t>
            </w:r>
          </w:p>
        </w:tc>
        <w:tc>
          <w:tcPr>
            <w:tcW w:w="312" w:type="pct"/>
            <w:tcBorders>
              <w:bottom w:val="single" w:sz="4" w:space="0" w:color="06357A"/>
            </w:tcBorders>
            <w:shd w:val="clear" w:color="auto" w:fill="auto"/>
            <w:vAlign w:val="center"/>
          </w:tcPr>
          <w:p w14:paraId="1E16177E"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36.6%</w:t>
            </w:r>
          </w:p>
        </w:tc>
        <w:tc>
          <w:tcPr>
            <w:tcW w:w="312" w:type="pct"/>
            <w:tcBorders>
              <w:bottom w:val="single" w:sz="4" w:space="0" w:color="06357A"/>
            </w:tcBorders>
            <w:shd w:val="clear" w:color="auto" w:fill="auto"/>
            <w:vAlign w:val="center"/>
          </w:tcPr>
          <w:p w14:paraId="508FFB43"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39.9%</w:t>
            </w:r>
          </w:p>
        </w:tc>
        <w:tc>
          <w:tcPr>
            <w:tcW w:w="312" w:type="pct"/>
            <w:tcBorders>
              <w:bottom w:val="single" w:sz="4" w:space="0" w:color="06357A"/>
            </w:tcBorders>
            <w:shd w:val="clear" w:color="auto" w:fill="auto"/>
            <w:vAlign w:val="center"/>
          </w:tcPr>
          <w:p w14:paraId="3EA725E9"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43.5%</w:t>
            </w:r>
          </w:p>
        </w:tc>
        <w:tc>
          <w:tcPr>
            <w:tcW w:w="312" w:type="pct"/>
            <w:tcBorders>
              <w:bottom w:val="single" w:sz="4" w:space="0" w:color="06357A"/>
            </w:tcBorders>
            <w:shd w:val="clear" w:color="auto" w:fill="auto"/>
            <w:vAlign w:val="center"/>
          </w:tcPr>
          <w:p w14:paraId="2D663D0E"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47.0%</w:t>
            </w:r>
          </w:p>
        </w:tc>
        <w:tc>
          <w:tcPr>
            <w:tcW w:w="310" w:type="pct"/>
            <w:tcBorders>
              <w:bottom w:val="single" w:sz="4" w:space="0" w:color="06357A"/>
            </w:tcBorders>
            <w:shd w:val="clear" w:color="auto" w:fill="auto"/>
            <w:vAlign w:val="center"/>
          </w:tcPr>
          <w:p w14:paraId="4640FAA8" w14:textId="77777777" w:rsidR="00FB5452" w:rsidRPr="0078056B" w:rsidRDefault="00FB5452"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44.8%</w:t>
            </w:r>
          </w:p>
        </w:tc>
      </w:tr>
    </w:tbl>
    <w:p w14:paraId="4544CB80" w14:textId="77777777" w:rsidR="00FB5452" w:rsidRPr="0078056B" w:rsidRDefault="00FB5452" w:rsidP="00FB5452">
      <w:pPr>
        <w:pStyle w:val="LENoteText"/>
        <w:jc w:val="left"/>
        <w:rPr>
          <w:rFonts w:asciiTheme="minorHAnsi" w:hAnsiTheme="minorHAnsi"/>
          <w:szCs w:val="16"/>
        </w:rPr>
      </w:pPr>
      <w:r w:rsidRPr="0078056B">
        <w:rPr>
          <w:rFonts w:asciiTheme="minorHAnsi" w:hAnsiTheme="minorHAnsi"/>
          <w:szCs w:val="16"/>
        </w:rPr>
        <w:t>Note</w:t>
      </w:r>
      <w:r w:rsidRPr="0078056B">
        <w:rPr>
          <w:rFonts w:asciiTheme="minorHAnsi" w:hAnsiTheme="minorHAnsi"/>
        </w:rPr>
        <w:t xml:space="preserve">: Regression coefficients have been exponentiated to reflect percentage wage returns. </w:t>
      </w:r>
      <w:r w:rsidRPr="0078056B">
        <w:rPr>
          <w:rFonts w:asciiTheme="minorHAnsi" w:hAnsiTheme="minorHAnsi"/>
          <w:szCs w:val="16"/>
        </w:rPr>
        <w:t>In cases where the estimated coefficients are not statistically significantly different from zero (at the 10% level), the coefficient is assumed to be zero; these are displayed as gaps in the table.</w:t>
      </w:r>
    </w:p>
    <w:p w14:paraId="7B3FD533" w14:textId="77777777" w:rsidR="00FB5452" w:rsidRPr="0078056B" w:rsidRDefault="00FB5452" w:rsidP="00FB5452">
      <w:pPr>
        <w:pStyle w:val="LENoteText"/>
        <w:jc w:val="left"/>
        <w:rPr>
          <w:rFonts w:asciiTheme="minorHAnsi" w:hAnsiTheme="minorHAnsi"/>
        </w:rPr>
      </w:pPr>
      <w:r w:rsidRPr="0078056B">
        <w:rPr>
          <w:rFonts w:asciiTheme="minorHAnsi" w:hAnsiTheme="minorHAnsi"/>
          <w:color w:val="000000"/>
          <w:sz w:val="18"/>
          <w:szCs w:val="18"/>
          <w:vertAlign w:val="superscript"/>
        </w:rPr>
        <w:t>1</w:t>
      </w:r>
      <w:r w:rsidRPr="0078056B">
        <w:rPr>
          <w:rFonts w:asciiTheme="minorHAnsi" w:hAnsiTheme="minorHAnsi"/>
        </w:rPr>
        <w:t xml:space="preserve"> Returns to holding </w:t>
      </w:r>
      <w:r w:rsidRPr="0078056B">
        <w:t>RQF Level 3 qualification</w:t>
      </w:r>
      <w:r w:rsidRPr="0078056B">
        <w:rPr>
          <w:rFonts w:asciiTheme="minorHAnsi" w:hAnsiTheme="minorHAnsi"/>
        </w:rPr>
        <w:t xml:space="preserve">s are estimated relative to </w:t>
      </w:r>
      <w:r w:rsidRPr="0078056B">
        <w:t xml:space="preserve">5 or more GCSEs at A*-C (or equivalent) </w:t>
      </w:r>
      <w:r w:rsidRPr="0078056B">
        <w:rPr>
          <w:rFonts w:asciiTheme="minorHAnsi" w:hAnsiTheme="minorHAnsi"/>
        </w:rPr>
        <w:t xml:space="preserve">(weighted to reflect the proportion of first degree entrants in the 2021-22 University of Birmingham cohort holding GCE ‘A’ levels or other </w:t>
      </w:r>
      <w:r w:rsidRPr="0078056B">
        <w:t xml:space="preserve">RQF Level 3 qualifications </w:t>
      </w:r>
      <w:r w:rsidRPr="0078056B">
        <w:rPr>
          <w:rFonts w:asciiTheme="minorHAnsi" w:hAnsiTheme="minorHAnsi"/>
        </w:rPr>
        <w:t xml:space="preserve">as their highest prior qualification on entry). </w:t>
      </w:r>
    </w:p>
    <w:p w14:paraId="5AE2EE5A" w14:textId="79D62562" w:rsidR="00FB5452" w:rsidRPr="0078056B" w:rsidRDefault="00FB5452" w:rsidP="00FB5452">
      <w:pPr>
        <w:pStyle w:val="LENoteText"/>
        <w:jc w:val="left"/>
        <w:rPr>
          <w:rFonts w:asciiTheme="minorHAnsi" w:hAnsiTheme="minorHAnsi"/>
        </w:rPr>
      </w:pPr>
      <w:r w:rsidRPr="0078056B">
        <w:rPr>
          <w:rFonts w:asciiTheme="minorHAnsi" w:hAnsiTheme="minorHAnsi"/>
          <w:color w:val="000000"/>
          <w:sz w:val="18"/>
          <w:szCs w:val="18"/>
          <w:vertAlign w:val="superscript"/>
        </w:rPr>
        <w:t xml:space="preserve">2 </w:t>
      </w:r>
      <w:r w:rsidRPr="0078056B">
        <w:rPr>
          <w:rFonts w:asciiTheme="minorHAnsi" w:hAnsiTheme="minorHAnsi"/>
        </w:rPr>
        <w:t>Returns to other undergraduate qualifications and first degrees are estimated relative to individuals holding a</w:t>
      </w:r>
      <w:r w:rsidRPr="0078056B">
        <w:t xml:space="preserve"> Level 3 (academic or vocational) qualification </w:t>
      </w:r>
      <w:r w:rsidRPr="0078056B">
        <w:rPr>
          <w:rFonts w:asciiTheme="minorHAnsi" w:hAnsiTheme="minorHAnsi"/>
        </w:rPr>
        <w:t xml:space="preserve">as their highest qualification. Returns to first degrees are estimated relative to individuals holding </w:t>
      </w:r>
      <w:r w:rsidRPr="0078056B">
        <w:t xml:space="preserve">RQF Level 3 qualifications </w:t>
      </w:r>
      <w:r w:rsidRPr="0078056B">
        <w:rPr>
          <w:rFonts w:asciiTheme="minorHAnsi" w:hAnsiTheme="minorHAnsi"/>
        </w:rPr>
        <w:t xml:space="preserve">as their highest qualification (weighted by the proportion of first degree entrants in the 2021-22 University of Birmingham cohort holding GCE ‘A’ levels or other </w:t>
      </w:r>
      <w:r w:rsidRPr="0078056B">
        <w:t xml:space="preserve">RQF Level 3 qualifications </w:t>
      </w:r>
      <w:r w:rsidRPr="0078056B">
        <w:rPr>
          <w:rFonts w:asciiTheme="minorHAnsi" w:hAnsiTheme="minorHAnsi"/>
        </w:rPr>
        <w:t xml:space="preserve">as their highest prior attainment). </w:t>
      </w:r>
    </w:p>
    <w:p w14:paraId="4EDED108" w14:textId="77777777" w:rsidR="00FB5452" w:rsidRPr="0078056B" w:rsidRDefault="00FB5452" w:rsidP="00FB5452">
      <w:pPr>
        <w:pStyle w:val="LENoteText"/>
        <w:jc w:val="left"/>
        <w:rPr>
          <w:rFonts w:asciiTheme="minorHAnsi" w:hAnsiTheme="minorHAnsi"/>
        </w:rPr>
      </w:pPr>
      <w:r w:rsidRPr="0078056B">
        <w:rPr>
          <w:rFonts w:asciiTheme="minorHAnsi" w:hAnsiTheme="minorHAnsi"/>
          <w:color w:val="000000"/>
          <w:sz w:val="18"/>
          <w:szCs w:val="18"/>
          <w:vertAlign w:val="superscript"/>
        </w:rPr>
        <w:t xml:space="preserve">3 </w:t>
      </w:r>
      <w:r w:rsidRPr="0078056B">
        <w:rPr>
          <w:rFonts w:asciiTheme="minorHAnsi" w:hAnsiTheme="minorHAnsi"/>
        </w:rPr>
        <w:t xml:space="preserve">Returns to higher degree (taught), higher degree (research), and ‘other’ postgraduate qualifications are estimated relative to first degrees. </w:t>
      </w:r>
    </w:p>
    <w:p w14:paraId="5505EDAE" w14:textId="77777777" w:rsidR="00FB5452" w:rsidRPr="0078056B" w:rsidRDefault="00FB5452" w:rsidP="00FB5452">
      <w:pPr>
        <w:pStyle w:val="TableSource"/>
        <w:rPr>
          <w:rFonts w:asciiTheme="minorHAnsi" w:hAnsiTheme="minorHAnsi"/>
        </w:rPr>
      </w:pPr>
      <w:r w:rsidRPr="0078056B">
        <w:rPr>
          <w:rFonts w:asciiTheme="minorHAnsi" w:hAnsiTheme="minorHAnsi"/>
        </w:rPr>
        <w:t>Source: London Economics' analysis of pooled Quarterly Labour Force Survey data for 2010 Q1 - 2022 Q4</w:t>
      </w:r>
    </w:p>
    <w:p w14:paraId="5FA107E9" w14:textId="5DAD02F7" w:rsidR="003A6119" w:rsidRPr="0078056B" w:rsidRDefault="003A6119" w:rsidP="003A6119">
      <w:pPr>
        <w:rPr>
          <w:color w:val="0B5ED7" w:themeColor="accent2"/>
        </w:rPr>
      </w:pPr>
      <w:r w:rsidRPr="0078056B">
        <w:lastRenderedPageBreak/>
        <w:t xml:space="preserve">The resulting estimated marginal wage returns to the different qualifications of interest are presented in </w:t>
      </w:r>
      <w:r w:rsidR="00FB5452" w:rsidRPr="0078056B">
        <w:fldChar w:fldCharType="begin"/>
      </w:r>
      <w:r w:rsidR="00FB5452" w:rsidRPr="0078056B">
        <w:instrText xml:space="preserve"> REF _Ref161751090 \r \h </w:instrText>
      </w:r>
      <w:r w:rsidR="0078056B">
        <w:instrText xml:space="preserve"> \* MERGEFORMAT </w:instrText>
      </w:r>
      <w:r w:rsidR="00FB5452" w:rsidRPr="0078056B">
        <w:fldChar w:fldCharType="separate"/>
      </w:r>
      <w:r w:rsidR="00E33157">
        <w:t>Table 17</w:t>
      </w:r>
      <w:r w:rsidR="00FB5452" w:rsidRPr="0078056B">
        <w:fldChar w:fldCharType="end"/>
      </w:r>
      <w:r w:rsidRPr="0078056B">
        <w:t xml:space="preserve">. In the earnings regressions, the coefficients provide an indication of the additional effect on hourly earnings associated with possession of the respective higher education qualification relative to the counterfactual level of qualification. To take an example, the analysis suggests that men aged between 31 and 35 in possession of a first degree achieve a </w:t>
      </w:r>
      <w:r w:rsidRPr="0078056B">
        <w:rPr>
          <w:b/>
          <w:color w:val="06357A"/>
        </w:rPr>
        <w:t>25.2%</w:t>
      </w:r>
      <w:r w:rsidRPr="0078056B">
        <w:rPr>
          <w:color w:val="0B5ED7" w:themeColor="accent2"/>
        </w:rPr>
        <w:t xml:space="preserve"> </w:t>
      </w:r>
      <w:r w:rsidRPr="0078056B">
        <w:t xml:space="preserve">hourly earnings premium compared to comparable men holding only an (academic or vocational) RQF Level 3 qualification as their highest level of attainment (weighted to reflect the specific prior attainment levels of first degree students in the 2021-22 University of Birmingham cohort (i.e. predominantly GCE ‘A’ Levels or equivalent)). The comparable estimate for women aged between 31 and 35 stands at </w:t>
      </w:r>
      <w:r w:rsidRPr="0078056B">
        <w:rPr>
          <w:b/>
          <w:color w:val="06357A"/>
        </w:rPr>
        <w:t>28.9%</w:t>
      </w:r>
      <w:r w:rsidRPr="0078056B">
        <w:t>.</w:t>
      </w:r>
    </w:p>
    <w:p w14:paraId="3FB95BD9" w14:textId="77777777" w:rsidR="003A6119" w:rsidRPr="0078056B" w:rsidRDefault="003A6119" w:rsidP="003A6119">
      <w:pPr>
        <w:pStyle w:val="Heading4"/>
      </w:pPr>
      <w:r w:rsidRPr="0078056B">
        <w:t>Marginal employment returns</w:t>
      </w:r>
    </w:p>
    <w:p w14:paraId="45056461" w14:textId="77777777" w:rsidR="003A6119" w:rsidRPr="0078056B" w:rsidRDefault="003A6119" w:rsidP="003A6119">
      <w:pPr>
        <w:spacing w:before="120" w:after="120"/>
        <w:rPr>
          <w:rFonts w:asciiTheme="minorHAnsi" w:hAnsiTheme="minorHAnsi" w:cs="Calibri"/>
        </w:rPr>
      </w:pPr>
      <w:r w:rsidRPr="0078056B">
        <w:rPr>
          <w:rFonts w:asciiTheme="minorHAnsi" w:hAnsiTheme="minorHAnsi" w:cs="Calibri"/>
        </w:rPr>
        <w:t xml:space="preserve">To estimate the impact of qualification attainment on employment, we adopted a </w:t>
      </w:r>
      <w:r w:rsidRPr="0078056B">
        <w:rPr>
          <w:b/>
          <w:color w:val="06357A"/>
        </w:rPr>
        <w:t>probit model</w:t>
      </w:r>
      <w:r w:rsidRPr="0078056B">
        <w:rPr>
          <w:rFonts w:asciiTheme="minorHAnsi" w:hAnsiTheme="minorHAnsi" w:cs="Calibri"/>
        </w:rPr>
        <w:t xml:space="preserve"> to assess the likelihood of different qualification holders being in employment or otherwise. The basic specification defines an individual’s labour market outcome to be either in employment (working for payment or profit for more than 1 hour in the reference week (using the standard International Labour Organisation definition) or not in employment (being either unemployed or economically inactive)). The specification of the probit model was as follows:</w:t>
      </w:r>
    </w:p>
    <w:p w14:paraId="7AE8C130" w14:textId="77777777" w:rsidR="003A6119" w:rsidRPr="0078056B" w:rsidRDefault="003A6119" w:rsidP="003A6119">
      <w:pPr>
        <w:spacing w:before="120" w:after="120"/>
        <w:rPr>
          <w:rFonts w:asciiTheme="minorHAnsi" w:hAnsiTheme="minorHAnsi" w:cs="Calibri"/>
        </w:rPr>
      </w:pPr>
      <w:r w:rsidRPr="0078056B">
        <w:rPr>
          <w:rFonts w:asciiTheme="minorHAnsi" w:hAnsiTheme="minorHAnsi" w:cs="Calibri"/>
        </w:rPr>
        <w:t xml:space="preserve"> </w:t>
      </w:r>
      <m:oMath>
        <m:r>
          <w:rPr>
            <w:rFonts w:ascii="Cambria Math" w:hAnsi="Cambria Math" w:cs="Calibri"/>
          </w:rPr>
          <m:t>Probit</m:t>
        </m:r>
        <m:d>
          <m:dPr>
            <m:ctrlPr>
              <w:rPr>
                <w:rFonts w:ascii="Cambria Math" w:hAnsi="Cambria Math" w:cs="Calibri"/>
                <w:i/>
              </w:rPr>
            </m:ctrlPr>
          </m:dPr>
          <m:e>
            <m:r>
              <w:rPr>
                <w:rFonts w:ascii="Cambria Math" w:hAnsi="Cambria Math" w:cs="Calibri"/>
              </w:rPr>
              <m:t>EMPNO</m:t>
            </m:r>
            <m:sSub>
              <m:sSubPr>
                <m:ctrlPr>
                  <w:rPr>
                    <w:rFonts w:ascii="Cambria Math" w:hAnsi="Cambria Math" w:cs="Calibri"/>
                    <w:i/>
                  </w:rPr>
                </m:ctrlPr>
              </m:sSubPr>
              <m:e>
                <m:r>
                  <w:rPr>
                    <w:rFonts w:ascii="Cambria Math" w:hAnsi="Cambria Math" w:cs="Calibri"/>
                  </w:rPr>
                  <m:t>T</m:t>
                </m:r>
              </m:e>
              <m:sub>
                <m:r>
                  <w:rPr>
                    <w:rFonts w:ascii="Cambria Math" w:hAnsi="Cambria Math" w:cs="Calibri"/>
                  </w:rPr>
                  <m:t>i</m:t>
                </m:r>
              </m:sub>
            </m:sSub>
          </m:e>
        </m:d>
        <m:r>
          <w:rPr>
            <w:rFonts w:ascii="Cambria Math" w:hAnsi="Cambria Math" w:cs="Calibri"/>
          </w:rPr>
          <m:t>=α+γ</m:t>
        </m:r>
        <m:sSub>
          <m:sSubPr>
            <m:ctrlPr>
              <w:rPr>
                <w:rFonts w:ascii="Cambria Math" w:hAnsi="Cambria Math" w:cs="Calibri"/>
                <w:i/>
              </w:rPr>
            </m:ctrlPr>
          </m:sSubPr>
          <m:e>
            <m:r>
              <w:rPr>
                <w:rFonts w:ascii="Cambria Math" w:hAnsi="Cambria Math" w:cs="Calibri"/>
              </w:rPr>
              <m:t>Z</m:t>
            </m:r>
          </m:e>
          <m:sub>
            <m:r>
              <w:rPr>
                <w:rFonts w:ascii="Cambria Math" w:hAnsi="Cambria Math" w:cs="Calibri"/>
              </w:rPr>
              <m:t>i</m:t>
            </m:r>
          </m:sub>
        </m:sSub>
        <m:r>
          <w:rPr>
            <w:rFonts w:ascii="Cambria Math" w:hAnsi="Cambria Math" w:cs="Calibri"/>
          </w:rPr>
          <m:t>+</m:t>
        </m:r>
        <m:sSub>
          <m:sSubPr>
            <m:ctrlPr>
              <w:rPr>
                <w:rFonts w:ascii="Cambria Math" w:hAnsi="Cambria Math" w:cs="Calibri"/>
                <w:i/>
              </w:rPr>
            </m:ctrlPr>
          </m:sSubPr>
          <m:e>
            <m:r>
              <w:rPr>
                <w:rFonts w:ascii="Cambria Math" w:hAnsi="Cambria Math" w:cs="Calibri"/>
              </w:rPr>
              <m:t>ϵ</m:t>
            </m:r>
          </m:e>
          <m:sub>
            <m:r>
              <w:rPr>
                <w:rFonts w:ascii="Cambria Math" w:hAnsi="Cambria Math" w:cs="Calibri"/>
              </w:rPr>
              <m:t>i</m:t>
            </m:r>
          </m:sub>
        </m:sSub>
      </m:oMath>
      <w:r w:rsidRPr="0078056B">
        <w:rPr>
          <w:rFonts w:asciiTheme="minorHAnsi" w:hAnsiTheme="minorHAnsi" w:cs="Calibri"/>
        </w:rPr>
        <w:t xml:space="preserve">      for </w:t>
      </w:r>
      <w:r w:rsidRPr="0078056B">
        <w:rPr>
          <w:rFonts w:asciiTheme="minorHAnsi" w:hAnsiTheme="minorHAnsi" w:cs="Calibri"/>
          <w:i/>
        </w:rPr>
        <w:t xml:space="preserve">i = </w:t>
      </w:r>
      <w:r w:rsidRPr="0078056B">
        <w:rPr>
          <w:rFonts w:asciiTheme="minorHAnsi" w:hAnsiTheme="minorHAnsi" w:cs="Calibri"/>
        </w:rPr>
        <w:t>1 to n</w:t>
      </w:r>
      <w:r w:rsidRPr="0078056B">
        <w:rPr>
          <w:rStyle w:val="FootnoteReference"/>
          <w:rFonts w:asciiTheme="minorHAnsi" w:hAnsiTheme="minorHAnsi"/>
        </w:rPr>
        <w:footnoteReference w:id="122"/>
      </w:r>
    </w:p>
    <w:p w14:paraId="4E485A7A" w14:textId="77777777" w:rsidR="003A6119" w:rsidRPr="0078056B" w:rsidRDefault="003A6119" w:rsidP="003A6119">
      <w:pPr>
        <w:spacing w:before="120" w:after="120"/>
        <w:rPr>
          <w:rFonts w:asciiTheme="minorHAnsi" w:hAnsiTheme="minorHAnsi" w:cs="Calibri"/>
        </w:rPr>
      </w:pPr>
      <w:r w:rsidRPr="0078056B">
        <w:rPr>
          <w:rFonts w:asciiTheme="minorHAnsi" w:hAnsiTheme="minorHAnsi" w:cs="Calibri"/>
        </w:rPr>
        <w:t xml:space="preserve">The dependent variable adopted represents the binary variable </w:t>
      </w:r>
      <m:oMath>
        <m:r>
          <w:rPr>
            <w:rFonts w:ascii="Cambria Math" w:hAnsi="Cambria Math" w:cs="Calibri"/>
          </w:rPr>
          <m:t>EMPNO</m:t>
        </m:r>
        <m:sSub>
          <m:sSubPr>
            <m:ctrlPr>
              <w:rPr>
                <w:rFonts w:ascii="Cambria Math" w:hAnsi="Cambria Math" w:cs="Calibri"/>
                <w:i/>
              </w:rPr>
            </m:ctrlPr>
          </m:sSubPr>
          <m:e>
            <m:r>
              <w:rPr>
                <w:rFonts w:ascii="Cambria Math" w:hAnsi="Cambria Math" w:cs="Calibri"/>
              </w:rPr>
              <m:t>T</m:t>
            </m:r>
          </m:e>
          <m:sub>
            <m:r>
              <w:rPr>
                <w:rFonts w:ascii="Cambria Math" w:hAnsi="Cambria Math" w:cs="Calibri"/>
              </w:rPr>
              <m:t>i</m:t>
            </m:r>
          </m:sub>
        </m:sSub>
      </m:oMath>
      <w:r w:rsidRPr="0078056B">
        <w:rPr>
          <w:rFonts w:asciiTheme="minorHAnsi" w:hAnsiTheme="minorHAnsi" w:cs="Calibri"/>
        </w:rPr>
        <w:t>, which is coded 1 if the individual is in employment and 0 otherwise.</w:t>
      </w:r>
      <w:r w:rsidRPr="0078056B">
        <w:rPr>
          <w:rStyle w:val="FootnoteReference"/>
          <w:rFonts w:asciiTheme="minorHAnsi" w:hAnsiTheme="minorHAnsi"/>
        </w:rPr>
        <w:footnoteReference w:id="123"/>
      </w:r>
      <w:r w:rsidRPr="0078056B">
        <w:rPr>
          <w:rFonts w:asciiTheme="minorHAnsi" w:hAnsiTheme="minorHAnsi" w:cs="Calibri"/>
        </w:rPr>
        <w:t xml:space="preserve"> We specified the model to contain a constant term (</w:t>
      </w:r>
      <m:oMath>
        <m:r>
          <w:rPr>
            <w:rFonts w:ascii="Cambria Math" w:hAnsi="Cambria Math" w:cs="Calibri"/>
          </w:rPr>
          <m:t>α</m:t>
        </m:r>
      </m:oMath>
      <w:r w:rsidRPr="0078056B">
        <w:rPr>
          <w:rFonts w:asciiTheme="minorHAnsi" w:eastAsiaTheme="minorEastAsia" w:hAnsiTheme="minorHAnsi" w:cs="Calibri"/>
        </w:rPr>
        <w:t>)</w:t>
      </w:r>
      <w:r w:rsidRPr="0078056B">
        <w:rPr>
          <w:rFonts w:asciiTheme="minorHAnsi" w:hAnsiTheme="minorHAnsi" w:cs="Calibri"/>
        </w:rPr>
        <w:t xml:space="preserve"> as well as a number of standard independent variables, including the qualifications held by an individual (represented by </w:t>
      </w:r>
      <m:oMath>
        <m:sSub>
          <m:sSubPr>
            <m:ctrlPr>
              <w:rPr>
                <w:rFonts w:ascii="Cambria Math" w:hAnsi="Cambria Math" w:cs="Calibri"/>
                <w:i/>
                <w:vertAlign w:val="subscript"/>
              </w:rPr>
            </m:ctrlPr>
          </m:sSubPr>
          <m:e>
            <m:r>
              <w:rPr>
                <w:rFonts w:ascii="Cambria Math" w:hAnsi="Cambria Math" w:cs="Calibri"/>
                <w:vertAlign w:val="subscript"/>
              </w:rPr>
              <m:t>Z</m:t>
            </m:r>
          </m:e>
          <m:sub>
            <m:r>
              <w:rPr>
                <w:rFonts w:ascii="Cambria Math" w:hAnsi="Cambria Math" w:cs="Calibri"/>
                <w:vertAlign w:val="subscript"/>
              </w:rPr>
              <m:t>i</m:t>
            </m:r>
          </m:sub>
        </m:sSub>
      </m:oMath>
      <w:r w:rsidRPr="0078056B">
        <w:rPr>
          <w:rFonts w:asciiTheme="minorHAnsi" w:hAnsiTheme="minorHAnsi" w:cs="Calibri"/>
        </w:rPr>
        <w:t xml:space="preserve"> in the above equation), as follows:</w:t>
      </w:r>
    </w:p>
    <w:p w14:paraId="48C3E6E4" w14:textId="77777777" w:rsidR="003A6119" w:rsidRPr="0078056B" w:rsidRDefault="003A6119" w:rsidP="003A6119">
      <w:pPr>
        <w:pStyle w:val="MinorBullet1"/>
        <w:numPr>
          <w:ilvl w:val="0"/>
          <w:numId w:val="21"/>
        </w:numPr>
      </w:pPr>
      <w:r w:rsidRPr="0078056B">
        <w:t>Highest qualification held;</w:t>
      </w:r>
    </w:p>
    <w:p w14:paraId="1E7D9A3D" w14:textId="77777777" w:rsidR="003A6119" w:rsidRPr="0078056B" w:rsidRDefault="003A6119" w:rsidP="003A6119">
      <w:pPr>
        <w:pStyle w:val="MinorBullet1"/>
        <w:numPr>
          <w:ilvl w:val="0"/>
          <w:numId w:val="21"/>
        </w:numPr>
      </w:pPr>
      <w:r w:rsidRPr="0078056B">
        <w:t>Age;</w:t>
      </w:r>
    </w:p>
    <w:p w14:paraId="5392CEBB" w14:textId="77777777" w:rsidR="003A6119" w:rsidRPr="0078056B" w:rsidRDefault="003A6119" w:rsidP="003A6119">
      <w:pPr>
        <w:pStyle w:val="MinorBullet1"/>
        <w:numPr>
          <w:ilvl w:val="0"/>
          <w:numId w:val="21"/>
        </w:numPr>
      </w:pPr>
      <w:r w:rsidRPr="0078056B">
        <w:t>Age squared;</w:t>
      </w:r>
    </w:p>
    <w:p w14:paraId="4211BB18" w14:textId="77777777" w:rsidR="003A6119" w:rsidRPr="0078056B" w:rsidRDefault="003A6119" w:rsidP="003A6119">
      <w:pPr>
        <w:pStyle w:val="MinorBullet1"/>
        <w:numPr>
          <w:ilvl w:val="0"/>
          <w:numId w:val="21"/>
        </w:numPr>
      </w:pPr>
      <w:r w:rsidRPr="0078056B">
        <w:t>Ethnic origin;</w:t>
      </w:r>
    </w:p>
    <w:p w14:paraId="3D43556B" w14:textId="77777777" w:rsidR="003A6119" w:rsidRPr="0078056B" w:rsidRDefault="003A6119" w:rsidP="003A6119">
      <w:pPr>
        <w:pStyle w:val="MinorBullet1"/>
        <w:numPr>
          <w:ilvl w:val="0"/>
          <w:numId w:val="21"/>
        </w:numPr>
      </w:pPr>
      <w:r w:rsidRPr="0078056B">
        <w:t>Disability status;</w:t>
      </w:r>
    </w:p>
    <w:p w14:paraId="5B30D192" w14:textId="77777777" w:rsidR="003A6119" w:rsidRPr="0078056B" w:rsidRDefault="003A6119" w:rsidP="003A6119">
      <w:pPr>
        <w:pStyle w:val="MinorBullet1"/>
        <w:numPr>
          <w:ilvl w:val="0"/>
          <w:numId w:val="21"/>
        </w:numPr>
      </w:pPr>
      <w:r w:rsidRPr="0078056B">
        <w:t>Region of usual residence;</w:t>
      </w:r>
    </w:p>
    <w:p w14:paraId="7AE4B6DC" w14:textId="77777777" w:rsidR="003A6119" w:rsidRPr="0078056B" w:rsidRDefault="003A6119" w:rsidP="003A6119">
      <w:pPr>
        <w:pStyle w:val="MinorBullet1"/>
        <w:numPr>
          <w:ilvl w:val="0"/>
          <w:numId w:val="21"/>
        </w:numPr>
      </w:pPr>
      <w:r w:rsidRPr="0078056B">
        <w:t>Marital status;</w:t>
      </w:r>
    </w:p>
    <w:p w14:paraId="33481A8C" w14:textId="77777777" w:rsidR="003A6119" w:rsidRPr="0078056B" w:rsidRDefault="003A6119" w:rsidP="003A6119">
      <w:pPr>
        <w:pStyle w:val="MinorBullet1"/>
        <w:numPr>
          <w:ilvl w:val="0"/>
          <w:numId w:val="21"/>
        </w:numPr>
        <w:rPr>
          <w:b/>
          <w:color w:val="4F81BD"/>
        </w:rPr>
      </w:pPr>
      <w:r w:rsidRPr="0078056B">
        <w:t>Number of dependent children under the age of 16; and</w:t>
      </w:r>
    </w:p>
    <w:p w14:paraId="702F33D0" w14:textId="180B22BD" w:rsidR="003A6119" w:rsidRPr="0078056B" w:rsidRDefault="003A6119" w:rsidP="003A6119">
      <w:pPr>
        <w:pStyle w:val="MinorBullet1"/>
        <w:numPr>
          <w:ilvl w:val="0"/>
          <w:numId w:val="21"/>
        </w:numPr>
        <w:rPr>
          <w:rFonts w:asciiTheme="minorHAnsi" w:hAnsiTheme="minorHAnsi" w:cs="Calibri"/>
        </w:rPr>
      </w:pPr>
      <w:r w:rsidRPr="0078056B">
        <w:t xml:space="preserve">Yearly </w:t>
      </w:r>
      <w:r w:rsidR="00CD54E1" w:rsidRPr="0078056B">
        <w:t>d</w:t>
      </w:r>
      <w:r w:rsidRPr="0078056B">
        <w:t>ummies.</w:t>
      </w:r>
    </w:p>
    <w:p w14:paraId="5DE3B34A" w14:textId="77777777" w:rsidR="003A6119" w:rsidRPr="0078056B" w:rsidRDefault="003A6119" w:rsidP="003A6119">
      <w:r w:rsidRPr="0078056B">
        <w:t xml:space="preserve">Again, </w:t>
      </w:r>
      <m:oMath>
        <m:sSub>
          <m:sSubPr>
            <m:ctrlPr>
              <w:rPr>
                <w:rFonts w:ascii="Cambria Math" w:hAnsi="Cambria Math"/>
                <w:i/>
                <w:vertAlign w:val="subscript"/>
              </w:rPr>
            </m:ctrlPr>
          </m:sSubPr>
          <m:e>
            <m:r>
              <w:rPr>
                <w:rFonts w:ascii="Cambria Math" w:hAnsi="Cambria Math"/>
                <w:vertAlign w:val="subscript"/>
              </w:rPr>
              <m:t>ϵ</m:t>
            </m:r>
          </m:e>
          <m:sub>
            <m:r>
              <w:rPr>
                <w:rFonts w:ascii="Cambria Math" w:hAnsi="Cambria Math"/>
                <w:vertAlign w:val="subscript"/>
              </w:rPr>
              <m:t>i</m:t>
            </m:r>
          </m:sub>
        </m:sSub>
        <m:r>
          <w:rPr>
            <w:rFonts w:ascii="Cambria Math" w:hAnsi="Cambria Math"/>
            <w:vertAlign w:val="subscript"/>
          </w:rPr>
          <m:t xml:space="preserve"> </m:t>
        </m:r>
      </m:oMath>
      <w:r w:rsidRPr="0078056B">
        <w:t xml:space="preserve">represents an error term. Similar to the methodology for estimating earnings returns, the described probit model was estimated in aggregate and </w:t>
      </w:r>
      <w:r w:rsidRPr="0078056B">
        <w:rPr>
          <w:b/>
          <w:color w:val="06357A"/>
        </w:rPr>
        <w:t>separately for men and women</w:t>
      </w:r>
      <w:r w:rsidRPr="0078056B">
        <w:t xml:space="preserve">, with the analysis further split by respective </w:t>
      </w:r>
      <w:r w:rsidRPr="0078056B">
        <w:rPr>
          <w:b/>
          <w:color w:val="06357A"/>
        </w:rPr>
        <w:t>age bands</w:t>
      </w:r>
      <w:r w:rsidRPr="0078056B">
        <w:t xml:space="preserve">, and adjusted for the specific </w:t>
      </w:r>
      <w:r w:rsidRPr="0078056B">
        <w:rPr>
          <w:b/>
          <w:color w:val="06357A"/>
        </w:rPr>
        <w:t>subject mix</w:t>
      </w:r>
      <w:r w:rsidRPr="0078056B">
        <w:rPr>
          <w:color w:val="0B5ED7" w:themeColor="accent2"/>
        </w:rPr>
        <w:t xml:space="preserve"> </w:t>
      </w:r>
      <w:r w:rsidRPr="0078056B">
        <w:t xml:space="preserve">of students in the 2021-22 cohort of UK domiciled students attending the University of Birmingham. Further, and again similar to the analysis of earnings returns, employment returns were estimated at the national (i.e. UK-wide) level. In addition, marginal employment returns for first degrees again reflect the specific prior level of attainment of first degree students in the 2021-22 University of Birmingham cohort (i.e. the proportions of students in possession of GCE ‘A’ levels or other types of RQF Level 3 qualifications as their highest prior attainment on entry). </w:t>
      </w:r>
    </w:p>
    <w:p w14:paraId="0361FA20" w14:textId="28BD6972" w:rsidR="003A6119" w:rsidRPr="0078056B" w:rsidRDefault="003A6119" w:rsidP="003A6119">
      <w:pPr>
        <w:rPr>
          <w:rFonts w:asciiTheme="minorHAnsi" w:hAnsiTheme="minorHAnsi" w:cs="Calibri"/>
        </w:rPr>
      </w:pPr>
      <w:r w:rsidRPr="0078056B">
        <w:lastRenderedPageBreak/>
        <w:t xml:space="preserve">The resulting estimated marginal employment returns to HE qualifications are presented in </w:t>
      </w:r>
      <w:r w:rsidR="003428FF" w:rsidRPr="0078056B">
        <w:fldChar w:fldCharType="begin"/>
      </w:r>
      <w:r w:rsidR="003428FF" w:rsidRPr="0078056B">
        <w:instrText xml:space="preserve"> REF _Ref161751052 \r \h </w:instrText>
      </w:r>
      <w:r w:rsidR="0078056B">
        <w:instrText xml:space="preserve"> \* MERGEFORMAT </w:instrText>
      </w:r>
      <w:r w:rsidR="003428FF" w:rsidRPr="0078056B">
        <w:fldChar w:fldCharType="separate"/>
      </w:r>
      <w:r w:rsidR="00E33157">
        <w:t>Table 18</w:t>
      </w:r>
      <w:r w:rsidR="003428FF" w:rsidRPr="0078056B">
        <w:fldChar w:fldCharType="end"/>
      </w:r>
      <w:r w:rsidRPr="0078056B">
        <w:t xml:space="preserve">. </w:t>
      </w:r>
      <w:r w:rsidRPr="0078056B">
        <w:rPr>
          <w:rFonts w:asciiTheme="minorHAnsi" w:hAnsiTheme="minorHAnsi" w:cs="Calibri"/>
        </w:rPr>
        <w:t xml:space="preserve">In the employment regressions, the relevant coefficients provide estimates of the impact of the qualification on the probability of being in employment (expressed in percentage points). Again, to take an example, the analysis estimates that a man aged between 31 and 35 in possession of a first degree is </w:t>
      </w:r>
      <w:r w:rsidRPr="0078056B">
        <w:rPr>
          <w:b/>
          <w:color w:val="06357A"/>
        </w:rPr>
        <w:t>2.1 percentage points</w:t>
      </w:r>
      <w:r w:rsidRPr="0078056B">
        <w:rPr>
          <w:rFonts w:asciiTheme="minorHAnsi" w:hAnsiTheme="minorHAnsi" w:cs="Calibri"/>
          <w:color w:val="0B5ED7" w:themeColor="accent2"/>
        </w:rPr>
        <w:t xml:space="preserve"> </w:t>
      </w:r>
      <w:r w:rsidRPr="0078056B">
        <w:rPr>
          <w:rFonts w:asciiTheme="minorHAnsi" w:hAnsiTheme="minorHAnsi" w:cs="Calibri"/>
        </w:rPr>
        <w:t xml:space="preserve">more likely to be in employment than a man of similar age holding only a Level 3 qualification as his highest level of education (again, predominantly including GCE ‘A’ levels or equivalent). The corresponding estimate for women stands at </w:t>
      </w:r>
      <w:r w:rsidRPr="0078056B">
        <w:rPr>
          <w:b/>
          <w:color w:val="06357A"/>
        </w:rPr>
        <w:t>6.0 percentage points</w:t>
      </w:r>
      <w:r w:rsidRPr="0078056B">
        <w:rPr>
          <w:rFonts w:asciiTheme="minorHAnsi" w:hAnsiTheme="minorHAnsi" w:cs="Calibri"/>
        </w:rPr>
        <w:t>.</w:t>
      </w:r>
    </w:p>
    <w:p w14:paraId="7854748C" w14:textId="77777777" w:rsidR="003428FF" w:rsidRPr="0078056B" w:rsidRDefault="003428FF" w:rsidP="003428FF">
      <w:pPr>
        <w:pStyle w:val="TableTitle"/>
      </w:pPr>
      <w:bookmarkStart w:id="488" w:name="_Ref161751052"/>
      <w:bookmarkStart w:id="489" w:name="_Toc162275847"/>
      <w:bookmarkStart w:id="490" w:name="_Toc168652173"/>
      <w:r w:rsidRPr="0078056B">
        <w:t>Marginal employment returns to higher education qualifications (weighted across subjects), in percentage points, by gender and age band</w:t>
      </w:r>
      <w:bookmarkEnd w:id="488"/>
      <w:bookmarkEnd w:id="489"/>
      <w:bookmarkEnd w:id="490"/>
    </w:p>
    <w:tbl>
      <w:tblPr>
        <w:tblW w:w="4952" w:type="pct"/>
        <w:jc w:val="center"/>
        <w:tblBorders>
          <w:top w:val="single" w:sz="4" w:space="0" w:color="BFBFBF"/>
          <w:bottom w:val="single" w:sz="4" w:space="0" w:color="BFBFBF"/>
          <w:insideH w:val="single" w:sz="4" w:space="0" w:color="BFBFBF"/>
          <w:insideV w:val="single" w:sz="4" w:space="0" w:color="BFBFBF"/>
        </w:tblBorders>
        <w:tblCellMar>
          <w:left w:w="0" w:type="dxa"/>
          <w:right w:w="0" w:type="dxa"/>
        </w:tblCellMar>
        <w:tblLook w:val="0000" w:firstRow="0" w:lastRow="0" w:firstColumn="0" w:lastColumn="0" w:noHBand="0" w:noVBand="0"/>
      </w:tblPr>
      <w:tblGrid>
        <w:gridCol w:w="3371"/>
        <w:gridCol w:w="639"/>
        <w:gridCol w:w="513"/>
        <w:gridCol w:w="555"/>
        <w:gridCol w:w="536"/>
        <w:gridCol w:w="519"/>
        <w:gridCol w:w="557"/>
        <w:gridCol w:w="538"/>
        <w:gridCol w:w="519"/>
        <w:gridCol w:w="506"/>
        <w:gridCol w:w="506"/>
      </w:tblGrid>
      <w:tr w:rsidR="003428FF" w:rsidRPr="0078056B" w14:paraId="31861F9A" w14:textId="77777777" w:rsidTr="00C042A1">
        <w:trPr>
          <w:trHeight w:val="290"/>
          <w:jc w:val="center"/>
        </w:trPr>
        <w:tc>
          <w:tcPr>
            <w:tcW w:w="1924" w:type="pct"/>
            <w:vMerge w:val="restart"/>
            <w:tcBorders>
              <w:top w:val="single" w:sz="4" w:space="0" w:color="06357A"/>
            </w:tcBorders>
            <w:vAlign w:val="center"/>
          </w:tcPr>
          <w:p w14:paraId="5B081E16" w14:textId="77777777" w:rsidR="003428FF" w:rsidRPr="0078056B" w:rsidRDefault="003428FF" w:rsidP="00C042A1">
            <w:pPr>
              <w:pStyle w:val="TableHeading"/>
              <w:keepNext/>
              <w:rPr>
                <w:rFonts w:asciiTheme="minorHAnsi" w:hAnsiTheme="minorHAnsi"/>
                <w:sz w:val="18"/>
                <w:szCs w:val="18"/>
              </w:rPr>
            </w:pPr>
            <w:r w:rsidRPr="0078056B">
              <w:rPr>
                <w:rFonts w:asciiTheme="minorHAnsi" w:hAnsiTheme="minorHAnsi"/>
                <w:sz w:val="18"/>
                <w:szCs w:val="18"/>
              </w:rPr>
              <w:t>Qualification level</w:t>
            </w:r>
          </w:p>
        </w:tc>
        <w:tc>
          <w:tcPr>
            <w:tcW w:w="3076" w:type="pct"/>
            <w:gridSpan w:val="10"/>
            <w:tcBorders>
              <w:top w:val="single" w:sz="4" w:space="0" w:color="06357A"/>
              <w:bottom w:val="single" w:sz="4" w:space="0" w:color="06357A"/>
            </w:tcBorders>
            <w:shd w:val="clear" w:color="auto" w:fill="auto"/>
            <w:vAlign w:val="center"/>
          </w:tcPr>
          <w:p w14:paraId="61771C50" w14:textId="77777777" w:rsidR="003428FF" w:rsidRPr="0078056B" w:rsidRDefault="003428FF" w:rsidP="00C042A1">
            <w:pPr>
              <w:pStyle w:val="TableHeading"/>
              <w:keepNext/>
              <w:jc w:val="center"/>
              <w:rPr>
                <w:rFonts w:asciiTheme="minorHAnsi" w:hAnsiTheme="minorHAnsi"/>
                <w:bCs/>
                <w:sz w:val="18"/>
                <w:szCs w:val="18"/>
              </w:rPr>
            </w:pPr>
            <w:r w:rsidRPr="0078056B">
              <w:rPr>
                <w:rFonts w:asciiTheme="minorHAnsi" w:hAnsiTheme="minorHAnsi"/>
                <w:bCs/>
                <w:sz w:val="18"/>
                <w:szCs w:val="18"/>
              </w:rPr>
              <w:t>Age band</w:t>
            </w:r>
          </w:p>
        </w:tc>
      </w:tr>
      <w:tr w:rsidR="003428FF" w:rsidRPr="0078056B" w14:paraId="7A3D900C" w14:textId="77777777" w:rsidTr="00C042A1">
        <w:trPr>
          <w:trHeight w:val="290"/>
          <w:jc w:val="center"/>
        </w:trPr>
        <w:tc>
          <w:tcPr>
            <w:tcW w:w="1924" w:type="pct"/>
            <w:vMerge/>
            <w:tcBorders>
              <w:bottom w:val="single" w:sz="4" w:space="0" w:color="06357A"/>
            </w:tcBorders>
            <w:vAlign w:val="center"/>
          </w:tcPr>
          <w:p w14:paraId="01771810" w14:textId="77777777" w:rsidR="003428FF" w:rsidRPr="0078056B" w:rsidRDefault="003428FF" w:rsidP="00C042A1">
            <w:pPr>
              <w:pStyle w:val="TableHeading"/>
              <w:keepNext/>
              <w:rPr>
                <w:sz w:val="18"/>
                <w:szCs w:val="18"/>
              </w:rPr>
            </w:pPr>
          </w:p>
        </w:tc>
        <w:tc>
          <w:tcPr>
            <w:tcW w:w="365" w:type="pct"/>
            <w:tcBorders>
              <w:top w:val="single" w:sz="4" w:space="0" w:color="06357A"/>
              <w:bottom w:val="single" w:sz="4" w:space="0" w:color="06357A"/>
            </w:tcBorders>
            <w:shd w:val="clear" w:color="auto" w:fill="auto"/>
            <w:vAlign w:val="center"/>
          </w:tcPr>
          <w:p w14:paraId="50E2CB5E" w14:textId="77777777" w:rsidR="003428FF" w:rsidRPr="0078056B" w:rsidRDefault="003428FF" w:rsidP="00C042A1">
            <w:pPr>
              <w:pStyle w:val="TableHeading"/>
              <w:keepNext/>
              <w:ind w:left="0"/>
              <w:jc w:val="center"/>
              <w:rPr>
                <w:sz w:val="18"/>
                <w:szCs w:val="18"/>
              </w:rPr>
            </w:pPr>
            <w:r w:rsidRPr="0078056B">
              <w:rPr>
                <w:rFonts w:asciiTheme="minorHAnsi" w:hAnsiTheme="minorHAnsi"/>
                <w:bCs/>
                <w:sz w:val="18"/>
                <w:szCs w:val="18"/>
              </w:rPr>
              <w:t>16-20</w:t>
            </w:r>
          </w:p>
        </w:tc>
        <w:tc>
          <w:tcPr>
            <w:tcW w:w="293" w:type="pct"/>
            <w:tcBorders>
              <w:top w:val="single" w:sz="4" w:space="0" w:color="06357A"/>
              <w:bottom w:val="single" w:sz="4" w:space="0" w:color="06357A"/>
            </w:tcBorders>
            <w:shd w:val="clear" w:color="auto" w:fill="auto"/>
            <w:vAlign w:val="center"/>
          </w:tcPr>
          <w:p w14:paraId="27A0BFC6" w14:textId="77777777" w:rsidR="003428FF" w:rsidRPr="0078056B" w:rsidRDefault="003428FF" w:rsidP="00C042A1">
            <w:pPr>
              <w:pStyle w:val="TableHeading"/>
              <w:keepNext/>
              <w:ind w:left="0"/>
              <w:jc w:val="center"/>
              <w:rPr>
                <w:sz w:val="18"/>
                <w:szCs w:val="18"/>
              </w:rPr>
            </w:pPr>
            <w:r w:rsidRPr="0078056B">
              <w:rPr>
                <w:rFonts w:asciiTheme="minorHAnsi" w:hAnsiTheme="minorHAnsi"/>
                <w:bCs/>
                <w:sz w:val="18"/>
                <w:szCs w:val="18"/>
              </w:rPr>
              <w:t>21-25</w:t>
            </w:r>
          </w:p>
        </w:tc>
        <w:tc>
          <w:tcPr>
            <w:tcW w:w="317" w:type="pct"/>
            <w:tcBorders>
              <w:top w:val="single" w:sz="4" w:space="0" w:color="06357A"/>
              <w:bottom w:val="single" w:sz="4" w:space="0" w:color="06357A"/>
            </w:tcBorders>
            <w:shd w:val="clear" w:color="auto" w:fill="auto"/>
            <w:vAlign w:val="center"/>
          </w:tcPr>
          <w:p w14:paraId="5CE9E013" w14:textId="77777777" w:rsidR="003428FF" w:rsidRPr="0078056B" w:rsidRDefault="003428FF" w:rsidP="00C042A1">
            <w:pPr>
              <w:pStyle w:val="TableHeading"/>
              <w:keepNext/>
              <w:ind w:left="0"/>
              <w:jc w:val="center"/>
              <w:rPr>
                <w:sz w:val="18"/>
                <w:szCs w:val="18"/>
              </w:rPr>
            </w:pPr>
            <w:r w:rsidRPr="0078056B">
              <w:rPr>
                <w:rFonts w:asciiTheme="minorHAnsi" w:hAnsiTheme="minorHAnsi"/>
                <w:bCs/>
                <w:sz w:val="18"/>
                <w:szCs w:val="18"/>
              </w:rPr>
              <w:t>26-30</w:t>
            </w:r>
          </w:p>
        </w:tc>
        <w:tc>
          <w:tcPr>
            <w:tcW w:w="306" w:type="pct"/>
            <w:tcBorders>
              <w:top w:val="single" w:sz="4" w:space="0" w:color="06357A"/>
              <w:bottom w:val="single" w:sz="4" w:space="0" w:color="06357A"/>
            </w:tcBorders>
            <w:shd w:val="clear" w:color="auto" w:fill="auto"/>
            <w:vAlign w:val="center"/>
          </w:tcPr>
          <w:p w14:paraId="13462E3E" w14:textId="77777777" w:rsidR="003428FF" w:rsidRPr="0078056B" w:rsidRDefault="003428FF" w:rsidP="00C042A1">
            <w:pPr>
              <w:pStyle w:val="TableHeading"/>
              <w:keepNext/>
              <w:ind w:left="0"/>
              <w:jc w:val="center"/>
              <w:rPr>
                <w:sz w:val="18"/>
                <w:szCs w:val="18"/>
              </w:rPr>
            </w:pPr>
            <w:r w:rsidRPr="0078056B">
              <w:rPr>
                <w:rFonts w:asciiTheme="minorHAnsi" w:hAnsiTheme="minorHAnsi"/>
                <w:bCs/>
                <w:sz w:val="18"/>
                <w:szCs w:val="18"/>
              </w:rPr>
              <w:t>31-35</w:t>
            </w:r>
          </w:p>
        </w:tc>
        <w:tc>
          <w:tcPr>
            <w:tcW w:w="296" w:type="pct"/>
            <w:tcBorders>
              <w:top w:val="single" w:sz="4" w:space="0" w:color="06357A"/>
              <w:bottom w:val="single" w:sz="4" w:space="0" w:color="06357A"/>
            </w:tcBorders>
            <w:shd w:val="clear" w:color="auto" w:fill="auto"/>
            <w:vAlign w:val="center"/>
          </w:tcPr>
          <w:p w14:paraId="0668C53D" w14:textId="77777777" w:rsidR="003428FF" w:rsidRPr="0078056B" w:rsidRDefault="003428FF" w:rsidP="00C042A1">
            <w:pPr>
              <w:pStyle w:val="TableHeading"/>
              <w:keepNext/>
              <w:ind w:left="0"/>
              <w:jc w:val="center"/>
              <w:rPr>
                <w:sz w:val="18"/>
                <w:szCs w:val="18"/>
              </w:rPr>
            </w:pPr>
            <w:r w:rsidRPr="0078056B">
              <w:rPr>
                <w:rFonts w:asciiTheme="minorHAnsi" w:hAnsiTheme="minorHAnsi"/>
                <w:bCs/>
                <w:sz w:val="18"/>
                <w:szCs w:val="18"/>
              </w:rPr>
              <w:t>36-40</w:t>
            </w:r>
          </w:p>
        </w:tc>
        <w:tc>
          <w:tcPr>
            <w:tcW w:w="318" w:type="pct"/>
            <w:tcBorders>
              <w:top w:val="single" w:sz="4" w:space="0" w:color="06357A"/>
              <w:bottom w:val="single" w:sz="4" w:space="0" w:color="06357A"/>
            </w:tcBorders>
            <w:shd w:val="clear" w:color="auto" w:fill="auto"/>
            <w:vAlign w:val="center"/>
          </w:tcPr>
          <w:p w14:paraId="7C6357EC" w14:textId="77777777" w:rsidR="003428FF" w:rsidRPr="0078056B" w:rsidRDefault="003428FF" w:rsidP="00C042A1">
            <w:pPr>
              <w:pStyle w:val="TableHeading"/>
              <w:keepNext/>
              <w:ind w:left="0"/>
              <w:jc w:val="center"/>
              <w:rPr>
                <w:sz w:val="18"/>
                <w:szCs w:val="18"/>
              </w:rPr>
            </w:pPr>
            <w:r w:rsidRPr="0078056B">
              <w:rPr>
                <w:rFonts w:asciiTheme="minorHAnsi" w:hAnsiTheme="minorHAnsi"/>
                <w:bCs/>
                <w:sz w:val="18"/>
                <w:szCs w:val="18"/>
              </w:rPr>
              <w:t>41-45</w:t>
            </w:r>
          </w:p>
        </w:tc>
        <w:tc>
          <w:tcPr>
            <w:tcW w:w="307" w:type="pct"/>
            <w:tcBorders>
              <w:top w:val="single" w:sz="4" w:space="0" w:color="06357A"/>
              <w:bottom w:val="single" w:sz="4" w:space="0" w:color="06357A"/>
            </w:tcBorders>
            <w:shd w:val="clear" w:color="auto" w:fill="auto"/>
            <w:vAlign w:val="center"/>
          </w:tcPr>
          <w:p w14:paraId="0A3103BB" w14:textId="77777777" w:rsidR="003428FF" w:rsidRPr="0078056B" w:rsidRDefault="003428FF" w:rsidP="00C042A1">
            <w:pPr>
              <w:pStyle w:val="TableHeading"/>
              <w:keepNext/>
              <w:ind w:left="0"/>
              <w:jc w:val="center"/>
              <w:rPr>
                <w:sz w:val="18"/>
                <w:szCs w:val="18"/>
              </w:rPr>
            </w:pPr>
            <w:r w:rsidRPr="0078056B">
              <w:rPr>
                <w:rFonts w:asciiTheme="minorHAnsi" w:hAnsiTheme="minorHAnsi"/>
                <w:bCs/>
                <w:sz w:val="18"/>
                <w:szCs w:val="18"/>
              </w:rPr>
              <w:t>46-50</w:t>
            </w:r>
          </w:p>
        </w:tc>
        <w:tc>
          <w:tcPr>
            <w:tcW w:w="296" w:type="pct"/>
            <w:tcBorders>
              <w:top w:val="single" w:sz="4" w:space="0" w:color="06357A"/>
              <w:bottom w:val="single" w:sz="4" w:space="0" w:color="06357A"/>
            </w:tcBorders>
            <w:shd w:val="clear" w:color="auto" w:fill="auto"/>
            <w:vAlign w:val="center"/>
          </w:tcPr>
          <w:p w14:paraId="1568CE50" w14:textId="77777777" w:rsidR="003428FF" w:rsidRPr="0078056B" w:rsidRDefault="003428FF" w:rsidP="00C042A1">
            <w:pPr>
              <w:pStyle w:val="TableHeading"/>
              <w:keepNext/>
              <w:ind w:left="0"/>
              <w:jc w:val="center"/>
              <w:rPr>
                <w:sz w:val="18"/>
                <w:szCs w:val="18"/>
              </w:rPr>
            </w:pPr>
            <w:r w:rsidRPr="0078056B">
              <w:rPr>
                <w:rFonts w:asciiTheme="minorHAnsi" w:hAnsiTheme="minorHAnsi"/>
                <w:bCs/>
                <w:sz w:val="18"/>
                <w:szCs w:val="18"/>
              </w:rPr>
              <w:t>51-55</w:t>
            </w:r>
          </w:p>
        </w:tc>
        <w:tc>
          <w:tcPr>
            <w:tcW w:w="289" w:type="pct"/>
            <w:tcBorders>
              <w:top w:val="single" w:sz="4" w:space="0" w:color="06357A"/>
              <w:bottom w:val="single" w:sz="4" w:space="0" w:color="06357A"/>
            </w:tcBorders>
            <w:shd w:val="clear" w:color="auto" w:fill="auto"/>
            <w:vAlign w:val="center"/>
          </w:tcPr>
          <w:p w14:paraId="70BFA16F" w14:textId="77777777" w:rsidR="003428FF" w:rsidRPr="0078056B" w:rsidRDefault="003428FF" w:rsidP="00C042A1">
            <w:pPr>
              <w:pStyle w:val="TableHeading"/>
              <w:keepNext/>
              <w:ind w:left="0"/>
              <w:jc w:val="center"/>
              <w:rPr>
                <w:sz w:val="18"/>
                <w:szCs w:val="18"/>
              </w:rPr>
            </w:pPr>
            <w:r w:rsidRPr="0078056B">
              <w:rPr>
                <w:rFonts w:asciiTheme="minorHAnsi" w:hAnsiTheme="minorHAnsi"/>
                <w:bCs/>
                <w:sz w:val="18"/>
                <w:szCs w:val="18"/>
              </w:rPr>
              <w:t>56-60</w:t>
            </w:r>
          </w:p>
        </w:tc>
        <w:tc>
          <w:tcPr>
            <w:tcW w:w="289" w:type="pct"/>
            <w:tcBorders>
              <w:top w:val="single" w:sz="4" w:space="0" w:color="06357A"/>
              <w:bottom w:val="single" w:sz="4" w:space="0" w:color="06357A"/>
            </w:tcBorders>
            <w:shd w:val="clear" w:color="auto" w:fill="auto"/>
            <w:vAlign w:val="center"/>
          </w:tcPr>
          <w:p w14:paraId="02A11F61" w14:textId="77777777" w:rsidR="003428FF" w:rsidRPr="0078056B" w:rsidRDefault="003428FF" w:rsidP="00C042A1">
            <w:pPr>
              <w:pStyle w:val="TableHeading"/>
              <w:keepNext/>
              <w:ind w:left="0"/>
              <w:jc w:val="center"/>
              <w:rPr>
                <w:sz w:val="18"/>
                <w:szCs w:val="18"/>
              </w:rPr>
            </w:pPr>
            <w:r w:rsidRPr="0078056B">
              <w:rPr>
                <w:rFonts w:asciiTheme="minorHAnsi" w:hAnsiTheme="minorHAnsi"/>
                <w:bCs/>
                <w:sz w:val="18"/>
                <w:szCs w:val="18"/>
              </w:rPr>
              <w:t>61-65</w:t>
            </w:r>
          </w:p>
        </w:tc>
      </w:tr>
      <w:tr w:rsidR="003428FF" w:rsidRPr="0078056B" w14:paraId="36AE1217" w14:textId="77777777" w:rsidTr="00C042A1">
        <w:trPr>
          <w:trHeight w:val="290"/>
          <w:jc w:val="center"/>
        </w:trPr>
        <w:tc>
          <w:tcPr>
            <w:tcW w:w="1924" w:type="pct"/>
            <w:tcBorders>
              <w:top w:val="single" w:sz="4" w:space="0" w:color="06357A"/>
              <w:right w:val="nil"/>
            </w:tcBorders>
            <w:shd w:val="clear" w:color="auto" w:fill="06357A" w:themeFill="text2"/>
            <w:vAlign w:val="center"/>
          </w:tcPr>
          <w:p w14:paraId="26CC04F7" w14:textId="77777777" w:rsidR="003428FF" w:rsidRPr="0078056B" w:rsidRDefault="003428FF" w:rsidP="00C042A1">
            <w:pPr>
              <w:pStyle w:val="TableText"/>
              <w:keepNext/>
              <w:rPr>
                <w:b/>
                <w:color w:val="FFFFFF" w:themeColor="background1"/>
                <w:sz w:val="18"/>
                <w:szCs w:val="18"/>
              </w:rPr>
            </w:pPr>
            <w:r w:rsidRPr="0078056B">
              <w:rPr>
                <w:b/>
                <w:color w:val="FFFFFF" w:themeColor="background1"/>
                <w:sz w:val="18"/>
                <w:szCs w:val="18"/>
              </w:rPr>
              <w:t>Men</w:t>
            </w:r>
          </w:p>
        </w:tc>
        <w:tc>
          <w:tcPr>
            <w:tcW w:w="365" w:type="pct"/>
            <w:tcBorders>
              <w:top w:val="single" w:sz="4" w:space="0" w:color="06357A"/>
              <w:left w:val="nil"/>
              <w:right w:val="nil"/>
            </w:tcBorders>
            <w:shd w:val="clear" w:color="auto" w:fill="06357A" w:themeFill="text2"/>
            <w:vAlign w:val="center"/>
          </w:tcPr>
          <w:p w14:paraId="7BE731CC" w14:textId="77777777" w:rsidR="003428FF" w:rsidRPr="0078056B" w:rsidRDefault="003428FF" w:rsidP="00C042A1">
            <w:pPr>
              <w:pStyle w:val="TableText"/>
              <w:keepNext/>
              <w:rPr>
                <w:color w:val="FFFFFF" w:themeColor="background1"/>
                <w:sz w:val="18"/>
                <w:szCs w:val="18"/>
              </w:rPr>
            </w:pPr>
          </w:p>
        </w:tc>
        <w:tc>
          <w:tcPr>
            <w:tcW w:w="293" w:type="pct"/>
            <w:tcBorders>
              <w:top w:val="single" w:sz="4" w:space="0" w:color="06357A"/>
              <w:left w:val="nil"/>
              <w:right w:val="nil"/>
            </w:tcBorders>
            <w:shd w:val="clear" w:color="auto" w:fill="06357A" w:themeFill="text2"/>
            <w:vAlign w:val="center"/>
          </w:tcPr>
          <w:p w14:paraId="6F6E568B" w14:textId="77777777" w:rsidR="003428FF" w:rsidRPr="0078056B" w:rsidRDefault="003428FF" w:rsidP="00C042A1">
            <w:pPr>
              <w:pStyle w:val="TableText"/>
              <w:keepNext/>
              <w:rPr>
                <w:color w:val="FFFFFF" w:themeColor="background1"/>
                <w:sz w:val="18"/>
                <w:szCs w:val="18"/>
              </w:rPr>
            </w:pPr>
          </w:p>
        </w:tc>
        <w:tc>
          <w:tcPr>
            <w:tcW w:w="317" w:type="pct"/>
            <w:tcBorders>
              <w:top w:val="single" w:sz="4" w:space="0" w:color="06357A"/>
              <w:left w:val="nil"/>
              <w:right w:val="nil"/>
            </w:tcBorders>
            <w:shd w:val="clear" w:color="auto" w:fill="06357A" w:themeFill="text2"/>
            <w:vAlign w:val="center"/>
          </w:tcPr>
          <w:p w14:paraId="76FB0103" w14:textId="77777777" w:rsidR="003428FF" w:rsidRPr="0078056B" w:rsidRDefault="003428FF" w:rsidP="00C042A1">
            <w:pPr>
              <w:pStyle w:val="TableText"/>
              <w:keepNext/>
              <w:rPr>
                <w:color w:val="FFFFFF" w:themeColor="background1"/>
                <w:sz w:val="18"/>
                <w:szCs w:val="18"/>
              </w:rPr>
            </w:pPr>
          </w:p>
        </w:tc>
        <w:tc>
          <w:tcPr>
            <w:tcW w:w="306" w:type="pct"/>
            <w:tcBorders>
              <w:top w:val="single" w:sz="4" w:space="0" w:color="06357A"/>
              <w:left w:val="nil"/>
              <w:right w:val="nil"/>
            </w:tcBorders>
            <w:shd w:val="clear" w:color="auto" w:fill="06357A" w:themeFill="text2"/>
            <w:vAlign w:val="center"/>
          </w:tcPr>
          <w:p w14:paraId="1662CD4C" w14:textId="77777777" w:rsidR="003428FF" w:rsidRPr="0078056B" w:rsidRDefault="003428FF" w:rsidP="00C042A1">
            <w:pPr>
              <w:pStyle w:val="TableText"/>
              <w:keepNext/>
              <w:rPr>
                <w:color w:val="FFFFFF" w:themeColor="background1"/>
                <w:sz w:val="18"/>
                <w:szCs w:val="18"/>
              </w:rPr>
            </w:pPr>
          </w:p>
        </w:tc>
        <w:tc>
          <w:tcPr>
            <w:tcW w:w="296" w:type="pct"/>
            <w:tcBorders>
              <w:top w:val="single" w:sz="4" w:space="0" w:color="06357A"/>
              <w:left w:val="nil"/>
              <w:right w:val="nil"/>
            </w:tcBorders>
            <w:shd w:val="clear" w:color="auto" w:fill="06357A" w:themeFill="text2"/>
            <w:vAlign w:val="center"/>
          </w:tcPr>
          <w:p w14:paraId="676AA42A" w14:textId="77777777" w:rsidR="003428FF" w:rsidRPr="0078056B" w:rsidRDefault="003428FF" w:rsidP="00C042A1">
            <w:pPr>
              <w:pStyle w:val="TableText"/>
              <w:keepNext/>
              <w:rPr>
                <w:color w:val="FFFFFF" w:themeColor="background1"/>
                <w:sz w:val="18"/>
                <w:szCs w:val="18"/>
              </w:rPr>
            </w:pPr>
          </w:p>
        </w:tc>
        <w:tc>
          <w:tcPr>
            <w:tcW w:w="318" w:type="pct"/>
            <w:tcBorders>
              <w:top w:val="single" w:sz="4" w:space="0" w:color="06357A"/>
              <w:left w:val="nil"/>
              <w:right w:val="nil"/>
            </w:tcBorders>
            <w:shd w:val="clear" w:color="auto" w:fill="06357A" w:themeFill="text2"/>
            <w:vAlign w:val="center"/>
          </w:tcPr>
          <w:p w14:paraId="0128CB02" w14:textId="77777777" w:rsidR="003428FF" w:rsidRPr="0078056B" w:rsidRDefault="003428FF" w:rsidP="00C042A1">
            <w:pPr>
              <w:pStyle w:val="TableText"/>
              <w:keepNext/>
              <w:rPr>
                <w:color w:val="FFFFFF" w:themeColor="background1"/>
                <w:sz w:val="18"/>
                <w:szCs w:val="18"/>
              </w:rPr>
            </w:pPr>
          </w:p>
        </w:tc>
        <w:tc>
          <w:tcPr>
            <w:tcW w:w="307" w:type="pct"/>
            <w:tcBorders>
              <w:top w:val="single" w:sz="4" w:space="0" w:color="06357A"/>
              <w:left w:val="nil"/>
              <w:right w:val="nil"/>
            </w:tcBorders>
            <w:shd w:val="clear" w:color="auto" w:fill="06357A" w:themeFill="text2"/>
            <w:vAlign w:val="center"/>
          </w:tcPr>
          <w:p w14:paraId="1500C6D9" w14:textId="77777777" w:rsidR="003428FF" w:rsidRPr="0078056B" w:rsidRDefault="003428FF" w:rsidP="00C042A1">
            <w:pPr>
              <w:pStyle w:val="TableText"/>
              <w:keepNext/>
              <w:rPr>
                <w:color w:val="FFFFFF" w:themeColor="background1"/>
                <w:sz w:val="18"/>
                <w:szCs w:val="18"/>
              </w:rPr>
            </w:pPr>
          </w:p>
        </w:tc>
        <w:tc>
          <w:tcPr>
            <w:tcW w:w="296" w:type="pct"/>
            <w:tcBorders>
              <w:top w:val="single" w:sz="4" w:space="0" w:color="06357A"/>
              <w:left w:val="nil"/>
              <w:right w:val="nil"/>
            </w:tcBorders>
            <w:shd w:val="clear" w:color="auto" w:fill="06357A" w:themeFill="text2"/>
            <w:vAlign w:val="center"/>
          </w:tcPr>
          <w:p w14:paraId="59D9325F" w14:textId="77777777" w:rsidR="003428FF" w:rsidRPr="0078056B" w:rsidRDefault="003428FF" w:rsidP="00C042A1">
            <w:pPr>
              <w:pStyle w:val="TableText"/>
              <w:keepNext/>
              <w:rPr>
                <w:color w:val="FFFFFF" w:themeColor="background1"/>
                <w:sz w:val="18"/>
                <w:szCs w:val="18"/>
              </w:rPr>
            </w:pPr>
          </w:p>
        </w:tc>
        <w:tc>
          <w:tcPr>
            <w:tcW w:w="289" w:type="pct"/>
            <w:tcBorders>
              <w:top w:val="single" w:sz="4" w:space="0" w:color="06357A"/>
              <w:left w:val="nil"/>
              <w:right w:val="nil"/>
            </w:tcBorders>
            <w:shd w:val="clear" w:color="auto" w:fill="06357A" w:themeFill="text2"/>
            <w:vAlign w:val="center"/>
          </w:tcPr>
          <w:p w14:paraId="7C6E4D0C" w14:textId="77777777" w:rsidR="003428FF" w:rsidRPr="0078056B" w:rsidRDefault="003428FF" w:rsidP="00C042A1">
            <w:pPr>
              <w:pStyle w:val="TableText"/>
              <w:keepNext/>
              <w:rPr>
                <w:color w:val="FFFFFF" w:themeColor="background1"/>
                <w:sz w:val="18"/>
                <w:szCs w:val="18"/>
              </w:rPr>
            </w:pPr>
          </w:p>
        </w:tc>
        <w:tc>
          <w:tcPr>
            <w:tcW w:w="289" w:type="pct"/>
            <w:tcBorders>
              <w:top w:val="single" w:sz="4" w:space="0" w:color="06357A"/>
              <w:left w:val="nil"/>
            </w:tcBorders>
            <w:shd w:val="clear" w:color="auto" w:fill="06357A" w:themeFill="text2"/>
            <w:vAlign w:val="center"/>
          </w:tcPr>
          <w:p w14:paraId="2E8EC87C" w14:textId="77777777" w:rsidR="003428FF" w:rsidRPr="0078056B" w:rsidRDefault="003428FF" w:rsidP="00C042A1">
            <w:pPr>
              <w:pStyle w:val="TableText"/>
              <w:keepNext/>
              <w:rPr>
                <w:color w:val="FFFFFF" w:themeColor="background1"/>
                <w:sz w:val="18"/>
                <w:szCs w:val="18"/>
              </w:rPr>
            </w:pPr>
          </w:p>
        </w:tc>
      </w:tr>
      <w:tr w:rsidR="003428FF" w:rsidRPr="0078056B" w14:paraId="19959630" w14:textId="77777777" w:rsidTr="00C042A1">
        <w:trPr>
          <w:trHeight w:val="290"/>
          <w:jc w:val="center"/>
        </w:trPr>
        <w:tc>
          <w:tcPr>
            <w:tcW w:w="1924" w:type="pct"/>
            <w:vAlign w:val="center"/>
          </w:tcPr>
          <w:p w14:paraId="4EF8DC6A" w14:textId="77777777" w:rsidR="003428FF" w:rsidRPr="0078056B" w:rsidRDefault="003428FF" w:rsidP="00C042A1">
            <w:pPr>
              <w:pStyle w:val="TableText"/>
              <w:keepNext/>
              <w:rPr>
                <w:sz w:val="18"/>
                <w:szCs w:val="18"/>
              </w:rPr>
            </w:pPr>
            <w:r w:rsidRPr="0078056B">
              <w:rPr>
                <w:sz w:val="18"/>
                <w:szCs w:val="18"/>
              </w:rPr>
              <w:t>Level 3 (vs. 5+GCSEs)</w:t>
            </w:r>
            <w:r w:rsidRPr="0078056B">
              <w:rPr>
                <w:rFonts w:asciiTheme="minorHAnsi" w:hAnsiTheme="minorHAnsi"/>
                <w:sz w:val="18"/>
                <w:szCs w:val="18"/>
                <w:vertAlign w:val="superscript"/>
              </w:rPr>
              <w:t>1</w:t>
            </w:r>
          </w:p>
        </w:tc>
        <w:tc>
          <w:tcPr>
            <w:tcW w:w="365" w:type="pct"/>
            <w:shd w:val="clear" w:color="auto" w:fill="auto"/>
            <w:vAlign w:val="center"/>
          </w:tcPr>
          <w:p w14:paraId="3C2CA31A" w14:textId="77777777" w:rsidR="003428FF" w:rsidRPr="0078056B" w:rsidRDefault="003428FF" w:rsidP="00C042A1">
            <w:pPr>
              <w:pStyle w:val="TableText"/>
              <w:keepNext/>
              <w:ind w:left="0"/>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-5.9</w:t>
            </w:r>
          </w:p>
        </w:tc>
        <w:tc>
          <w:tcPr>
            <w:tcW w:w="293" w:type="pct"/>
            <w:shd w:val="clear" w:color="auto" w:fill="auto"/>
            <w:vAlign w:val="center"/>
          </w:tcPr>
          <w:p w14:paraId="1779F90F"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2.4</w:t>
            </w:r>
          </w:p>
        </w:tc>
        <w:tc>
          <w:tcPr>
            <w:tcW w:w="317" w:type="pct"/>
            <w:shd w:val="clear" w:color="auto" w:fill="auto"/>
            <w:vAlign w:val="center"/>
          </w:tcPr>
          <w:p w14:paraId="3D547B68"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3.8</w:t>
            </w:r>
          </w:p>
        </w:tc>
        <w:tc>
          <w:tcPr>
            <w:tcW w:w="306" w:type="pct"/>
            <w:shd w:val="clear" w:color="auto" w:fill="auto"/>
            <w:vAlign w:val="center"/>
          </w:tcPr>
          <w:p w14:paraId="6D0F1F24"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2.3</w:t>
            </w:r>
          </w:p>
        </w:tc>
        <w:tc>
          <w:tcPr>
            <w:tcW w:w="296" w:type="pct"/>
            <w:shd w:val="clear" w:color="auto" w:fill="auto"/>
            <w:vAlign w:val="center"/>
          </w:tcPr>
          <w:p w14:paraId="782AAA86"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318" w:type="pct"/>
            <w:shd w:val="clear" w:color="auto" w:fill="auto"/>
            <w:vAlign w:val="center"/>
          </w:tcPr>
          <w:p w14:paraId="17DCE007"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1.9</w:t>
            </w:r>
          </w:p>
        </w:tc>
        <w:tc>
          <w:tcPr>
            <w:tcW w:w="307" w:type="pct"/>
            <w:shd w:val="clear" w:color="auto" w:fill="auto"/>
            <w:vAlign w:val="center"/>
          </w:tcPr>
          <w:p w14:paraId="0F8B1E13"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1.4</w:t>
            </w:r>
          </w:p>
        </w:tc>
        <w:tc>
          <w:tcPr>
            <w:tcW w:w="296" w:type="pct"/>
            <w:shd w:val="clear" w:color="auto" w:fill="auto"/>
            <w:vAlign w:val="center"/>
          </w:tcPr>
          <w:p w14:paraId="670D74D9"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89" w:type="pct"/>
            <w:shd w:val="clear" w:color="auto" w:fill="auto"/>
            <w:vAlign w:val="center"/>
          </w:tcPr>
          <w:p w14:paraId="0A48A0A5"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89" w:type="pct"/>
            <w:shd w:val="clear" w:color="auto" w:fill="auto"/>
            <w:vAlign w:val="center"/>
          </w:tcPr>
          <w:p w14:paraId="1F479E6E" w14:textId="77777777" w:rsidR="003428FF" w:rsidRPr="0078056B" w:rsidRDefault="003428FF" w:rsidP="00C042A1">
            <w:pPr>
              <w:pStyle w:val="TableText"/>
              <w:keepNext/>
              <w:ind w:left="0"/>
              <w:jc w:val="center"/>
              <w:rPr>
                <w:rFonts w:asciiTheme="minorHAnsi" w:hAnsiTheme="minorHAnsi" w:cstheme="minorHAnsi"/>
                <w:sz w:val="18"/>
                <w:szCs w:val="18"/>
              </w:rPr>
            </w:pPr>
          </w:p>
        </w:tc>
      </w:tr>
      <w:tr w:rsidR="003428FF" w:rsidRPr="0078056B" w14:paraId="03214436" w14:textId="77777777" w:rsidTr="00C042A1">
        <w:trPr>
          <w:trHeight w:val="290"/>
          <w:jc w:val="center"/>
        </w:trPr>
        <w:tc>
          <w:tcPr>
            <w:tcW w:w="1924" w:type="pct"/>
            <w:vAlign w:val="center"/>
          </w:tcPr>
          <w:p w14:paraId="1AAF7A12" w14:textId="77777777" w:rsidR="003428FF" w:rsidRPr="0078056B" w:rsidRDefault="003428FF" w:rsidP="00C042A1">
            <w:pPr>
              <w:pStyle w:val="TableText"/>
              <w:keepNext/>
              <w:rPr>
                <w:sz w:val="18"/>
                <w:szCs w:val="18"/>
              </w:rPr>
            </w:pPr>
            <w:r w:rsidRPr="0078056B">
              <w:rPr>
                <w:rFonts w:asciiTheme="minorHAnsi" w:hAnsiTheme="minorHAnsi"/>
                <w:sz w:val="18"/>
                <w:szCs w:val="18"/>
              </w:rPr>
              <w:t>Other un</w:t>
            </w:r>
            <w:r w:rsidRPr="0078056B">
              <w:rPr>
                <w:sz w:val="18"/>
                <w:szCs w:val="18"/>
              </w:rPr>
              <w:t>dergraduate (vs. Level 3)</w:t>
            </w:r>
            <w:r w:rsidRPr="0078056B">
              <w:rPr>
                <w:rFonts w:asciiTheme="minorHAnsi" w:hAnsiTheme="minorHAnsi"/>
                <w:sz w:val="18"/>
                <w:szCs w:val="18"/>
                <w:vertAlign w:val="superscript"/>
              </w:rPr>
              <w:t>2</w:t>
            </w:r>
          </w:p>
        </w:tc>
        <w:tc>
          <w:tcPr>
            <w:tcW w:w="365" w:type="pct"/>
            <w:shd w:val="clear" w:color="auto" w:fill="auto"/>
            <w:vAlign w:val="center"/>
          </w:tcPr>
          <w:p w14:paraId="58EAB4B7"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93" w:type="pct"/>
            <w:shd w:val="clear" w:color="auto" w:fill="auto"/>
            <w:vAlign w:val="center"/>
          </w:tcPr>
          <w:p w14:paraId="3F23C8D1" w14:textId="77777777" w:rsidR="003428FF" w:rsidRPr="0078056B" w:rsidRDefault="003428FF" w:rsidP="00C042A1">
            <w:pPr>
              <w:pStyle w:val="TableText"/>
              <w:keepNext/>
              <w:ind w:left="0"/>
              <w:jc w:val="center"/>
              <w:rPr>
                <w:rFonts w:asciiTheme="minorHAnsi" w:hAnsiTheme="minorHAnsi" w:cstheme="minorHAnsi"/>
                <w:color w:val="FF0000"/>
                <w:sz w:val="18"/>
                <w:szCs w:val="18"/>
              </w:rPr>
            </w:pPr>
          </w:p>
        </w:tc>
        <w:tc>
          <w:tcPr>
            <w:tcW w:w="317" w:type="pct"/>
            <w:shd w:val="clear" w:color="auto" w:fill="auto"/>
            <w:vAlign w:val="center"/>
          </w:tcPr>
          <w:p w14:paraId="5ADBC8D3" w14:textId="77777777" w:rsidR="003428FF" w:rsidRPr="0078056B" w:rsidRDefault="003428FF" w:rsidP="00C042A1">
            <w:pPr>
              <w:pStyle w:val="TableText"/>
              <w:keepNext/>
              <w:ind w:left="0"/>
              <w:jc w:val="center"/>
              <w:rPr>
                <w:rFonts w:asciiTheme="minorHAnsi" w:hAnsiTheme="minorHAnsi" w:cstheme="minorHAnsi"/>
                <w:color w:val="FF0000"/>
                <w:sz w:val="18"/>
                <w:szCs w:val="18"/>
              </w:rPr>
            </w:pPr>
          </w:p>
        </w:tc>
        <w:tc>
          <w:tcPr>
            <w:tcW w:w="306" w:type="pct"/>
            <w:shd w:val="clear" w:color="auto" w:fill="auto"/>
            <w:vAlign w:val="center"/>
          </w:tcPr>
          <w:p w14:paraId="3CB42AC2" w14:textId="77777777" w:rsidR="003428FF" w:rsidRPr="0078056B" w:rsidRDefault="003428FF" w:rsidP="00C042A1">
            <w:pPr>
              <w:pStyle w:val="TableText"/>
              <w:keepNext/>
              <w:ind w:left="0"/>
              <w:jc w:val="center"/>
              <w:rPr>
                <w:rFonts w:asciiTheme="minorHAnsi" w:hAnsiTheme="minorHAnsi" w:cstheme="minorHAnsi"/>
                <w:color w:val="FF0000"/>
                <w:sz w:val="18"/>
                <w:szCs w:val="18"/>
              </w:rPr>
            </w:pPr>
            <w:r w:rsidRPr="0078056B">
              <w:rPr>
                <w:rFonts w:asciiTheme="minorHAnsi" w:hAnsiTheme="minorHAnsi" w:cstheme="minorHAnsi"/>
                <w:sz w:val="18"/>
                <w:szCs w:val="18"/>
              </w:rPr>
              <w:t>1.8</w:t>
            </w:r>
          </w:p>
        </w:tc>
        <w:tc>
          <w:tcPr>
            <w:tcW w:w="296" w:type="pct"/>
            <w:shd w:val="clear" w:color="auto" w:fill="auto"/>
            <w:vAlign w:val="center"/>
          </w:tcPr>
          <w:p w14:paraId="66D921BA" w14:textId="77777777" w:rsidR="003428FF" w:rsidRPr="0078056B" w:rsidRDefault="003428FF" w:rsidP="00C042A1">
            <w:pPr>
              <w:pStyle w:val="TableText"/>
              <w:keepNext/>
              <w:ind w:left="0"/>
              <w:jc w:val="center"/>
              <w:rPr>
                <w:rFonts w:asciiTheme="minorHAnsi" w:hAnsiTheme="minorHAnsi" w:cstheme="minorHAnsi"/>
                <w:color w:val="FF0000"/>
                <w:sz w:val="18"/>
                <w:szCs w:val="18"/>
              </w:rPr>
            </w:pPr>
          </w:p>
        </w:tc>
        <w:tc>
          <w:tcPr>
            <w:tcW w:w="318" w:type="pct"/>
            <w:shd w:val="clear" w:color="auto" w:fill="auto"/>
            <w:vAlign w:val="center"/>
          </w:tcPr>
          <w:p w14:paraId="32EFC0D3"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2.0</w:t>
            </w:r>
          </w:p>
        </w:tc>
        <w:tc>
          <w:tcPr>
            <w:tcW w:w="307" w:type="pct"/>
            <w:shd w:val="clear" w:color="auto" w:fill="auto"/>
            <w:vAlign w:val="center"/>
          </w:tcPr>
          <w:p w14:paraId="32C539D7"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96" w:type="pct"/>
            <w:shd w:val="clear" w:color="auto" w:fill="auto"/>
            <w:vAlign w:val="center"/>
          </w:tcPr>
          <w:p w14:paraId="5348C91E"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1.8</w:t>
            </w:r>
          </w:p>
        </w:tc>
        <w:tc>
          <w:tcPr>
            <w:tcW w:w="289" w:type="pct"/>
            <w:shd w:val="clear" w:color="auto" w:fill="auto"/>
            <w:vAlign w:val="center"/>
          </w:tcPr>
          <w:p w14:paraId="2A585FD6"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89" w:type="pct"/>
            <w:shd w:val="clear" w:color="auto" w:fill="auto"/>
            <w:vAlign w:val="center"/>
          </w:tcPr>
          <w:p w14:paraId="1B6169B7" w14:textId="77777777" w:rsidR="003428FF" w:rsidRPr="0078056B" w:rsidRDefault="003428FF" w:rsidP="00C042A1">
            <w:pPr>
              <w:pStyle w:val="TableText"/>
              <w:keepNext/>
              <w:ind w:left="0"/>
              <w:jc w:val="center"/>
              <w:rPr>
                <w:rFonts w:asciiTheme="minorHAnsi" w:hAnsiTheme="minorHAnsi" w:cstheme="minorHAnsi"/>
                <w:sz w:val="18"/>
                <w:szCs w:val="18"/>
              </w:rPr>
            </w:pPr>
          </w:p>
        </w:tc>
      </w:tr>
      <w:tr w:rsidR="003428FF" w:rsidRPr="0078056B" w14:paraId="632595E6" w14:textId="77777777" w:rsidTr="00C042A1">
        <w:trPr>
          <w:trHeight w:val="290"/>
          <w:jc w:val="center"/>
        </w:trPr>
        <w:tc>
          <w:tcPr>
            <w:tcW w:w="1924" w:type="pct"/>
            <w:vAlign w:val="center"/>
          </w:tcPr>
          <w:p w14:paraId="2E427DF8" w14:textId="77777777" w:rsidR="003428FF" w:rsidRPr="0078056B" w:rsidRDefault="003428FF" w:rsidP="00C042A1">
            <w:pPr>
              <w:pStyle w:val="TableText"/>
              <w:keepNext/>
              <w:rPr>
                <w:sz w:val="18"/>
                <w:szCs w:val="18"/>
              </w:rPr>
            </w:pPr>
            <w:r w:rsidRPr="0078056B">
              <w:rPr>
                <w:rFonts w:asciiTheme="minorHAnsi" w:hAnsiTheme="minorHAnsi"/>
                <w:sz w:val="18"/>
                <w:szCs w:val="18"/>
              </w:rPr>
              <w:t>First degree (vs. Level 3)</w:t>
            </w:r>
            <w:r w:rsidRPr="0078056B">
              <w:rPr>
                <w:rFonts w:asciiTheme="minorHAnsi" w:hAnsiTheme="minorHAnsi"/>
                <w:sz w:val="18"/>
                <w:szCs w:val="18"/>
                <w:vertAlign w:val="superscript"/>
              </w:rPr>
              <w:t>2</w:t>
            </w:r>
          </w:p>
        </w:tc>
        <w:tc>
          <w:tcPr>
            <w:tcW w:w="365" w:type="pct"/>
            <w:shd w:val="clear" w:color="auto" w:fill="auto"/>
            <w:vAlign w:val="center"/>
          </w:tcPr>
          <w:p w14:paraId="47E76F55"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93" w:type="pct"/>
            <w:shd w:val="clear" w:color="auto" w:fill="auto"/>
            <w:vAlign w:val="center"/>
          </w:tcPr>
          <w:p w14:paraId="14A6F15D"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color w:val="FF0000"/>
                <w:sz w:val="18"/>
                <w:szCs w:val="18"/>
              </w:rPr>
              <w:t>-4.0</w:t>
            </w:r>
          </w:p>
        </w:tc>
        <w:tc>
          <w:tcPr>
            <w:tcW w:w="317" w:type="pct"/>
            <w:shd w:val="clear" w:color="auto" w:fill="auto"/>
            <w:vAlign w:val="center"/>
          </w:tcPr>
          <w:p w14:paraId="63863C53"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3.2</w:t>
            </w:r>
          </w:p>
        </w:tc>
        <w:tc>
          <w:tcPr>
            <w:tcW w:w="306" w:type="pct"/>
            <w:shd w:val="clear" w:color="auto" w:fill="auto"/>
            <w:vAlign w:val="center"/>
          </w:tcPr>
          <w:p w14:paraId="2FC51731"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2.1</w:t>
            </w:r>
          </w:p>
        </w:tc>
        <w:tc>
          <w:tcPr>
            <w:tcW w:w="296" w:type="pct"/>
            <w:shd w:val="clear" w:color="auto" w:fill="auto"/>
            <w:vAlign w:val="center"/>
          </w:tcPr>
          <w:p w14:paraId="371780E0"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2.7</w:t>
            </w:r>
          </w:p>
        </w:tc>
        <w:tc>
          <w:tcPr>
            <w:tcW w:w="318" w:type="pct"/>
            <w:shd w:val="clear" w:color="auto" w:fill="auto"/>
            <w:vAlign w:val="center"/>
          </w:tcPr>
          <w:p w14:paraId="1BB7F58F"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1.6</w:t>
            </w:r>
          </w:p>
        </w:tc>
        <w:tc>
          <w:tcPr>
            <w:tcW w:w="307" w:type="pct"/>
            <w:shd w:val="clear" w:color="auto" w:fill="auto"/>
            <w:vAlign w:val="center"/>
          </w:tcPr>
          <w:p w14:paraId="7B541CCD"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96" w:type="pct"/>
            <w:shd w:val="clear" w:color="auto" w:fill="auto"/>
            <w:vAlign w:val="center"/>
          </w:tcPr>
          <w:p w14:paraId="64E1EAF8"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2.6</w:t>
            </w:r>
          </w:p>
        </w:tc>
        <w:tc>
          <w:tcPr>
            <w:tcW w:w="289" w:type="pct"/>
            <w:shd w:val="clear" w:color="auto" w:fill="auto"/>
            <w:vAlign w:val="center"/>
          </w:tcPr>
          <w:p w14:paraId="4A0007BB" w14:textId="77777777" w:rsidR="003428FF" w:rsidRPr="0078056B" w:rsidRDefault="003428FF" w:rsidP="00C042A1">
            <w:pPr>
              <w:pStyle w:val="TableText"/>
              <w:keepNext/>
              <w:ind w:left="0"/>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-3.7</w:t>
            </w:r>
          </w:p>
        </w:tc>
        <w:tc>
          <w:tcPr>
            <w:tcW w:w="289" w:type="pct"/>
            <w:shd w:val="clear" w:color="auto" w:fill="auto"/>
            <w:vAlign w:val="center"/>
          </w:tcPr>
          <w:p w14:paraId="7E357064" w14:textId="77777777" w:rsidR="003428FF" w:rsidRPr="0078056B" w:rsidRDefault="003428FF" w:rsidP="00C042A1">
            <w:pPr>
              <w:pStyle w:val="TableText"/>
              <w:keepNext/>
              <w:ind w:left="0"/>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-6.6</w:t>
            </w:r>
          </w:p>
        </w:tc>
      </w:tr>
      <w:tr w:rsidR="003428FF" w:rsidRPr="0078056B" w14:paraId="5233DD4A" w14:textId="77777777" w:rsidTr="00C042A1">
        <w:trPr>
          <w:trHeight w:val="290"/>
          <w:jc w:val="center"/>
        </w:trPr>
        <w:tc>
          <w:tcPr>
            <w:tcW w:w="1924" w:type="pct"/>
            <w:vAlign w:val="center"/>
          </w:tcPr>
          <w:p w14:paraId="33F49636" w14:textId="77777777" w:rsidR="003428FF" w:rsidRPr="0078056B" w:rsidRDefault="003428FF" w:rsidP="00C042A1">
            <w:pPr>
              <w:pStyle w:val="TableText"/>
              <w:keepNext/>
              <w:rPr>
                <w:sz w:val="18"/>
                <w:szCs w:val="18"/>
              </w:rPr>
            </w:pPr>
            <w:r w:rsidRPr="0078056B">
              <w:rPr>
                <w:rFonts w:asciiTheme="minorHAnsi" w:hAnsiTheme="minorHAnsi"/>
                <w:sz w:val="18"/>
                <w:szCs w:val="18"/>
              </w:rPr>
              <w:t>Other postgraduate (vs. first degrees)</w:t>
            </w:r>
            <w:r w:rsidRPr="0078056B">
              <w:rPr>
                <w:rFonts w:asciiTheme="minorHAnsi" w:hAnsiTheme="minorHAnsi"/>
                <w:sz w:val="18"/>
                <w:szCs w:val="18"/>
                <w:vertAlign w:val="superscript"/>
              </w:rPr>
              <w:t>3</w:t>
            </w:r>
          </w:p>
        </w:tc>
        <w:tc>
          <w:tcPr>
            <w:tcW w:w="365" w:type="pct"/>
            <w:shd w:val="clear" w:color="auto" w:fill="auto"/>
            <w:vAlign w:val="center"/>
          </w:tcPr>
          <w:p w14:paraId="4933608C"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93" w:type="pct"/>
            <w:shd w:val="clear" w:color="auto" w:fill="auto"/>
            <w:vAlign w:val="center"/>
          </w:tcPr>
          <w:p w14:paraId="530BA6E9"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8.8</w:t>
            </w:r>
          </w:p>
        </w:tc>
        <w:tc>
          <w:tcPr>
            <w:tcW w:w="317" w:type="pct"/>
            <w:shd w:val="clear" w:color="auto" w:fill="auto"/>
            <w:vAlign w:val="center"/>
          </w:tcPr>
          <w:p w14:paraId="010F2080"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306" w:type="pct"/>
            <w:shd w:val="clear" w:color="auto" w:fill="auto"/>
            <w:vAlign w:val="center"/>
          </w:tcPr>
          <w:p w14:paraId="3C5E7889"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1.9</w:t>
            </w:r>
          </w:p>
        </w:tc>
        <w:tc>
          <w:tcPr>
            <w:tcW w:w="296" w:type="pct"/>
            <w:shd w:val="clear" w:color="auto" w:fill="auto"/>
            <w:vAlign w:val="center"/>
          </w:tcPr>
          <w:p w14:paraId="0F42F5CB"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318" w:type="pct"/>
            <w:shd w:val="clear" w:color="auto" w:fill="auto"/>
            <w:vAlign w:val="center"/>
          </w:tcPr>
          <w:p w14:paraId="16DC1968"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2.1</w:t>
            </w:r>
          </w:p>
        </w:tc>
        <w:tc>
          <w:tcPr>
            <w:tcW w:w="307" w:type="pct"/>
            <w:shd w:val="clear" w:color="auto" w:fill="auto"/>
            <w:vAlign w:val="center"/>
          </w:tcPr>
          <w:p w14:paraId="14C76827"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96" w:type="pct"/>
            <w:shd w:val="clear" w:color="auto" w:fill="auto"/>
            <w:vAlign w:val="center"/>
          </w:tcPr>
          <w:p w14:paraId="40F34A94"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89" w:type="pct"/>
            <w:shd w:val="clear" w:color="auto" w:fill="auto"/>
            <w:vAlign w:val="center"/>
          </w:tcPr>
          <w:p w14:paraId="5080E243"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89" w:type="pct"/>
            <w:shd w:val="clear" w:color="auto" w:fill="auto"/>
            <w:vAlign w:val="center"/>
          </w:tcPr>
          <w:p w14:paraId="7B74FDA7" w14:textId="77777777" w:rsidR="003428FF" w:rsidRPr="0078056B" w:rsidRDefault="003428FF" w:rsidP="00C042A1">
            <w:pPr>
              <w:pStyle w:val="TableText"/>
              <w:keepNext/>
              <w:ind w:left="0"/>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-6.8</w:t>
            </w:r>
          </w:p>
        </w:tc>
      </w:tr>
      <w:tr w:rsidR="003428FF" w:rsidRPr="0078056B" w14:paraId="5AE46835" w14:textId="77777777" w:rsidTr="00C042A1">
        <w:trPr>
          <w:trHeight w:val="290"/>
          <w:jc w:val="center"/>
        </w:trPr>
        <w:tc>
          <w:tcPr>
            <w:tcW w:w="1924" w:type="pct"/>
            <w:vAlign w:val="center"/>
          </w:tcPr>
          <w:p w14:paraId="2ABD2FD5" w14:textId="77777777" w:rsidR="003428FF" w:rsidRPr="0078056B" w:rsidRDefault="003428FF" w:rsidP="00C042A1">
            <w:pPr>
              <w:pStyle w:val="TableText"/>
              <w:keepNext/>
              <w:rPr>
                <w:sz w:val="18"/>
                <w:szCs w:val="18"/>
              </w:rPr>
            </w:pPr>
            <w:r w:rsidRPr="0078056B">
              <w:rPr>
                <w:rFonts w:asciiTheme="minorHAnsi" w:hAnsiTheme="minorHAnsi"/>
                <w:sz w:val="18"/>
                <w:szCs w:val="18"/>
              </w:rPr>
              <w:t>Higher degree (taught) (vs. first degrees)</w:t>
            </w:r>
            <w:r w:rsidRPr="0078056B">
              <w:rPr>
                <w:rFonts w:asciiTheme="minorHAnsi" w:hAnsiTheme="minorHAnsi"/>
                <w:sz w:val="18"/>
                <w:szCs w:val="18"/>
                <w:vertAlign w:val="superscript"/>
              </w:rPr>
              <w:t>3</w:t>
            </w:r>
          </w:p>
        </w:tc>
        <w:tc>
          <w:tcPr>
            <w:tcW w:w="365" w:type="pct"/>
            <w:shd w:val="clear" w:color="auto" w:fill="auto"/>
            <w:vAlign w:val="center"/>
          </w:tcPr>
          <w:p w14:paraId="36E0D0F3"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93" w:type="pct"/>
            <w:shd w:val="clear" w:color="auto" w:fill="auto"/>
            <w:vAlign w:val="center"/>
          </w:tcPr>
          <w:p w14:paraId="69BCDA8F" w14:textId="77777777" w:rsidR="003428FF" w:rsidRPr="0078056B" w:rsidRDefault="003428FF" w:rsidP="00C042A1">
            <w:pPr>
              <w:pStyle w:val="TableText"/>
              <w:keepNext/>
              <w:ind w:left="0"/>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-4.9</w:t>
            </w:r>
          </w:p>
        </w:tc>
        <w:tc>
          <w:tcPr>
            <w:tcW w:w="317" w:type="pct"/>
            <w:shd w:val="clear" w:color="auto" w:fill="auto"/>
            <w:vAlign w:val="center"/>
          </w:tcPr>
          <w:p w14:paraId="0D198974" w14:textId="77777777" w:rsidR="003428FF" w:rsidRPr="0078056B" w:rsidRDefault="003428FF" w:rsidP="00C042A1">
            <w:pPr>
              <w:pStyle w:val="TableText"/>
              <w:keepNext/>
              <w:ind w:left="0"/>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-2.6</w:t>
            </w:r>
          </w:p>
        </w:tc>
        <w:tc>
          <w:tcPr>
            <w:tcW w:w="306" w:type="pct"/>
            <w:shd w:val="clear" w:color="auto" w:fill="auto"/>
            <w:vAlign w:val="center"/>
          </w:tcPr>
          <w:p w14:paraId="27BAD107"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96" w:type="pct"/>
            <w:shd w:val="clear" w:color="auto" w:fill="auto"/>
            <w:vAlign w:val="center"/>
          </w:tcPr>
          <w:p w14:paraId="44F1C1A0"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318" w:type="pct"/>
            <w:shd w:val="clear" w:color="auto" w:fill="auto"/>
            <w:vAlign w:val="center"/>
          </w:tcPr>
          <w:p w14:paraId="099DE6ED"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1.6</w:t>
            </w:r>
          </w:p>
        </w:tc>
        <w:tc>
          <w:tcPr>
            <w:tcW w:w="307" w:type="pct"/>
            <w:shd w:val="clear" w:color="auto" w:fill="auto"/>
            <w:vAlign w:val="center"/>
          </w:tcPr>
          <w:p w14:paraId="09B0D6BC"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96" w:type="pct"/>
            <w:shd w:val="clear" w:color="auto" w:fill="auto"/>
            <w:vAlign w:val="center"/>
          </w:tcPr>
          <w:p w14:paraId="602AAC75"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89" w:type="pct"/>
            <w:shd w:val="clear" w:color="auto" w:fill="auto"/>
            <w:vAlign w:val="center"/>
          </w:tcPr>
          <w:p w14:paraId="6026ED41"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4.1</w:t>
            </w:r>
          </w:p>
        </w:tc>
        <w:tc>
          <w:tcPr>
            <w:tcW w:w="289" w:type="pct"/>
            <w:shd w:val="clear" w:color="auto" w:fill="auto"/>
            <w:vAlign w:val="center"/>
          </w:tcPr>
          <w:p w14:paraId="5068ADE7" w14:textId="77777777" w:rsidR="003428FF" w:rsidRPr="0078056B" w:rsidRDefault="003428FF" w:rsidP="00C042A1">
            <w:pPr>
              <w:pStyle w:val="TableText"/>
              <w:keepNext/>
              <w:ind w:left="0"/>
              <w:jc w:val="center"/>
              <w:rPr>
                <w:rFonts w:asciiTheme="minorHAnsi" w:hAnsiTheme="minorHAnsi" w:cstheme="minorHAnsi"/>
                <w:sz w:val="18"/>
                <w:szCs w:val="18"/>
              </w:rPr>
            </w:pPr>
          </w:p>
        </w:tc>
      </w:tr>
      <w:tr w:rsidR="003428FF" w:rsidRPr="0078056B" w14:paraId="61729E50" w14:textId="77777777" w:rsidTr="00C042A1">
        <w:trPr>
          <w:trHeight w:val="290"/>
          <w:jc w:val="center"/>
        </w:trPr>
        <w:tc>
          <w:tcPr>
            <w:tcW w:w="1924" w:type="pct"/>
            <w:tcBorders>
              <w:bottom w:val="single" w:sz="4" w:space="0" w:color="BFBFBF"/>
            </w:tcBorders>
            <w:vAlign w:val="center"/>
          </w:tcPr>
          <w:p w14:paraId="077EABAC" w14:textId="77777777" w:rsidR="003428FF" w:rsidRPr="0078056B" w:rsidRDefault="003428FF" w:rsidP="00C042A1">
            <w:pPr>
              <w:pStyle w:val="TableText"/>
              <w:keepNext/>
              <w:rPr>
                <w:sz w:val="18"/>
                <w:szCs w:val="18"/>
              </w:rPr>
            </w:pPr>
            <w:r w:rsidRPr="0078056B">
              <w:rPr>
                <w:rFonts w:asciiTheme="minorHAnsi" w:hAnsiTheme="minorHAnsi"/>
                <w:sz w:val="18"/>
                <w:szCs w:val="18"/>
              </w:rPr>
              <w:t>Higher degree (research) (vs. first degrees)</w:t>
            </w:r>
            <w:r w:rsidRPr="0078056B">
              <w:rPr>
                <w:rFonts w:asciiTheme="minorHAnsi" w:hAnsiTheme="minorHAnsi"/>
                <w:sz w:val="18"/>
                <w:szCs w:val="18"/>
                <w:vertAlign w:val="superscript"/>
              </w:rPr>
              <w:t>3</w:t>
            </w:r>
          </w:p>
        </w:tc>
        <w:tc>
          <w:tcPr>
            <w:tcW w:w="365" w:type="pct"/>
            <w:tcBorders>
              <w:bottom w:val="single" w:sz="4" w:space="0" w:color="BFBFBF"/>
            </w:tcBorders>
            <w:shd w:val="clear" w:color="auto" w:fill="auto"/>
            <w:vAlign w:val="center"/>
          </w:tcPr>
          <w:p w14:paraId="218CA6F9"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93" w:type="pct"/>
            <w:tcBorders>
              <w:bottom w:val="single" w:sz="4" w:space="0" w:color="BFBFBF"/>
            </w:tcBorders>
            <w:shd w:val="clear" w:color="auto" w:fill="auto"/>
            <w:vAlign w:val="center"/>
          </w:tcPr>
          <w:p w14:paraId="2BEE6EDB"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11.1</w:t>
            </w:r>
          </w:p>
        </w:tc>
        <w:tc>
          <w:tcPr>
            <w:tcW w:w="317" w:type="pct"/>
            <w:tcBorders>
              <w:bottom w:val="single" w:sz="4" w:space="0" w:color="BFBFBF"/>
            </w:tcBorders>
            <w:shd w:val="clear" w:color="auto" w:fill="auto"/>
            <w:vAlign w:val="center"/>
          </w:tcPr>
          <w:p w14:paraId="751F9D93"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2.7</w:t>
            </w:r>
          </w:p>
        </w:tc>
        <w:tc>
          <w:tcPr>
            <w:tcW w:w="306" w:type="pct"/>
            <w:tcBorders>
              <w:bottom w:val="single" w:sz="4" w:space="0" w:color="BFBFBF"/>
            </w:tcBorders>
            <w:shd w:val="clear" w:color="auto" w:fill="auto"/>
            <w:vAlign w:val="center"/>
          </w:tcPr>
          <w:p w14:paraId="58ECFE52"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96" w:type="pct"/>
            <w:tcBorders>
              <w:bottom w:val="single" w:sz="4" w:space="0" w:color="BFBFBF"/>
            </w:tcBorders>
            <w:shd w:val="clear" w:color="auto" w:fill="auto"/>
            <w:vAlign w:val="center"/>
          </w:tcPr>
          <w:p w14:paraId="16E57B9D"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1.9</w:t>
            </w:r>
          </w:p>
        </w:tc>
        <w:tc>
          <w:tcPr>
            <w:tcW w:w="318" w:type="pct"/>
            <w:tcBorders>
              <w:bottom w:val="single" w:sz="4" w:space="0" w:color="BFBFBF"/>
            </w:tcBorders>
            <w:shd w:val="clear" w:color="auto" w:fill="auto"/>
            <w:vAlign w:val="center"/>
          </w:tcPr>
          <w:p w14:paraId="7CC3F81E"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3.0</w:t>
            </w:r>
          </w:p>
        </w:tc>
        <w:tc>
          <w:tcPr>
            <w:tcW w:w="307" w:type="pct"/>
            <w:tcBorders>
              <w:bottom w:val="single" w:sz="4" w:space="0" w:color="BFBFBF"/>
            </w:tcBorders>
            <w:shd w:val="clear" w:color="auto" w:fill="auto"/>
            <w:vAlign w:val="center"/>
          </w:tcPr>
          <w:p w14:paraId="05129F0C"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96" w:type="pct"/>
            <w:tcBorders>
              <w:bottom w:val="single" w:sz="4" w:space="0" w:color="BFBFBF"/>
            </w:tcBorders>
            <w:shd w:val="clear" w:color="auto" w:fill="auto"/>
            <w:vAlign w:val="center"/>
          </w:tcPr>
          <w:p w14:paraId="366C447C"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4.0</w:t>
            </w:r>
          </w:p>
        </w:tc>
        <w:tc>
          <w:tcPr>
            <w:tcW w:w="289" w:type="pct"/>
            <w:tcBorders>
              <w:bottom w:val="single" w:sz="4" w:space="0" w:color="BFBFBF"/>
            </w:tcBorders>
            <w:shd w:val="clear" w:color="auto" w:fill="auto"/>
            <w:vAlign w:val="center"/>
          </w:tcPr>
          <w:p w14:paraId="728C1A91"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9.2</w:t>
            </w:r>
          </w:p>
        </w:tc>
        <w:tc>
          <w:tcPr>
            <w:tcW w:w="289" w:type="pct"/>
            <w:tcBorders>
              <w:bottom w:val="single" w:sz="4" w:space="0" w:color="BFBFBF"/>
            </w:tcBorders>
            <w:shd w:val="clear" w:color="auto" w:fill="auto"/>
            <w:vAlign w:val="center"/>
          </w:tcPr>
          <w:p w14:paraId="03E41E7F"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10.7</w:t>
            </w:r>
          </w:p>
        </w:tc>
      </w:tr>
      <w:tr w:rsidR="003428FF" w:rsidRPr="0078056B" w14:paraId="339731A6" w14:textId="77777777" w:rsidTr="00C042A1">
        <w:trPr>
          <w:trHeight w:val="290"/>
          <w:jc w:val="center"/>
        </w:trPr>
        <w:tc>
          <w:tcPr>
            <w:tcW w:w="1924" w:type="pct"/>
            <w:tcBorders>
              <w:right w:val="nil"/>
            </w:tcBorders>
            <w:shd w:val="clear" w:color="auto" w:fill="06357A" w:themeFill="text2"/>
            <w:vAlign w:val="center"/>
          </w:tcPr>
          <w:p w14:paraId="05305B67" w14:textId="77777777" w:rsidR="003428FF" w:rsidRPr="0078056B" w:rsidRDefault="003428FF" w:rsidP="00C042A1">
            <w:pPr>
              <w:pStyle w:val="TableText"/>
              <w:keepNext/>
              <w:rPr>
                <w:color w:val="FFFFFF" w:themeColor="background1"/>
                <w:sz w:val="18"/>
                <w:szCs w:val="18"/>
              </w:rPr>
            </w:pPr>
            <w:r w:rsidRPr="0078056B">
              <w:rPr>
                <w:b/>
                <w:color w:val="FFFFFF" w:themeColor="background1"/>
                <w:sz w:val="18"/>
                <w:szCs w:val="18"/>
              </w:rPr>
              <w:t>Women</w:t>
            </w:r>
          </w:p>
        </w:tc>
        <w:tc>
          <w:tcPr>
            <w:tcW w:w="365" w:type="pct"/>
            <w:tcBorders>
              <w:left w:val="nil"/>
              <w:right w:val="nil"/>
            </w:tcBorders>
            <w:shd w:val="clear" w:color="auto" w:fill="06357A" w:themeFill="text2"/>
            <w:vAlign w:val="center"/>
          </w:tcPr>
          <w:p w14:paraId="2B2F26F5" w14:textId="77777777" w:rsidR="003428FF" w:rsidRPr="0078056B" w:rsidRDefault="003428FF" w:rsidP="00C042A1">
            <w:pPr>
              <w:pStyle w:val="TableText"/>
              <w:keepNext/>
              <w:ind w:left="0"/>
              <w:rPr>
                <w:rFonts w:asciiTheme="minorHAnsi" w:hAnsiTheme="minorHAnsi" w:cstheme="minorHAnsi"/>
                <w:color w:val="FFFFFF" w:themeColor="background1"/>
                <w:sz w:val="18"/>
                <w:szCs w:val="18"/>
              </w:rPr>
            </w:pPr>
          </w:p>
        </w:tc>
        <w:tc>
          <w:tcPr>
            <w:tcW w:w="293" w:type="pct"/>
            <w:tcBorders>
              <w:left w:val="nil"/>
              <w:right w:val="nil"/>
            </w:tcBorders>
            <w:shd w:val="clear" w:color="auto" w:fill="06357A" w:themeFill="text2"/>
            <w:vAlign w:val="center"/>
          </w:tcPr>
          <w:p w14:paraId="4AF642BF" w14:textId="77777777" w:rsidR="003428FF" w:rsidRPr="0078056B" w:rsidRDefault="003428FF" w:rsidP="00C042A1">
            <w:pPr>
              <w:pStyle w:val="TableText"/>
              <w:keepNext/>
              <w:ind w:left="0"/>
              <w:rPr>
                <w:rFonts w:asciiTheme="minorHAnsi" w:hAnsiTheme="minorHAnsi" w:cstheme="minorHAnsi"/>
                <w:color w:val="FFFFFF" w:themeColor="background1"/>
                <w:sz w:val="18"/>
                <w:szCs w:val="18"/>
              </w:rPr>
            </w:pPr>
          </w:p>
        </w:tc>
        <w:tc>
          <w:tcPr>
            <w:tcW w:w="317" w:type="pct"/>
            <w:tcBorders>
              <w:left w:val="nil"/>
              <w:right w:val="nil"/>
            </w:tcBorders>
            <w:shd w:val="clear" w:color="auto" w:fill="06357A" w:themeFill="text2"/>
            <w:vAlign w:val="center"/>
          </w:tcPr>
          <w:p w14:paraId="646B66A3" w14:textId="77777777" w:rsidR="003428FF" w:rsidRPr="0078056B" w:rsidRDefault="003428FF" w:rsidP="00C042A1">
            <w:pPr>
              <w:pStyle w:val="TableText"/>
              <w:keepNext/>
              <w:ind w:left="0"/>
              <w:rPr>
                <w:rFonts w:asciiTheme="minorHAnsi" w:hAnsiTheme="minorHAnsi" w:cstheme="minorHAnsi"/>
                <w:color w:val="FFFFFF" w:themeColor="background1"/>
                <w:sz w:val="18"/>
                <w:szCs w:val="18"/>
              </w:rPr>
            </w:pPr>
          </w:p>
        </w:tc>
        <w:tc>
          <w:tcPr>
            <w:tcW w:w="306" w:type="pct"/>
            <w:tcBorders>
              <w:left w:val="nil"/>
              <w:right w:val="nil"/>
            </w:tcBorders>
            <w:shd w:val="clear" w:color="auto" w:fill="06357A" w:themeFill="text2"/>
            <w:vAlign w:val="center"/>
          </w:tcPr>
          <w:p w14:paraId="074D5F79" w14:textId="77777777" w:rsidR="003428FF" w:rsidRPr="0078056B" w:rsidRDefault="003428FF" w:rsidP="00C042A1">
            <w:pPr>
              <w:pStyle w:val="TableText"/>
              <w:keepNext/>
              <w:ind w:left="0"/>
              <w:rPr>
                <w:rFonts w:asciiTheme="minorHAnsi" w:hAnsiTheme="minorHAnsi" w:cstheme="minorHAnsi"/>
                <w:color w:val="FFFFFF" w:themeColor="background1"/>
                <w:sz w:val="18"/>
                <w:szCs w:val="18"/>
              </w:rPr>
            </w:pPr>
          </w:p>
        </w:tc>
        <w:tc>
          <w:tcPr>
            <w:tcW w:w="296" w:type="pct"/>
            <w:tcBorders>
              <w:left w:val="nil"/>
              <w:right w:val="nil"/>
            </w:tcBorders>
            <w:shd w:val="clear" w:color="auto" w:fill="06357A" w:themeFill="text2"/>
            <w:vAlign w:val="center"/>
          </w:tcPr>
          <w:p w14:paraId="3E5459C8" w14:textId="77777777" w:rsidR="003428FF" w:rsidRPr="0078056B" w:rsidRDefault="003428FF" w:rsidP="00C042A1">
            <w:pPr>
              <w:pStyle w:val="TableText"/>
              <w:keepNext/>
              <w:ind w:left="0"/>
              <w:rPr>
                <w:rFonts w:asciiTheme="minorHAnsi" w:hAnsiTheme="minorHAnsi" w:cstheme="minorHAnsi"/>
                <w:color w:val="FFFFFF" w:themeColor="background1"/>
                <w:sz w:val="18"/>
                <w:szCs w:val="18"/>
              </w:rPr>
            </w:pPr>
          </w:p>
        </w:tc>
        <w:tc>
          <w:tcPr>
            <w:tcW w:w="318" w:type="pct"/>
            <w:tcBorders>
              <w:left w:val="nil"/>
              <w:right w:val="nil"/>
            </w:tcBorders>
            <w:shd w:val="clear" w:color="auto" w:fill="06357A" w:themeFill="text2"/>
            <w:vAlign w:val="center"/>
          </w:tcPr>
          <w:p w14:paraId="450529AB" w14:textId="77777777" w:rsidR="003428FF" w:rsidRPr="0078056B" w:rsidRDefault="003428FF" w:rsidP="00C042A1">
            <w:pPr>
              <w:pStyle w:val="TableText"/>
              <w:keepNext/>
              <w:ind w:left="0"/>
              <w:rPr>
                <w:rFonts w:asciiTheme="minorHAnsi" w:hAnsiTheme="minorHAnsi" w:cstheme="minorHAnsi"/>
                <w:color w:val="FFFFFF" w:themeColor="background1"/>
                <w:sz w:val="18"/>
                <w:szCs w:val="18"/>
              </w:rPr>
            </w:pPr>
          </w:p>
        </w:tc>
        <w:tc>
          <w:tcPr>
            <w:tcW w:w="307" w:type="pct"/>
            <w:tcBorders>
              <w:left w:val="nil"/>
              <w:right w:val="nil"/>
            </w:tcBorders>
            <w:shd w:val="clear" w:color="auto" w:fill="06357A" w:themeFill="text2"/>
            <w:vAlign w:val="center"/>
          </w:tcPr>
          <w:p w14:paraId="721C610E" w14:textId="77777777" w:rsidR="003428FF" w:rsidRPr="0078056B" w:rsidRDefault="003428FF" w:rsidP="00C042A1">
            <w:pPr>
              <w:pStyle w:val="TableText"/>
              <w:keepNext/>
              <w:ind w:left="0"/>
              <w:rPr>
                <w:rFonts w:asciiTheme="minorHAnsi" w:hAnsiTheme="minorHAnsi" w:cstheme="minorHAnsi"/>
                <w:color w:val="FFFFFF" w:themeColor="background1"/>
                <w:sz w:val="18"/>
                <w:szCs w:val="18"/>
              </w:rPr>
            </w:pPr>
          </w:p>
        </w:tc>
        <w:tc>
          <w:tcPr>
            <w:tcW w:w="296" w:type="pct"/>
            <w:tcBorders>
              <w:left w:val="nil"/>
              <w:right w:val="nil"/>
            </w:tcBorders>
            <w:shd w:val="clear" w:color="auto" w:fill="06357A" w:themeFill="text2"/>
            <w:vAlign w:val="center"/>
          </w:tcPr>
          <w:p w14:paraId="45C4516B" w14:textId="77777777" w:rsidR="003428FF" w:rsidRPr="0078056B" w:rsidRDefault="003428FF" w:rsidP="00C042A1">
            <w:pPr>
              <w:pStyle w:val="TableText"/>
              <w:keepNext/>
              <w:ind w:left="0"/>
              <w:rPr>
                <w:rFonts w:asciiTheme="minorHAnsi" w:hAnsiTheme="minorHAnsi" w:cstheme="minorHAnsi"/>
                <w:color w:val="FFFFFF" w:themeColor="background1"/>
                <w:sz w:val="18"/>
                <w:szCs w:val="18"/>
              </w:rPr>
            </w:pPr>
          </w:p>
        </w:tc>
        <w:tc>
          <w:tcPr>
            <w:tcW w:w="289" w:type="pct"/>
            <w:tcBorders>
              <w:left w:val="nil"/>
              <w:right w:val="nil"/>
            </w:tcBorders>
            <w:shd w:val="clear" w:color="auto" w:fill="06357A" w:themeFill="text2"/>
            <w:vAlign w:val="center"/>
          </w:tcPr>
          <w:p w14:paraId="17744F1D" w14:textId="77777777" w:rsidR="003428FF" w:rsidRPr="0078056B" w:rsidRDefault="003428FF" w:rsidP="00C042A1">
            <w:pPr>
              <w:pStyle w:val="TableText"/>
              <w:keepNext/>
              <w:ind w:left="0"/>
              <w:rPr>
                <w:rFonts w:asciiTheme="minorHAnsi" w:hAnsiTheme="minorHAnsi" w:cstheme="minorHAnsi"/>
                <w:color w:val="FFFFFF" w:themeColor="background1"/>
                <w:sz w:val="18"/>
                <w:szCs w:val="18"/>
              </w:rPr>
            </w:pPr>
          </w:p>
        </w:tc>
        <w:tc>
          <w:tcPr>
            <w:tcW w:w="289" w:type="pct"/>
            <w:tcBorders>
              <w:left w:val="nil"/>
            </w:tcBorders>
            <w:shd w:val="clear" w:color="auto" w:fill="06357A" w:themeFill="text2"/>
            <w:vAlign w:val="center"/>
          </w:tcPr>
          <w:p w14:paraId="640BCBD2" w14:textId="77777777" w:rsidR="003428FF" w:rsidRPr="0078056B" w:rsidRDefault="003428FF" w:rsidP="00C042A1">
            <w:pPr>
              <w:pStyle w:val="TableText"/>
              <w:keepNext/>
              <w:ind w:left="0"/>
              <w:rPr>
                <w:rFonts w:asciiTheme="minorHAnsi" w:hAnsiTheme="minorHAnsi" w:cstheme="minorHAnsi"/>
                <w:color w:val="FFFFFF" w:themeColor="background1"/>
                <w:sz w:val="18"/>
                <w:szCs w:val="18"/>
              </w:rPr>
            </w:pPr>
          </w:p>
        </w:tc>
      </w:tr>
      <w:tr w:rsidR="003428FF" w:rsidRPr="0078056B" w14:paraId="40D019D5" w14:textId="77777777" w:rsidTr="00C042A1">
        <w:trPr>
          <w:trHeight w:val="290"/>
          <w:jc w:val="center"/>
        </w:trPr>
        <w:tc>
          <w:tcPr>
            <w:tcW w:w="1924" w:type="pct"/>
            <w:vAlign w:val="center"/>
          </w:tcPr>
          <w:p w14:paraId="4A587888" w14:textId="77777777" w:rsidR="003428FF" w:rsidRPr="0078056B" w:rsidRDefault="003428FF" w:rsidP="00C042A1">
            <w:pPr>
              <w:pStyle w:val="TableText"/>
              <w:keepNext/>
              <w:rPr>
                <w:b/>
                <w:color w:val="0B5ED7" w:themeColor="accent2"/>
                <w:sz w:val="18"/>
                <w:szCs w:val="18"/>
              </w:rPr>
            </w:pPr>
            <w:r w:rsidRPr="0078056B">
              <w:rPr>
                <w:sz w:val="18"/>
                <w:szCs w:val="18"/>
              </w:rPr>
              <w:t>Level 3 (vs. 5+GCSEs)</w:t>
            </w:r>
            <w:r w:rsidRPr="0078056B">
              <w:rPr>
                <w:rFonts w:asciiTheme="minorHAnsi" w:hAnsiTheme="minorHAnsi"/>
                <w:sz w:val="18"/>
                <w:szCs w:val="18"/>
                <w:vertAlign w:val="superscript"/>
              </w:rPr>
              <w:t>1</w:t>
            </w:r>
          </w:p>
        </w:tc>
        <w:tc>
          <w:tcPr>
            <w:tcW w:w="365" w:type="pct"/>
            <w:shd w:val="clear" w:color="auto" w:fill="auto"/>
            <w:vAlign w:val="center"/>
          </w:tcPr>
          <w:p w14:paraId="3F14E155"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93" w:type="pct"/>
            <w:shd w:val="clear" w:color="auto" w:fill="auto"/>
            <w:vAlign w:val="center"/>
          </w:tcPr>
          <w:p w14:paraId="1F15513F"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4.6</w:t>
            </w:r>
          </w:p>
        </w:tc>
        <w:tc>
          <w:tcPr>
            <w:tcW w:w="317" w:type="pct"/>
            <w:shd w:val="clear" w:color="auto" w:fill="auto"/>
            <w:vAlign w:val="center"/>
          </w:tcPr>
          <w:p w14:paraId="0FDAAFC9"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4.0</w:t>
            </w:r>
          </w:p>
        </w:tc>
        <w:tc>
          <w:tcPr>
            <w:tcW w:w="306" w:type="pct"/>
            <w:shd w:val="clear" w:color="auto" w:fill="auto"/>
            <w:vAlign w:val="center"/>
          </w:tcPr>
          <w:p w14:paraId="539679F3"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2.9</w:t>
            </w:r>
          </w:p>
        </w:tc>
        <w:tc>
          <w:tcPr>
            <w:tcW w:w="296" w:type="pct"/>
            <w:shd w:val="clear" w:color="auto" w:fill="auto"/>
            <w:vAlign w:val="center"/>
          </w:tcPr>
          <w:p w14:paraId="4ED14781"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3.9</w:t>
            </w:r>
          </w:p>
        </w:tc>
        <w:tc>
          <w:tcPr>
            <w:tcW w:w="318" w:type="pct"/>
            <w:shd w:val="clear" w:color="auto" w:fill="auto"/>
            <w:vAlign w:val="center"/>
          </w:tcPr>
          <w:p w14:paraId="4DB0ECBD"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2.8</w:t>
            </w:r>
          </w:p>
        </w:tc>
        <w:tc>
          <w:tcPr>
            <w:tcW w:w="307" w:type="pct"/>
            <w:shd w:val="clear" w:color="auto" w:fill="auto"/>
            <w:vAlign w:val="center"/>
          </w:tcPr>
          <w:p w14:paraId="1776F670"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4.4</w:t>
            </w:r>
          </w:p>
        </w:tc>
        <w:tc>
          <w:tcPr>
            <w:tcW w:w="296" w:type="pct"/>
            <w:shd w:val="clear" w:color="auto" w:fill="auto"/>
            <w:vAlign w:val="center"/>
          </w:tcPr>
          <w:p w14:paraId="49D8F01E"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3.9</w:t>
            </w:r>
          </w:p>
        </w:tc>
        <w:tc>
          <w:tcPr>
            <w:tcW w:w="289" w:type="pct"/>
            <w:shd w:val="clear" w:color="auto" w:fill="auto"/>
            <w:vAlign w:val="center"/>
          </w:tcPr>
          <w:p w14:paraId="2280890A"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3.5</w:t>
            </w:r>
          </w:p>
        </w:tc>
        <w:tc>
          <w:tcPr>
            <w:tcW w:w="289" w:type="pct"/>
            <w:shd w:val="clear" w:color="auto" w:fill="auto"/>
            <w:vAlign w:val="center"/>
          </w:tcPr>
          <w:p w14:paraId="38160BD1"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3.5</w:t>
            </w:r>
          </w:p>
        </w:tc>
      </w:tr>
      <w:tr w:rsidR="003428FF" w:rsidRPr="0078056B" w14:paraId="090863C4" w14:textId="77777777" w:rsidTr="00C042A1">
        <w:trPr>
          <w:trHeight w:val="290"/>
          <w:jc w:val="center"/>
        </w:trPr>
        <w:tc>
          <w:tcPr>
            <w:tcW w:w="1924" w:type="pct"/>
            <w:vAlign w:val="center"/>
          </w:tcPr>
          <w:p w14:paraId="0A7BD01B" w14:textId="77777777" w:rsidR="003428FF" w:rsidRPr="0078056B" w:rsidRDefault="003428FF" w:rsidP="00C042A1">
            <w:pPr>
              <w:pStyle w:val="TableText"/>
              <w:keepNext/>
              <w:rPr>
                <w:b/>
                <w:color w:val="0B5ED7" w:themeColor="accent2"/>
                <w:sz w:val="18"/>
                <w:szCs w:val="18"/>
              </w:rPr>
            </w:pPr>
            <w:r w:rsidRPr="0078056B">
              <w:rPr>
                <w:rFonts w:asciiTheme="minorHAnsi" w:hAnsiTheme="minorHAnsi"/>
                <w:sz w:val="18"/>
                <w:szCs w:val="18"/>
              </w:rPr>
              <w:t>Other un</w:t>
            </w:r>
            <w:r w:rsidRPr="0078056B">
              <w:rPr>
                <w:sz w:val="18"/>
                <w:szCs w:val="18"/>
              </w:rPr>
              <w:t>dergraduate (vs. Level 3)</w:t>
            </w:r>
            <w:r w:rsidRPr="0078056B">
              <w:rPr>
                <w:rFonts w:asciiTheme="minorHAnsi" w:hAnsiTheme="minorHAnsi"/>
                <w:sz w:val="18"/>
                <w:szCs w:val="18"/>
                <w:vertAlign w:val="superscript"/>
              </w:rPr>
              <w:t>2</w:t>
            </w:r>
          </w:p>
        </w:tc>
        <w:tc>
          <w:tcPr>
            <w:tcW w:w="365" w:type="pct"/>
            <w:shd w:val="clear" w:color="auto" w:fill="auto"/>
            <w:vAlign w:val="center"/>
          </w:tcPr>
          <w:p w14:paraId="4AEB5979"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93" w:type="pct"/>
            <w:shd w:val="clear" w:color="auto" w:fill="auto"/>
            <w:vAlign w:val="center"/>
          </w:tcPr>
          <w:p w14:paraId="41D4639A"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3.0</w:t>
            </w:r>
          </w:p>
        </w:tc>
        <w:tc>
          <w:tcPr>
            <w:tcW w:w="317" w:type="pct"/>
            <w:shd w:val="clear" w:color="auto" w:fill="auto"/>
            <w:vAlign w:val="center"/>
          </w:tcPr>
          <w:p w14:paraId="0BFDF353"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306" w:type="pct"/>
            <w:shd w:val="clear" w:color="auto" w:fill="auto"/>
            <w:vAlign w:val="center"/>
          </w:tcPr>
          <w:p w14:paraId="286C6B9B"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3.8</w:t>
            </w:r>
          </w:p>
        </w:tc>
        <w:tc>
          <w:tcPr>
            <w:tcW w:w="296" w:type="pct"/>
            <w:shd w:val="clear" w:color="auto" w:fill="auto"/>
            <w:vAlign w:val="center"/>
          </w:tcPr>
          <w:p w14:paraId="6268D27A"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4.4</w:t>
            </w:r>
          </w:p>
        </w:tc>
        <w:tc>
          <w:tcPr>
            <w:tcW w:w="318" w:type="pct"/>
            <w:shd w:val="clear" w:color="auto" w:fill="auto"/>
            <w:vAlign w:val="center"/>
          </w:tcPr>
          <w:p w14:paraId="6A5F82DC"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2.9</w:t>
            </w:r>
          </w:p>
        </w:tc>
        <w:tc>
          <w:tcPr>
            <w:tcW w:w="307" w:type="pct"/>
            <w:shd w:val="clear" w:color="auto" w:fill="auto"/>
            <w:vAlign w:val="center"/>
          </w:tcPr>
          <w:p w14:paraId="6D2C2B61"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3.1</w:t>
            </w:r>
          </w:p>
        </w:tc>
        <w:tc>
          <w:tcPr>
            <w:tcW w:w="296" w:type="pct"/>
            <w:shd w:val="clear" w:color="auto" w:fill="auto"/>
            <w:vAlign w:val="center"/>
          </w:tcPr>
          <w:p w14:paraId="528912EF"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2.6</w:t>
            </w:r>
          </w:p>
        </w:tc>
        <w:tc>
          <w:tcPr>
            <w:tcW w:w="289" w:type="pct"/>
            <w:shd w:val="clear" w:color="auto" w:fill="auto"/>
            <w:vAlign w:val="center"/>
          </w:tcPr>
          <w:p w14:paraId="6FA84DD6"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89" w:type="pct"/>
            <w:shd w:val="clear" w:color="auto" w:fill="auto"/>
            <w:vAlign w:val="center"/>
          </w:tcPr>
          <w:p w14:paraId="26BF03FA" w14:textId="77777777" w:rsidR="003428FF" w:rsidRPr="0078056B" w:rsidRDefault="003428FF" w:rsidP="00C042A1">
            <w:pPr>
              <w:pStyle w:val="TableText"/>
              <w:keepNext/>
              <w:ind w:left="0"/>
              <w:jc w:val="center"/>
              <w:rPr>
                <w:rFonts w:asciiTheme="minorHAnsi" w:hAnsiTheme="minorHAnsi" w:cstheme="minorHAnsi"/>
                <w:sz w:val="18"/>
                <w:szCs w:val="18"/>
              </w:rPr>
            </w:pPr>
          </w:p>
        </w:tc>
      </w:tr>
      <w:tr w:rsidR="003428FF" w:rsidRPr="0078056B" w14:paraId="28939A06" w14:textId="77777777" w:rsidTr="00C042A1">
        <w:trPr>
          <w:trHeight w:val="290"/>
          <w:jc w:val="center"/>
        </w:trPr>
        <w:tc>
          <w:tcPr>
            <w:tcW w:w="1924" w:type="pct"/>
            <w:vAlign w:val="center"/>
          </w:tcPr>
          <w:p w14:paraId="21E816CB" w14:textId="77777777" w:rsidR="003428FF" w:rsidRPr="0078056B" w:rsidRDefault="003428FF" w:rsidP="00C042A1">
            <w:pPr>
              <w:pStyle w:val="TableText"/>
              <w:keepNext/>
              <w:rPr>
                <w:b/>
                <w:color w:val="0B5ED7" w:themeColor="accent2"/>
                <w:sz w:val="18"/>
                <w:szCs w:val="18"/>
              </w:rPr>
            </w:pPr>
            <w:r w:rsidRPr="0078056B">
              <w:rPr>
                <w:rFonts w:asciiTheme="minorHAnsi" w:hAnsiTheme="minorHAnsi"/>
                <w:sz w:val="18"/>
                <w:szCs w:val="18"/>
              </w:rPr>
              <w:t>First degree (vs. Level 3)</w:t>
            </w:r>
            <w:r w:rsidRPr="0078056B">
              <w:rPr>
                <w:rFonts w:asciiTheme="minorHAnsi" w:hAnsiTheme="minorHAnsi"/>
                <w:sz w:val="18"/>
                <w:szCs w:val="18"/>
                <w:vertAlign w:val="superscript"/>
              </w:rPr>
              <w:t>2</w:t>
            </w:r>
          </w:p>
        </w:tc>
        <w:tc>
          <w:tcPr>
            <w:tcW w:w="365" w:type="pct"/>
            <w:shd w:val="clear" w:color="auto" w:fill="auto"/>
            <w:vAlign w:val="center"/>
          </w:tcPr>
          <w:p w14:paraId="5FBF3340"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15.1</w:t>
            </w:r>
          </w:p>
        </w:tc>
        <w:tc>
          <w:tcPr>
            <w:tcW w:w="293" w:type="pct"/>
            <w:shd w:val="clear" w:color="auto" w:fill="auto"/>
            <w:vAlign w:val="center"/>
          </w:tcPr>
          <w:p w14:paraId="451DFF5B"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317" w:type="pct"/>
            <w:shd w:val="clear" w:color="auto" w:fill="auto"/>
            <w:vAlign w:val="center"/>
          </w:tcPr>
          <w:p w14:paraId="2ADA2F7C"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5.0</w:t>
            </w:r>
          </w:p>
        </w:tc>
        <w:tc>
          <w:tcPr>
            <w:tcW w:w="306" w:type="pct"/>
            <w:shd w:val="clear" w:color="auto" w:fill="auto"/>
            <w:vAlign w:val="center"/>
          </w:tcPr>
          <w:p w14:paraId="0F5C7154"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6.0</w:t>
            </w:r>
          </w:p>
        </w:tc>
        <w:tc>
          <w:tcPr>
            <w:tcW w:w="296" w:type="pct"/>
            <w:shd w:val="clear" w:color="auto" w:fill="auto"/>
            <w:vAlign w:val="center"/>
          </w:tcPr>
          <w:p w14:paraId="68746FB7"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5.7</w:t>
            </w:r>
          </w:p>
        </w:tc>
        <w:tc>
          <w:tcPr>
            <w:tcW w:w="318" w:type="pct"/>
            <w:shd w:val="clear" w:color="auto" w:fill="auto"/>
            <w:vAlign w:val="center"/>
          </w:tcPr>
          <w:p w14:paraId="55EEB544"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5.7</w:t>
            </w:r>
          </w:p>
        </w:tc>
        <w:tc>
          <w:tcPr>
            <w:tcW w:w="307" w:type="pct"/>
            <w:shd w:val="clear" w:color="auto" w:fill="auto"/>
            <w:vAlign w:val="center"/>
          </w:tcPr>
          <w:p w14:paraId="41ACE039"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4.0</w:t>
            </w:r>
          </w:p>
        </w:tc>
        <w:tc>
          <w:tcPr>
            <w:tcW w:w="296" w:type="pct"/>
            <w:shd w:val="clear" w:color="auto" w:fill="auto"/>
            <w:vAlign w:val="center"/>
          </w:tcPr>
          <w:p w14:paraId="2022C17A"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89" w:type="pct"/>
            <w:shd w:val="clear" w:color="auto" w:fill="auto"/>
            <w:vAlign w:val="center"/>
          </w:tcPr>
          <w:p w14:paraId="706525D5"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89" w:type="pct"/>
            <w:shd w:val="clear" w:color="auto" w:fill="auto"/>
            <w:vAlign w:val="center"/>
          </w:tcPr>
          <w:p w14:paraId="73694547" w14:textId="77777777" w:rsidR="003428FF" w:rsidRPr="0078056B" w:rsidRDefault="003428FF" w:rsidP="00C042A1">
            <w:pPr>
              <w:pStyle w:val="TableText"/>
              <w:keepNext/>
              <w:ind w:left="0"/>
              <w:jc w:val="center"/>
              <w:rPr>
                <w:rFonts w:asciiTheme="minorHAnsi" w:hAnsiTheme="minorHAnsi" w:cstheme="minorHAnsi"/>
                <w:sz w:val="18"/>
                <w:szCs w:val="18"/>
              </w:rPr>
            </w:pPr>
          </w:p>
        </w:tc>
      </w:tr>
      <w:tr w:rsidR="003428FF" w:rsidRPr="0078056B" w14:paraId="1D39C76F" w14:textId="77777777" w:rsidTr="00C042A1">
        <w:trPr>
          <w:trHeight w:val="290"/>
          <w:jc w:val="center"/>
        </w:trPr>
        <w:tc>
          <w:tcPr>
            <w:tcW w:w="1924" w:type="pct"/>
            <w:vAlign w:val="center"/>
          </w:tcPr>
          <w:p w14:paraId="41889AF1" w14:textId="77777777" w:rsidR="003428FF" w:rsidRPr="0078056B" w:rsidRDefault="003428FF" w:rsidP="00C042A1">
            <w:pPr>
              <w:pStyle w:val="TableText"/>
              <w:keepNext/>
              <w:rPr>
                <w:b/>
                <w:color w:val="0B5ED7" w:themeColor="accent2"/>
                <w:sz w:val="18"/>
                <w:szCs w:val="18"/>
              </w:rPr>
            </w:pPr>
            <w:r w:rsidRPr="0078056B">
              <w:rPr>
                <w:rFonts w:asciiTheme="minorHAnsi" w:hAnsiTheme="minorHAnsi"/>
                <w:sz w:val="18"/>
                <w:szCs w:val="18"/>
              </w:rPr>
              <w:t>Other postgraduate (vs. first degrees)</w:t>
            </w:r>
            <w:r w:rsidRPr="0078056B">
              <w:rPr>
                <w:rFonts w:asciiTheme="minorHAnsi" w:hAnsiTheme="minorHAnsi"/>
                <w:sz w:val="18"/>
                <w:szCs w:val="18"/>
                <w:vertAlign w:val="superscript"/>
              </w:rPr>
              <w:t>3</w:t>
            </w:r>
          </w:p>
        </w:tc>
        <w:tc>
          <w:tcPr>
            <w:tcW w:w="365" w:type="pct"/>
            <w:shd w:val="clear" w:color="auto" w:fill="auto"/>
            <w:vAlign w:val="center"/>
          </w:tcPr>
          <w:p w14:paraId="30ACE352"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93" w:type="pct"/>
            <w:shd w:val="clear" w:color="auto" w:fill="auto"/>
            <w:vAlign w:val="center"/>
          </w:tcPr>
          <w:p w14:paraId="73999D79"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4.1</w:t>
            </w:r>
          </w:p>
        </w:tc>
        <w:tc>
          <w:tcPr>
            <w:tcW w:w="317" w:type="pct"/>
            <w:shd w:val="clear" w:color="auto" w:fill="auto"/>
            <w:vAlign w:val="center"/>
          </w:tcPr>
          <w:p w14:paraId="673B1F3E"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306" w:type="pct"/>
            <w:shd w:val="clear" w:color="auto" w:fill="auto"/>
            <w:vAlign w:val="center"/>
          </w:tcPr>
          <w:p w14:paraId="622A8A21"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2.3</w:t>
            </w:r>
          </w:p>
        </w:tc>
        <w:tc>
          <w:tcPr>
            <w:tcW w:w="296" w:type="pct"/>
            <w:shd w:val="clear" w:color="auto" w:fill="auto"/>
            <w:vAlign w:val="center"/>
          </w:tcPr>
          <w:p w14:paraId="1501F074"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318" w:type="pct"/>
            <w:shd w:val="clear" w:color="auto" w:fill="auto"/>
            <w:vAlign w:val="center"/>
          </w:tcPr>
          <w:p w14:paraId="06724B2A"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4.1</w:t>
            </w:r>
          </w:p>
        </w:tc>
        <w:tc>
          <w:tcPr>
            <w:tcW w:w="307" w:type="pct"/>
            <w:shd w:val="clear" w:color="auto" w:fill="auto"/>
            <w:vAlign w:val="center"/>
          </w:tcPr>
          <w:p w14:paraId="69BA467F"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3.3</w:t>
            </w:r>
          </w:p>
        </w:tc>
        <w:tc>
          <w:tcPr>
            <w:tcW w:w="296" w:type="pct"/>
            <w:shd w:val="clear" w:color="auto" w:fill="auto"/>
            <w:vAlign w:val="center"/>
          </w:tcPr>
          <w:p w14:paraId="2A2F77D7"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2.9</w:t>
            </w:r>
          </w:p>
        </w:tc>
        <w:tc>
          <w:tcPr>
            <w:tcW w:w="289" w:type="pct"/>
            <w:shd w:val="clear" w:color="auto" w:fill="auto"/>
            <w:vAlign w:val="center"/>
          </w:tcPr>
          <w:p w14:paraId="7A1536B0"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5.1</w:t>
            </w:r>
          </w:p>
        </w:tc>
        <w:tc>
          <w:tcPr>
            <w:tcW w:w="289" w:type="pct"/>
            <w:shd w:val="clear" w:color="auto" w:fill="auto"/>
            <w:vAlign w:val="center"/>
          </w:tcPr>
          <w:p w14:paraId="1ADFF800" w14:textId="77777777" w:rsidR="003428FF" w:rsidRPr="0078056B" w:rsidRDefault="003428FF" w:rsidP="00C042A1">
            <w:pPr>
              <w:pStyle w:val="TableText"/>
              <w:keepNext/>
              <w:ind w:left="0"/>
              <w:jc w:val="center"/>
              <w:rPr>
                <w:rFonts w:asciiTheme="minorHAnsi" w:hAnsiTheme="minorHAnsi" w:cstheme="minorHAnsi"/>
                <w:sz w:val="18"/>
                <w:szCs w:val="18"/>
              </w:rPr>
            </w:pPr>
          </w:p>
        </w:tc>
      </w:tr>
      <w:tr w:rsidR="003428FF" w:rsidRPr="0078056B" w14:paraId="69FBBC02" w14:textId="77777777" w:rsidTr="00C042A1">
        <w:trPr>
          <w:trHeight w:val="290"/>
          <w:jc w:val="center"/>
        </w:trPr>
        <w:tc>
          <w:tcPr>
            <w:tcW w:w="1924" w:type="pct"/>
            <w:vAlign w:val="center"/>
          </w:tcPr>
          <w:p w14:paraId="4CA49FFA" w14:textId="77777777" w:rsidR="003428FF" w:rsidRPr="0078056B" w:rsidRDefault="003428FF" w:rsidP="00C042A1">
            <w:pPr>
              <w:pStyle w:val="TableText"/>
              <w:keepNext/>
              <w:rPr>
                <w:rFonts w:asciiTheme="minorHAnsi" w:hAnsiTheme="minorHAnsi"/>
                <w:sz w:val="18"/>
                <w:szCs w:val="18"/>
              </w:rPr>
            </w:pPr>
            <w:r w:rsidRPr="0078056B">
              <w:rPr>
                <w:rFonts w:asciiTheme="minorHAnsi" w:hAnsiTheme="minorHAnsi"/>
                <w:sz w:val="18"/>
                <w:szCs w:val="18"/>
              </w:rPr>
              <w:t>Higher degree (taught) (vs. first degrees)</w:t>
            </w:r>
            <w:r w:rsidRPr="0078056B">
              <w:rPr>
                <w:rFonts w:asciiTheme="minorHAnsi" w:hAnsiTheme="minorHAnsi"/>
                <w:sz w:val="18"/>
                <w:szCs w:val="18"/>
                <w:vertAlign w:val="superscript"/>
              </w:rPr>
              <w:t>3</w:t>
            </w:r>
          </w:p>
        </w:tc>
        <w:tc>
          <w:tcPr>
            <w:tcW w:w="365" w:type="pct"/>
            <w:shd w:val="clear" w:color="auto" w:fill="auto"/>
            <w:vAlign w:val="center"/>
          </w:tcPr>
          <w:p w14:paraId="629A0B91"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93" w:type="pct"/>
            <w:shd w:val="clear" w:color="auto" w:fill="auto"/>
            <w:vAlign w:val="center"/>
          </w:tcPr>
          <w:p w14:paraId="4ABA9A09" w14:textId="77777777" w:rsidR="003428FF" w:rsidRPr="0078056B" w:rsidRDefault="003428FF" w:rsidP="00C042A1">
            <w:pPr>
              <w:pStyle w:val="TableText"/>
              <w:keepNext/>
              <w:ind w:left="0"/>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-5.8</w:t>
            </w:r>
          </w:p>
        </w:tc>
        <w:tc>
          <w:tcPr>
            <w:tcW w:w="317" w:type="pct"/>
            <w:shd w:val="clear" w:color="auto" w:fill="auto"/>
            <w:vAlign w:val="center"/>
          </w:tcPr>
          <w:p w14:paraId="73B4155F" w14:textId="77777777" w:rsidR="003428FF" w:rsidRPr="0078056B" w:rsidRDefault="003428FF" w:rsidP="00C042A1">
            <w:pPr>
              <w:pStyle w:val="TableText"/>
              <w:keepNext/>
              <w:ind w:left="0"/>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-2.8</w:t>
            </w:r>
          </w:p>
        </w:tc>
        <w:tc>
          <w:tcPr>
            <w:tcW w:w="306" w:type="pct"/>
            <w:shd w:val="clear" w:color="auto" w:fill="auto"/>
            <w:vAlign w:val="center"/>
          </w:tcPr>
          <w:p w14:paraId="5EA4D000"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96" w:type="pct"/>
            <w:shd w:val="clear" w:color="auto" w:fill="auto"/>
            <w:vAlign w:val="center"/>
          </w:tcPr>
          <w:p w14:paraId="73CC7ED1"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318" w:type="pct"/>
            <w:shd w:val="clear" w:color="auto" w:fill="auto"/>
            <w:vAlign w:val="center"/>
          </w:tcPr>
          <w:p w14:paraId="072A0A92"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2.4</w:t>
            </w:r>
          </w:p>
        </w:tc>
        <w:tc>
          <w:tcPr>
            <w:tcW w:w="307" w:type="pct"/>
            <w:shd w:val="clear" w:color="auto" w:fill="auto"/>
            <w:vAlign w:val="center"/>
          </w:tcPr>
          <w:p w14:paraId="72E43337"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2.3</w:t>
            </w:r>
          </w:p>
        </w:tc>
        <w:tc>
          <w:tcPr>
            <w:tcW w:w="296" w:type="pct"/>
            <w:shd w:val="clear" w:color="auto" w:fill="auto"/>
            <w:vAlign w:val="center"/>
          </w:tcPr>
          <w:p w14:paraId="378DBD51"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2.8</w:t>
            </w:r>
          </w:p>
        </w:tc>
        <w:tc>
          <w:tcPr>
            <w:tcW w:w="289" w:type="pct"/>
            <w:shd w:val="clear" w:color="auto" w:fill="auto"/>
            <w:vAlign w:val="center"/>
          </w:tcPr>
          <w:p w14:paraId="53A49B79"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4.5</w:t>
            </w:r>
          </w:p>
        </w:tc>
        <w:tc>
          <w:tcPr>
            <w:tcW w:w="289" w:type="pct"/>
            <w:shd w:val="clear" w:color="auto" w:fill="auto"/>
            <w:vAlign w:val="center"/>
          </w:tcPr>
          <w:p w14:paraId="6CED62FF"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4.5</w:t>
            </w:r>
          </w:p>
        </w:tc>
      </w:tr>
      <w:tr w:rsidR="003428FF" w:rsidRPr="0078056B" w14:paraId="7531CED5" w14:textId="77777777" w:rsidTr="00C042A1">
        <w:trPr>
          <w:trHeight w:val="290"/>
          <w:jc w:val="center"/>
        </w:trPr>
        <w:tc>
          <w:tcPr>
            <w:tcW w:w="1924" w:type="pct"/>
            <w:tcBorders>
              <w:bottom w:val="single" w:sz="4" w:space="0" w:color="06357A"/>
            </w:tcBorders>
            <w:vAlign w:val="center"/>
          </w:tcPr>
          <w:p w14:paraId="79687DCD" w14:textId="77777777" w:rsidR="003428FF" w:rsidRPr="0078056B" w:rsidRDefault="003428FF" w:rsidP="00C042A1">
            <w:pPr>
              <w:pStyle w:val="TableText"/>
              <w:keepNext/>
              <w:rPr>
                <w:sz w:val="18"/>
                <w:szCs w:val="18"/>
              </w:rPr>
            </w:pPr>
            <w:r w:rsidRPr="0078056B">
              <w:rPr>
                <w:rFonts w:asciiTheme="minorHAnsi" w:hAnsiTheme="minorHAnsi"/>
                <w:sz w:val="18"/>
                <w:szCs w:val="18"/>
              </w:rPr>
              <w:t>Higher degree (research) (vs. first degrees)</w:t>
            </w:r>
            <w:r w:rsidRPr="0078056B">
              <w:rPr>
                <w:rFonts w:asciiTheme="minorHAnsi" w:hAnsiTheme="minorHAnsi"/>
                <w:sz w:val="18"/>
                <w:szCs w:val="18"/>
                <w:vertAlign w:val="superscript"/>
              </w:rPr>
              <w:t>3</w:t>
            </w:r>
          </w:p>
        </w:tc>
        <w:tc>
          <w:tcPr>
            <w:tcW w:w="365" w:type="pct"/>
            <w:tcBorders>
              <w:bottom w:val="single" w:sz="4" w:space="0" w:color="06357A"/>
            </w:tcBorders>
            <w:shd w:val="clear" w:color="auto" w:fill="auto"/>
            <w:vAlign w:val="center"/>
          </w:tcPr>
          <w:p w14:paraId="38AF22F3"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293" w:type="pct"/>
            <w:tcBorders>
              <w:bottom w:val="single" w:sz="4" w:space="0" w:color="06357A"/>
            </w:tcBorders>
            <w:shd w:val="clear" w:color="auto" w:fill="auto"/>
            <w:vAlign w:val="center"/>
          </w:tcPr>
          <w:p w14:paraId="31DC9952" w14:textId="77777777" w:rsidR="003428FF" w:rsidRPr="0078056B" w:rsidRDefault="003428FF" w:rsidP="00C042A1">
            <w:pPr>
              <w:pStyle w:val="TableText"/>
              <w:keepNext/>
              <w:ind w:left="0"/>
              <w:jc w:val="center"/>
              <w:rPr>
                <w:rFonts w:asciiTheme="minorHAnsi" w:hAnsiTheme="minorHAnsi" w:cstheme="minorHAnsi"/>
                <w:color w:val="FF0000"/>
                <w:sz w:val="18"/>
                <w:szCs w:val="18"/>
              </w:rPr>
            </w:pPr>
          </w:p>
        </w:tc>
        <w:tc>
          <w:tcPr>
            <w:tcW w:w="317" w:type="pct"/>
            <w:tcBorders>
              <w:bottom w:val="single" w:sz="4" w:space="0" w:color="06357A"/>
            </w:tcBorders>
            <w:shd w:val="clear" w:color="auto" w:fill="auto"/>
            <w:vAlign w:val="center"/>
          </w:tcPr>
          <w:p w14:paraId="76F2BED8" w14:textId="77777777" w:rsidR="003428FF" w:rsidRPr="0078056B" w:rsidRDefault="003428FF" w:rsidP="00C042A1">
            <w:pPr>
              <w:pStyle w:val="TableText"/>
              <w:keepNext/>
              <w:ind w:left="0"/>
              <w:jc w:val="center"/>
              <w:rPr>
                <w:rFonts w:asciiTheme="minorHAnsi" w:hAnsiTheme="minorHAnsi" w:cstheme="minorHAnsi"/>
                <w:color w:val="FF0000"/>
                <w:sz w:val="18"/>
                <w:szCs w:val="18"/>
              </w:rPr>
            </w:pPr>
          </w:p>
        </w:tc>
        <w:tc>
          <w:tcPr>
            <w:tcW w:w="306" w:type="pct"/>
            <w:tcBorders>
              <w:bottom w:val="single" w:sz="4" w:space="0" w:color="06357A"/>
            </w:tcBorders>
            <w:shd w:val="clear" w:color="auto" w:fill="auto"/>
            <w:vAlign w:val="center"/>
          </w:tcPr>
          <w:p w14:paraId="59905F6D"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2.9</w:t>
            </w:r>
          </w:p>
        </w:tc>
        <w:tc>
          <w:tcPr>
            <w:tcW w:w="296" w:type="pct"/>
            <w:tcBorders>
              <w:bottom w:val="single" w:sz="4" w:space="0" w:color="06357A"/>
            </w:tcBorders>
            <w:shd w:val="clear" w:color="auto" w:fill="auto"/>
            <w:vAlign w:val="center"/>
          </w:tcPr>
          <w:p w14:paraId="12A9B549" w14:textId="77777777" w:rsidR="003428FF" w:rsidRPr="0078056B" w:rsidRDefault="003428FF" w:rsidP="00C042A1">
            <w:pPr>
              <w:pStyle w:val="TableText"/>
              <w:keepNext/>
              <w:ind w:left="0"/>
              <w:jc w:val="center"/>
              <w:rPr>
                <w:rFonts w:asciiTheme="minorHAnsi" w:hAnsiTheme="minorHAnsi" w:cstheme="minorHAnsi"/>
                <w:sz w:val="18"/>
                <w:szCs w:val="18"/>
              </w:rPr>
            </w:pPr>
          </w:p>
        </w:tc>
        <w:tc>
          <w:tcPr>
            <w:tcW w:w="318" w:type="pct"/>
            <w:tcBorders>
              <w:bottom w:val="single" w:sz="4" w:space="0" w:color="06357A"/>
            </w:tcBorders>
            <w:shd w:val="clear" w:color="auto" w:fill="auto"/>
            <w:vAlign w:val="center"/>
          </w:tcPr>
          <w:p w14:paraId="139C7F73"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3.9</w:t>
            </w:r>
          </w:p>
        </w:tc>
        <w:tc>
          <w:tcPr>
            <w:tcW w:w="307" w:type="pct"/>
            <w:tcBorders>
              <w:bottom w:val="single" w:sz="4" w:space="0" w:color="06357A"/>
            </w:tcBorders>
            <w:shd w:val="clear" w:color="auto" w:fill="auto"/>
            <w:vAlign w:val="center"/>
          </w:tcPr>
          <w:p w14:paraId="75D20EA7"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5.7</w:t>
            </w:r>
          </w:p>
        </w:tc>
        <w:tc>
          <w:tcPr>
            <w:tcW w:w="296" w:type="pct"/>
            <w:tcBorders>
              <w:bottom w:val="single" w:sz="4" w:space="0" w:color="06357A"/>
            </w:tcBorders>
            <w:shd w:val="clear" w:color="auto" w:fill="auto"/>
            <w:vAlign w:val="center"/>
          </w:tcPr>
          <w:p w14:paraId="16891F7F"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7.7</w:t>
            </w:r>
          </w:p>
        </w:tc>
        <w:tc>
          <w:tcPr>
            <w:tcW w:w="289" w:type="pct"/>
            <w:tcBorders>
              <w:bottom w:val="single" w:sz="4" w:space="0" w:color="06357A"/>
            </w:tcBorders>
            <w:shd w:val="clear" w:color="auto" w:fill="auto"/>
            <w:vAlign w:val="center"/>
          </w:tcPr>
          <w:p w14:paraId="258A044F"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289" w:type="pct"/>
            <w:tcBorders>
              <w:bottom w:val="single" w:sz="4" w:space="0" w:color="06357A"/>
            </w:tcBorders>
            <w:shd w:val="clear" w:color="auto" w:fill="auto"/>
            <w:vAlign w:val="center"/>
          </w:tcPr>
          <w:p w14:paraId="3AD414E1" w14:textId="77777777" w:rsidR="003428FF" w:rsidRPr="0078056B" w:rsidRDefault="003428FF" w:rsidP="00C042A1">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17.7</w:t>
            </w:r>
          </w:p>
        </w:tc>
      </w:tr>
    </w:tbl>
    <w:p w14:paraId="12D8AC14" w14:textId="77777777" w:rsidR="003428FF" w:rsidRPr="0078056B" w:rsidRDefault="003428FF" w:rsidP="003428FF">
      <w:pPr>
        <w:pStyle w:val="LENoteText"/>
        <w:jc w:val="left"/>
        <w:rPr>
          <w:rFonts w:asciiTheme="minorHAnsi" w:hAnsiTheme="minorHAnsi"/>
        </w:rPr>
      </w:pPr>
      <w:r w:rsidRPr="0078056B">
        <w:rPr>
          <w:rFonts w:asciiTheme="minorHAnsi" w:hAnsiTheme="minorHAnsi"/>
          <w:szCs w:val="16"/>
        </w:rPr>
        <w:t>Note</w:t>
      </w:r>
      <w:r w:rsidRPr="0078056B">
        <w:rPr>
          <w:rFonts w:asciiTheme="minorHAnsi" w:hAnsiTheme="minorHAnsi"/>
        </w:rPr>
        <w:t xml:space="preserve">: </w:t>
      </w:r>
      <w:r w:rsidRPr="0078056B">
        <w:rPr>
          <w:rFonts w:asciiTheme="minorHAnsi" w:hAnsiTheme="minorHAnsi"/>
          <w:szCs w:val="16"/>
        </w:rPr>
        <w:t>In cases where the estimated coefficients are not statistically significantly different from zero (at the 10% level), the coefficient is assumed to be zero; these are displayed as gaps in the table.</w:t>
      </w:r>
      <w:r w:rsidRPr="0078056B">
        <w:rPr>
          <w:rFonts w:asciiTheme="minorHAnsi" w:hAnsiTheme="minorHAnsi"/>
        </w:rPr>
        <w:t xml:space="preserve"> </w:t>
      </w:r>
    </w:p>
    <w:p w14:paraId="1D4E47EB" w14:textId="77777777" w:rsidR="003428FF" w:rsidRPr="0078056B" w:rsidRDefault="003428FF" w:rsidP="003428FF">
      <w:pPr>
        <w:pStyle w:val="LENoteText"/>
        <w:rPr>
          <w:rFonts w:asciiTheme="minorHAnsi" w:hAnsiTheme="minorHAnsi"/>
        </w:rPr>
      </w:pPr>
      <w:r w:rsidRPr="0078056B">
        <w:rPr>
          <w:rFonts w:asciiTheme="minorHAnsi" w:hAnsiTheme="minorHAnsi"/>
          <w:color w:val="000000"/>
          <w:sz w:val="18"/>
          <w:szCs w:val="18"/>
          <w:vertAlign w:val="superscript"/>
        </w:rPr>
        <w:t>1</w:t>
      </w:r>
      <w:r w:rsidRPr="0078056B">
        <w:rPr>
          <w:rFonts w:asciiTheme="minorHAnsi" w:hAnsiTheme="minorHAnsi"/>
        </w:rPr>
        <w:t xml:space="preserve"> Returns to holding </w:t>
      </w:r>
      <w:r w:rsidRPr="0078056B">
        <w:t>RQF Level 3 qualification</w:t>
      </w:r>
      <w:r w:rsidRPr="0078056B">
        <w:rPr>
          <w:rFonts w:asciiTheme="minorHAnsi" w:hAnsiTheme="minorHAnsi"/>
        </w:rPr>
        <w:t xml:space="preserve">s are estimated relative to </w:t>
      </w:r>
      <w:r w:rsidRPr="0078056B">
        <w:t xml:space="preserve">5 or more GCSEs at A*-C (or equivalent) </w:t>
      </w:r>
      <w:r w:rsidRPr="0078056B">
        <w:rPr>
          <w:rFonts w:asciiTheme="minorHAnsi" w:hAnsiTheme="minorHAnsi"/>
        </w:rPr>
        <w:t xml:space="preserve">(weighted to reflect the proportion of first degree entrants in the 2021-22 University of Birmingham cohort holding GCE ‘A’ levels or other </w:t>
      </w:r>
      <w:r w:rsidRPr="0078056B">
        <w:t xml:space="preserve">RQF Level 3 qualifications </w:t>
      </w:r>
      <w:r w:rsidRPr="0078056B">
        <w:rPr>
          <w:rFonts w:asciiTheme="minorHAnsi" w:hAnsiTheme="minorHAnsi"/>
        </w:rPr>
        <w:t xml:space="preserve">as their highest prior qualification on entry). </w:t>
      </w:r>
    </w:p>
    <w:p w14:paraId="5F29D53D" w14:textId="77777777" w:rsidR="003428FF" w:rsidRPr="0078056B" w:rsidRDefault="003428FF" w:rsidP="003428FF">
      <w:pPr>
        <w:pStyle w:val="LENoteText"/>
        <w:rPr>
          <w:rFonts w:asciiTheme="minorHAnsi" w:hAnsiTheme="minorHAnsi"/>
        </w:rPr>
      </w:pPr>
      <w:r w:rsidRPr="0078056B">
        <w:rPr>
          <w:rFonts w:asciiTheme="minorHAnsi" w:hAnsiTheme="minorHAnsi"/>
          <w:color w:val="000000"/>
          <w:sz w:val="18"/>
          <w:szCs w:val="18"/>
          <w:vertAlign w:val="superscript"/>
        </w:rPr>
        <w:t xml:space="preserve">2 </w:t>
      </w:r>
      <w:r w:rsidRPr="0078056B">
        <w:rPr>
          <w:rFonts w:asciiTheme="minorHAnsi" w:hAnsiTheme="minorHAnsi"/>
        </w:rPr>
        <w:t>Returns to other undergraduate qualifications and first degrees are estimated relative to individuals holding a</w:t>
      </w:r>
      <w:r w:rsidRPr="0078056B">
        <w:t xml:space="preserve"> Level 3 (academic or vocational) qualification </w:t>
      </w:r>
      <w:r w:rsidRPr="0078056B">
        <w:rPr>
          <w:rFonts w:asciiTheme="minorHAnsi" w:hAnsiTheme="minorHAnsi"/>
        </w:rPr>
        <w:t xml:space="preserve">as their highest qualification. Returns to first degrees are estimated relative to individuals holding </w:t>
      </w:r>
      <w:r w:rsidRPr="0078056B">
        <w:t xml:space="preserve">RQF Level 3 qualifications </w:t>
      </w:r>
      <w:r w:rsidRPr="0078056B">
        <w:rPr>
          <w:rFonts w:asciiTheme="minorHAnsi" w:hAnsiTheme="minorHAnsi"/>
        </w:rPr>
        <w:t xml:space="preserve">as their highest qualification (weighted by the proportion of first degree entrants in the 2021-22 University of Birmingham cohort holding GCE ‘A’ levels or other </w:t>
      </w:r>
      <w:r w:rsidRPr="0078056B">
        <w:t xml:space="preserve">RQF Level 3 qualifications </w:t>
      </w:r>
      <w:r w:rsidRPr="0078056B">
        <w:rPr>
          <w:rFonts w:asciiTheme="minorHAnsi" w:hAnsiTheme="minorHAnsi"/>
        </w:rPr>
        <w:t xml:space="preserve">as their highest prior attainment). </w:t>
      </w:r>
    </w:p>
    <w:p w14:paraId="62E68151" w14:textId="77777777" w:rsidR="003428FF" w:rsidRPr="0078056B" w:rsidRDefault="003428FF" w:rsidP="003428FF">
      <w:pPr>
        <w:pStyle w:val="LENoteText"/>
        <w:rPr>
          <w:rFonts w:asciiTheme="minorHAnsi" w:hAnsiTheme="minorHAnsi"/>
        </w:rPr>
      </w:pPr>
      <w:r w:rsidRPr="0078056B">
        <w:rPr>
          <w:rFonts w:asciiTheme="minorHAnsi" w:hAnsiTheme="minorHAnsi"/>
          <w:color w:val="000000"/>
          <w:sz w:val="18"/>
          <w:szCs w:val="18"/>
          <w:vertAlign w:val="superscript"/>
        </w:rPr>
        <w:t xml:space="preserve">3 </w:t>
      </w:r>
      <w:r w:rsidRPr="0078056B">
        <w:rPr>
          <w:rFonts w:asciiTheme="minorHAnsi" w:hAnsiTheme="minorHAnsi"/>
        </w:rPr>
        <w:t xml:space="preserve">Returns to higher degree (taught), higher degree (research), and ‘other’ postgraduate qualifications are estimated relative to first degrees. </w:t>
      </w:r>
    </w:p>
    <w:p w14:paraId="1C08A984" w14:textId="19434035" w:rsidR="003428FF" w:rsidRPr="0078056B" w:rsidRDefault="003428FF" w:rsidP="003428FF">
      <w:pPr>
        <w:pStyle w:val="TableSource"/>
        <w:rPr>
          <w:rFonts w:asciiTheme="minorHAnsi" w:hAnsiTheme="minorHAnsi"/>
        </w:rPr>
      </w:pPr>
      <w:r w:rsidRPr="0078056B">
        <w:rPr>
          <w:rFonts w:asciiTheme="minorHAnsi" w:hAnsiTheme="minorHAnsi"/>
        </w:rPr>
        <w:t>Source: London Economics' analysis of pooled Quarterly Labour Force Survey data for 2010 Q1 – 2022 Q4</w:t>
      </w:r>
    </w:p>
    <w:p w14:paraId="5B189849" w14:textId="77777777" w:rsidR="003A6119" w:rsidRPr="0078056B" w:rsidRDefault="003A6119" w:rsidP="003A6119">
      <w:pPr>
        <w:pStyle w:val="AnnexHeading3"/>
      </w:pPr>
      <w:bookmarkStart w:id="491" w:name="_Ref143860198"/>
      <w:r w:rsidRPr="0078056B">
        <w:t>‘Age-decay’ function</w:t>
      </w:r>
      <w:bookmarkEnd w:id="491"/>
    </w:p>
    <w:p w14:paraId="59971072" w14:textId="77777777" w:rsidR="003A6119" w:rsidRPr="0078056B" w:rsidRDefault="003A6119" w:rsidP="003A6119">
      <w:r w:rsidRPr="0078056B">
        <w:t xml:space="preserve">Many existing economic analyses considering the lifetime benefits associated with higher education qualifications to date (e.g. Walker and Zhu, 2013) have focused on the returns associated with the ‘traditional path’ of higher education qualification attainment – i.e. progression directly from secondary level education and completion of a three or four year undergraduate degree from the age of 18 onwards (completing by the age of 21 or 22). These analyses assume that there are </w:t>
      </w:r>
      <w:r w:rsidRPr="0078056B">
        <w:rPr>
          <w:b/>
          <w:color w:val="06357A" w:themeColor="accent1"/>
        </w:rPr>
        <w:t>direct costs</w:t>
      </w:r>
      <w:r w:rsidRPr="0078056B">
        <w:t xml:space="preserve"> (tuition fees etc.), as well as an </w:t>
      </w:r>
      <w:r w:rsidRPr="0078056B">
        <w:rPr>
          <w:b/>
          <w:color w:val="06357A" w:themeColor="accent1"/>
        </w:rPr>
        <w:t>opportunity cost</w:t>
      </w:r>
      <w:r w:rsidRPr="0078056B">
        <w:t xml:space="preserve"> (the foregone earnings while undertaking the qualification full-time) associated with qualification attainment. More importantly, these analyses make the implicit assumption that any and all of the estimated earnings and/or employment benefit achieved accrues to the individual.</w:t>
      </w:r>
    </w:p>
    <w:p w14:paraId="135EBCC9" w14:textId="0D799825" w:rsidR="003A6119" w:rsidRPr="0078056B" w:rsidRDefault="003A6119" w:rsidP="003A6119">
      <w:pPr>
        <w:rPr>
          <w:rFonts w:asciiTheme="minorHAnsi" w:hAnsiTheme="minorHAnsi"/>
        </w:rPr>
      </w:pPr>
      <w:r w:rsidRPr="0078056B">
        <w:rPr>
          <w:rFonts w:asciiTheme="minorHAnsi" w:hAnsiTheme="minorHAnsi"/>
        </w:rPr>
        <w:lastRenderedPageBreak/>
        <w:t xml:space="preserve">However, </w:t>
      </w:r>
      <w:r w:rsidRPr="0078056B">
        <w:rPr>
          <w:b/>
          <w:color w:val="06357A" w:themeColor="accent1"/>
        </w:rPr>
        <w:t>the labour market outcomes associated with the attainment of higher education qualifications on a part-time basis are fundamentally different than those achieved by full-time students</w:t>
      </w:r>
      <w:r w:rsidRPr="0078056B">
        <w:rPr>
          <w:rFonts w:asciiTheme="minorHAnsi" w:hAnsiTheme="minorHAnsi"/>
        </w:rPr>
        <w:t xml:space="preserve">. In particular, part-time students typically undertake higher education qualifications several years later than the ‘standard’ full-time undergraduate (e.g. the estimated average age at enrolment among students in the 2021-22 cohort completing postgraduate taught degrees with the University of Birmingham on a part-time basis is </w:t>
      </w:r>
      <w:r w:rsidRPr="0078056B">
        <w:rPr>
          <w:b/>
          <w:color w:val="06357A" w:themeColor="accent1"/>
        </w:rPr>
        <w:t>36</w:t>
      </w:r>
      <w:r w:rsidRPr="0078056B">
        <w:rPr>
          <w:rFonts w:asciiTheme="minorHAnsi" w:hAnsiTheme="minorHAnsi"/>
        </w:rPr>
        <w:t xml:space="preserve">, compared to </w:t>
      </w:r>
      <w:r w:rsidRPr="0078056B">
        <w:rPr>
          <w:b/>
          <w:color w:val="06357A" w:themeColor="accent1"/>
        </w:rPr>
        <w:t>23</w:t>
      </w:r>
      <w:r w:rsidRPr="0078056B">
        <w:rPr>
          <w:rFonts w:asciiTheme="minorHAnsi" w:hAnsiTheme="minorHAnsi"/>
          <w:color w:val="0B5ED7" w:themeColor="accent2"/>
        </w:rPr>
        <w:t xml:space="preserve"> </w:t>
      </w:r>
      <w:r w:rsidRPr="0078056B">
        <w:rPr>
          <w:rFonts w:asciiTheme="minorHAnsi" w:hAnsiTheme="minorHAnsi"/>
        </w:rPr>
        <w:t xml:space="preserve">for corresponding full-time students); generally undertake their studies over an extended period of time; and often combine their studies with full-time employment. </w:t>
      </w:r>
      <w:r w:rsidR="00E64C67" w:rsidRPr="0078056B">
        <w:rPr>
          <w:rFonts w:asciiTheme="minorHAnsi" w:hAnsiTheme="minorHAnsi"/>
        </w:rPr>
        <w:fldChar w:fldCharType="begin"/>
      </w:r>
      <w:r w:rsidR="00E64C67" w:rsidRPr="0078056B">
        <w:rPr>
          <w:rFonts w:asciiTheme="minorHAnsi" w:hAnsiTheme="minorHAnsi"/>
        </w:rPr>
        <w:instrText xml:space="preserve"> REF _Ref162277358 \r \h </w:instrText>
      </w:r>
      <w:r w:rsidR="0078056B">
        <w:rPr>
          <w:rFonts w:asciiTheme="minorHAnsi" w:hAnsiTheme="minorHAnsi"/>
        </w:rPr>
        <w:instrText xml:space="preserve"> \* MERGEFORMAT </w:instrText>
      </w:r>
      <w:r w:rsidR="00E64C67" w:rsidRPr="0078056B">
        <w:rPr>
          <w:rFonts w:asciiTheme="minorHAnsi" w:hAnsiTheme="minorHAnsi"/>
        </w:rPr>
      </w:r>
      <w:r w:rsidR="00E64C67" w:rsidRPr="0078056B">
        <w:rPr>
          <w:rFonts w:asciiTheme="minorHAnsi" w:hAnsiTheme="minorHAnsi"/>
        </w:rPr>
        <w:fldChar w:fldCharType="separate"/>
      </w:r>
      <w:r w:rsidR="00E33157">
        <w:rPr>
          <w:rFonts w:asciiTheme="minorHAnsi" w:hAnsiTheme="minorHAnsi"/>
        </w:rPr>
        <w:t>Table 19</w:t>
      </w:r>
      <w:r w:rsidR="00E64C67" w:rsidRPr="0078056B">
        <w:rPr>
          <w:rFonts w:asciiTheme="minorHAnsi" w:hAnsiTheme="minorHAnsi"/>
        </w:rPr>
        <w:fldChar w:fldCharType="end"/>
      </w:r>
      <w:r w:rsidRPr="0078056B">
        <w:rPr>
          <w:rFonts w:asciiTheme="minorHAnsi" w:hAnsiTheme="minorHAnsi"/>
        </w:rPr>
        <w:t xml:space="preserve"> presents the assumed average age at enrolment, study duration, and age at completion for students in the 2021-22 University of Birmingham cohort</w:t>
      </w:r>
      <w:r w:rsidRPr="0078056B">
        <w:rPr>
          <w:rStyle w:val="FootnoteReference"/>
          <w:rFonts w:asciiTheme="minorHAnsi" w:hAnsiTheme="minorHAnsi"/>
        </w:rPr>
        <w:footnoteReference w:id="124"/>
      </w:r>
      <w:r w:rsidRPr="0078056B">
        <w:rPr>
          <w:rFonts w:asciiTheme="minorHAnsi" w:hAnsiTheme="minorHAnsi"/>
        </w:rPr>
        <w:t>.</w:t>
      </w:r>
    </w:p>
    <w:p w14:paraId="347D168E" w14:textId="332B017C" w:rsidR="003A6119" w:rsidRPr="0078056B" w:rsidRDefault="00CD54E1" w:rsidP="00CD54E1">
      <w:pPr>
        <w:pStyle w:val="TableTitle"/>
      </w:pPr>
      <w:bookmarkStart w:id="492" w:name="_Ref162277358"/>
      <w:bookmarkStart w:id="493" w:name="_Toc168652174"/>
      <w:r w:rsidRPr="0078056B">
        <w:t>Average age at enrolment, study duration, and age at completion for students in the 2021-22 University of Birmingham cohort</w:t>
      </w:r>
      <w:bookmarkEnd w:id="492"/>
      <w:bookmarkEnd w:id="493"/>
    </w:p>
    <w:tbl>
      <w:tblPr>
        <w:tblW w:w="5000" w:type="pct"/>
        <w:tblBorders>
          <w:top w:val="single" w:sz="4" w:space="0" w:color="BFBFBF"/>
          <w:bottom w:val="single" w:sz="4" w:space="0" w:color="BFBFBF"/>
          <w:insideH w:val="single" w:sz="4" w:space="0" w:color="BFBFBF"/>
          <w:insideV w:val="single" w:sz="4" w:space="0" w:color="BFBFBF"/>
        </w:tblBorders>
        <w:tblCellMar>
          <w:left w:w="0" w:type="dxa"/>
          <w:right w:w="0" w:type="dxa"/>
        </w:tblCellMar>
        <w:tblLook w:val="0000" w:firstRow="0" w:lastRow="0" w:firstColumn="0" w:lastColumn="0" w:noHBand="0" w:noVBand="0"/>
      </w:tblPr>
      <w:tblGrid>
        <w:gridCol w:w="2254"/>
        <w:gridCol w:w="1099"/>
        <w:gridCol w:w="1099"/>
        <w:gridCol w:w="1098"/>
        <w:gridCol w:w="1098"/>
        <w:gridCol w:w="1098"/>
        <w:gridCol w:w="1098"/>
      </w:tblGrid>
      <w:tr w:rsidR="003A6119" w:rsidRPr="0078056B" w14:paraId="0A86206C" w14:textId="77777777" w:rsidTr="000A186C">
        <w:trPr>
          <w:trHeight w:val="227"/>
        </w:trPr>
        <w:tc>
          <w:tcPr>
            <w:tcW w:w="1274" w:type="pct"/>
            <w:vMerge w:val="restart"/>
            <w:tcBorders>
              <w:top w:val="single" w:sz="4" w:space="0" w:color="06357A"/>
            </w:tcBorders>
            <w:shd w:val="clear" w:color="auto" w:fill="auto"/>
            <w:vAlign w:val="center"/>
          </w:tcPr>
          <w:p w14:paraId="3DD70D84" w14:textId="77777777" w:rsidR="003A6119" w:rsidRPr="0078056B" w:rsidRDefault="003A6119" w:rsidP="000A186C">
            <w:pPr>
              <w:keepNext/>
              <w:spacing w:before="0" w:after="0"/>
              <w:ind w:left="57" w:right="57"/>
              <w:jc w:val="left"/>
              <w:rPr>
                <w:b/>
                <w:color w:val="06357A"/>
                <w:sz w:val="20"/>
                <w:szCs w:val="20"/>
              </w:rPr>
            </w:pPr>
            <w:r w:rsidRPr="0078056B">
              <w:rPr>
                <w:b/>
                <w:color w:val="06357A"/>
                <w:sz w:val="20"/>
                <w:szCs w:val="20"/>
              </w:rPr>
              <w:t>Qualification level</w:t>
            </w:r>
          </w:p>
        </w:tc>
        <w:tc>
          <w:tcPr>
            <w:tcW w:w="1863" w:type="pct"/>
            <w:gridSpan w:val="3"/>
            <w:tcBorders>
              <w:top w:val="single" w:sz="4" w:space="0" w:color="06357A"/>
              <w:bottom w:val="single" w:sz="4" w:space="0" w:color="06357A"/>
            </w:tcBorders>
            <w:shd w:val="clear" w:color="auto" w:fill="auto"/>
            <w:vAlign w:val="center"/>
          </w:tcPr>
          <w:p w14:paraId="7E2E692D" w14:textId="77777777" w:rsidR="003A6119" w:rsidRPr="0078056B" w:rsidRDefault="003A6119" w:rsidP="000A186C">
            <w:pPr>
              <w:keepNext/>
              <w:spacing w:before="0" w:after="0"/>
              <w:ind w:left="57" w:right="57"/>
              <w:jc w:val="center"/>
              <w:rPr>
                <w:b/>
                <w:color w:val="06357A"/>
                <w:sz w:val="20"/>
                <w:szCs w:val="20"/>
              </w:rPr>
            </w:pPr>
            <w:r w:rsidRPr="0078056B">
              <w:rPr>
                <w:b/>
                <w:color w:val="06357A"/>
                <w:sz w:val="20"/>
                <w:szCs w:val="20"/>
              </w:rPr>
              <w:t>Full-time students</w:t>
            </w:r>
          </w:p>
        </w:tc>
        <w:tc>
          <w:tcPr>
            <w:tcW w:w="1862" w:type="pct"/>
            <w:gridSpan w:val="3"/>
            <w:tcBorders>
              <w:top w:val="single" w:sz="4" w:space="0" w:color="06357A"/>
              <w:bottom w:val="single" w:sz="4" w:space="0" w:color="06357A"/>
            </w:tcBorders>
            <w:shd w:val="clear" w:color="auto" w:fill="auto"/>
            <w:vAlign w:val="center"/>
          </w:tcPr>
          <w:p w14:paraId="5585D696" w14:textId="77777777" w:rsidR="003A6119" w:rsidRPr="0078056B" w:rsidRDefault="003A6119" w:rsidP="000A186C">
            <w:pPr>
              <w:keepNext/>
              <w:spacing w:before="0" w:after="0"/>
              <w:ind w:left="57" w:right="57"/>
              <w:jc w:val="center"/>
              <w:rPr>
                <w:b/>
                <w:color w:val="06357A"/>
                <w:sz w:val="20"/>
                <w:szCs w:val="20"/>
              </w:rPr>
            </w:pPr>
            <w:r w:rsidRPr="0078056B">
              <w:rPr>
                <w:b/>
                <w:color w:val="06357A"/>
                <w:sz w:val="20"/>
                <w:szCs w:val="20"/>
              </w:rPr>
              <w:t>Part-time students</w:t>
            </w:r>
          </w:p>
        </w:tc>
      </w:tr>
      <w:tr w:rsidR="003A6119" w:rsidRPr="0078056B" w14:paraId="172699A8" w14:textId="77777777" w:rsidTr="000A186C">
        <w:trPr>
          <w:trHeight w:val="227"/>
        </w:trPr>
        <w:tc>
          <w:tcPr>
            <w:tcW w:w="1274" w:type="pct"/>
            <w:vMerge/>
            <w:tcBorders>
              <w:bottom w:val="single" w:sz="4" w:space="0" w:color="06357A"/>
            </w:tcBorders>
            <w:shd w:val="clear" w:color="auto" w:fill="auto"/>
            <w:vAlign w:val="center"/>
          </w:tcPr>
          <w:p w14:paraId="5696803D" w14:textId="77777777" w:rsidR="003A6119" w:rsidRPr="0078056B" w:rsidRDefault="003A6119" w:rsidP="000A186C">
            <w:pPr>
              <w:keepNext/>
              <w:spacing w:before="0" w:after="0"/>
              <w:ind w:left="57" w:right="57"/>
              <w:jc w:val="left"/>
              <w:rPr>
                <w:b/>
                <w:color w:val="06357A"/>
                <w:sz w:val="18"/>
                <w:szCs w:val="18"/>
              </w:rPr>
            </w:pPr>
          </w:p>
        </w:tc>
        <w:tc>
          <w:tcPr>
            <w:tcW w:w="621" w:type="pct"/>
            <w:tcBorders>
              <w:top w:val="single" w:sz="4" w:space="0" w:color="06357A"/>
              <w:bottom w:val="single" w:sz="4" w:space="0" w:color="06357A"/>
            </w:tcBorders>
            <w:shd w:val="clear" w:color="auto" w:fill="auto"/>
            <w:vAlign w:val="center"/>
          </w:tcPr>
          <w:p w14:paraId="66C2760E" w14:textId="77777777" w:rsidR="003A6119" w:rsidRPr="0078056B" w:rsidRDefault="003A6119" w:rsidP="000A186C">
            <w:pPr>
              <w:keepNext/>
              <w:spacing w:before="0" w:after="0"/>
              <w:ind w:left="57" w:right="57"/>
              <w:jc w:val="center"/>
              <w:rPr>
                <w:b/>
                <w:color w:val="06357A"/>
                <w:sz w:val="20"/>
                <w:szCs w:val="20"/>
              </w:rPr>
            </w:pPr>
            <w:r w:rsidRPr="0078056B">
              <w:rPr>
                <w:b/>
                <w:color w:val="06357A"/>
                <w:sz w:val="20"/>
                <w:szCs w:val="20"/>
              </w:rPr>
              <w:t>Age at enrolment</w:t>
            </w:r>
          </w:p>
        </w:tc>
        <w:tc>
          <w:tcPr>
            <w:tcW w:w="621" w:type="pct"/>
            <w:tcBorders>
              <w:top w:val="single" w:sz="4" w:space="0" w:color="06357A"/>
              <w:bottom w:val="single" w:sz="4" w:space="0" w:color="06357A"/>
            </w:tcBorders>
            <w:shd w:val="clear" w:color="auto" w:fill="auto"/>
            <w:vAlign w:val="center"/>
          </w:tcPr>
          <w:p w14:paraId="4D37E561" w14:textId="77777777" w:rsidR="003A6119" w:rsidRPr="0078056B" w:rsidRDefault="003A6119" w:rsidP="000A186C">
            <w:pPr>
              <w:keepNext/>
              <w:spacing w:before="0" w:after="0"/>
              <w:ind w:left="57" w:right="57"/>
              <w:jc w:val="center"/>
              <w:rPr>
                <w:b/>
                <w:color w:val="06357A"/>
                <w:sz w:val="20"/>
                <w:szCs w:val="20"/>
              </w:rPr>
            </w:pPr>
            <w:r w:rsidRPr="0078056B">
              <w:rPr>
                <w:b/>
                <w:color w:val="06357A"/>
                <w:sz w:val="20"/>
                <w:szCs w:val="20"/>
              </w:rPr>
              <w:t>Duration (years)</w:t>
            </w:r>
          </w:p>
        </w:tc>
        <w:tc>
          <w:tcPr>
            <w:tcW w:w="621" w:type="pct"/>
            <w:tcBorders>
              <w:top w:val="single" w:sz="4" w:space="0" w:color="06357A"/>
              <w:bottom w:val="single" w:sz="4" w:space="0" w:color="06357A"/>
            </w:tcBorders>
            <w:shd w:val="clear" w:color="auto" w:fill="auto"/>
            <w:vAlign w:val="center"/>
          </w:tcPr>
          <w:p w14:paraId="7467A276" w14:textId="77777777" w:rsidR="003A6119" w:rsidRPr="0078056B" w:rsidRDefault="003A6119" w:rsidP="000A186C">
            <w:pPr>
              <w:keepNext/>
              <w:spacing w:before="0" w:after="0"/>
              <w:ind w:left="57" w:right="57"/>
              <w:jc w:val="center"/>
              <w:rPr>
                <w:b/>
                <w:color w:val="06357A"/>
                <w:sz w:val="20"/>
                <w:szCs w:val="20"/>
              </w:rPr>
            </w:pPr>
            <w:r w:rsidRPr="0078056B">
              <w:rPr>
                <w:b/>
                <w:color w:val="06357A"/>
                <w:sz w:val="20"/>
                <w:szCs w:val="20"/>
              </w:rPr>
              <w:t>Age at completion</w:t>
            </w:r>
          </w:p>
        </w:tc>
        <w:tc>
          <w:tcPr>
            <w:tcW w:w="621" w:type="pct"/>
            <w:tcBorders>
              <w:top w:val="single" w:sz="4" w:space="0" w:color="06357A"/>
              <w:bottom w:val="single" w:sz="4" w:space="0" w:color="06357A"/>
            </w:tcBorders>
            <w:shd w:val="clear" w:color="auto" w:fill="auto"/>
            <w:vAlign w:val="center"/>
          </w:tcPr>
          <w:p w14:paraId="46D07C1B" w14:textId="77777777" w:rsidR="003A6119" w:rsidRPr="0078056B" w:rsidRDefault="003A6119" w:rsidP="000A186C">
            <w:pPr>
              <w:keepNext/>
              <w:spacing w:before="0" w:after="0"/>
              <w:ind w:left="57" w:right="57"/>
              <w:jc w:val="center"/>
              <w:rPr>
                <w:b/>
                <w:color w:val="06357A"/>
                <w:sz w:val="20"/>
                <w:szCs w:val="20"/>
              </w:rPr>
            </w:pPr>
            <w:r w:rsidRPr="0078056B">
              <w:rPr>
                <w:b/>
                <w:color w:val="06357A"/>
                <w:sz w:val="20"/>
                <w:szCs w:val="20"/>
              </w:rPr>
              <w:t>Age at enrolment</w:t>
            </w:r>
          </w:p>
        </w:tc>
        <w:tc>
          <w:tcPr>
            <w:tcW w:w="621" w:type="pct"/>
            <w:tcBorders>
              <w:top w:val="single" w:sz="4" w:space="0" w:color="06357A"/>
              <w:bottom w:val="single" w:sz="4" w:space="0" w:color="06357A"/>
            </w:tcBorders>
            <w:shd w:val="clear" w:color="auto" w:fill="auto"/>
            <w:vAlign w:val="center"/>
          </w:tcPr>
          <w:p w14:paraId="4735FFBC" w14:textId="77777777" w:rsidR="003A6119" w:rsidRPr="0078056B" w:rsidRDefault="003A6119" w:rsidP="000A186C">
            <w:pPr>
              <w:keepNext/>
              <w:spacing w:before="0" w:after="0"/>
              <w:ind w:left="57" w:right="57"/>
              <w:jc w:val="center"/>
              <w:rPr>
                <w:b/>
                <w:color w:val="06357A"/>
                <w:sz w:val="20"/>
                <w:szCs w:val="20"/>
              </w:rPr>
            </w:pPr>
            <w:r w:rsidRPr="0078056B">
              <w:rPr>
                <w:b/>
                <w:color w:val="06357A"/>
                <w:sz w:val="20"/>
                <w:szCs w:val="20"/>
              </w:rPr>
              <w:t>Duration (years)</w:t>
            </w:r>
          </w:p>
        </w:tc>
        <w:tc>
          <w:tcPr>
            <w:tcW w:w="621" w:type="pct"/>
            <w:tcBorders>
              <w:top w:val="single" w:sz="4" w:space="0" w:color="06357A"/>
              <w:bottom w:val="single" w:sz="4" w:space="0" w:color="06357A"/>
            </w:tcBorders>
            <w:shd w:val="clear" w:color="auto" w:fill="auto"/>
            <w:vAlign w:val="center"/>
          </w:tcPr>
          <w:p w14:paraId="7DA0A6A9" w14:textId="77777777" w:rsidR="003A6119" w:rsidRPr="0078056B" w:rsidRDefault="003A6119" w:rsidP="000A186C">
            <w:pPr>
              <w:keepNext/>
              <w:spacing w:before="0" w:after="0"/>
              <w:ind w:left="57" w:right="57"/>
              <w:jc w:val="center"/>
              <w:rPr>
                <w:b/>
                <w:color w:val="06357A"/>
                <w:sz w:val="20"/>
                <w:szCs w:val="20"/>
              </w:rPr>
            </w:pPr>
            <w:r w:rsidRPr="0078056B">
              <w:rPr>
                <w:b/>
                <w:color w:val="06357A"/>
                <w:sz w:val="20"/>
                <w:szCs w:val="20"/>
              </w:rPr>
              <w:t>Age at completion</w:t>
            </w:r>
          </w:p>
        </w:tc>
      </w:tr>
      <w:tr w:rsidR="003A6119" w:rsidRPr="0078056B" w14:paraId="0619DB60" w14:textId="77777777" w:rsidTr="000A186C">
        <w:trPr>
          <w:trHeight w:val="227"/>
        </w:trPr>
        <w:tc>
          <w:tcPr>
            <w:tcW w:w="1274" w:type="pct"/>
            <w:shd w:val="clear" w:color="auto" w:fill="auto"/>
            <w:vAlign w:val="center"/>
          </w:tcPr>
          <w:p w14:paraId="3EE18A0A" w14:textId="77777777" w:rsidR="003A6119" w:rsidRPr="0078056B" w:rsidRDefault="003A6119" w:rsidP="000A186C">
            <w:pPr>
              <w:keepNext/>
              <w:spacing w:before="0" w:after="0"/>
              <w:ind w:left="57" w:right="57"/>
              <w:jc w:val="left"/>
              <w:rPr>
                <w:sz w:val="20"/>
                <w:szCs w:val="20"/>
              </w:rPr>
            </w:pPr>
            <w:r w:rsidRPr="0078056B">
              <w:rPr>
                <w:sz w:val="20"/>
                <w:szCs w:val="20"/>
              </w:rPr>
              <w:t>Other undergraduate</w:t>
            </w:r>
          </w:p>
        </w:tc>
        <w:tc>
          <w:tcPr>
            <w:tcW w:w="621" w:type="pct"/>
            <w:shd w:val="clear" w:color="auto" w:fill="auto"/>
          </w:tcPr>
          <w:p w14:paraId="6D796A76" w14:textId="77777777" w:rsidR="003A6119" w:rsidRPr="0078056B" w:rsidRDefault="003A6119" w:rsidP="000A186C">
            <w:pPr>
              <w:keepNext/>
              <w:spacing w:before="0" w:after="0"/>
              <w:ind w:left="57" w:right="57"/>
              <w:jc w:val="center"/>
              <w:rPr>
                <w:sz w:val="18"/>
                <w:szCs w:val="18"/>
              </w:rPr>
            </w:pPr>
            <w:r w:rsidRPr="0078056B">
              <w:rPr>
                <w:sz w:val="18"/>
                <w:szCs w:val="18"/>
              </w:rPr>
              <w:t>18</w:t>
            </w:r>
          </w:p>
        </w:tc>
        <w:tc>
          <w:tcPr>
            <w:tcW w:w="621" w:type="pct"/>
            <w:shd w:val="clear" w:color="auto" w:fill="auto"/>
          </w:tcPr>
          <w:p w14:paraId="65F61FFC" w14:textId="77777777" w:rsidR="003A6119" w:rsidRPr="0078056B" w:rsidRDefault="003A6119" w:rsidP="000A186C">
            <w:pPr>
              <w:keepNext/>
              <w:spacing w:before="0" w:after="0"/>
              <w:ind w:left="57" w:right="57"/>
              <w:jc w:val="center"/>
              <w:rPr>
                <w:sz w:val="18"/>
                <w:szCs w:val="18"/>
              </w:rPr>
            </w:pPr>
            <w:r w:rsidRPr="0078056B">
              <w:rPr>
                <w:sz w:val="18"/>
                <w:szCs w:val="18"/>
              </w:rPr>
              <w:t>1</w:t>
            </w:r>
          </w:p>
        </w:tc>
        <w:tc>
          <w:tcPr>
            <w:tcW w:w="621" w:type="pct"/>
            <w:shd w:val="clear" w:color="auto" w:fill="06357A"/>
            <w:vAlign w:val="center"/>
          </w:tcPr>
          <w:p w14:paraId="2E35EEC6" w14:textId="77777777" w:rsidR="003A6119" w:rsidRPr="0078056B" w:rsidRDefault="003A6119" w:rsidP="000A186C">
            <w:pPr>
              <w:keepNext/>
              <w:spacing w:before="0" w:after="0"/>
              <w:ind w:left="57" w:right="57"/>
              <w:jc w:val="center"/>
              <w:rPr>
                <w:color w:val="FFFFFF" w:themeColor="background1"/>
                <w:sz w:val="18"/>
                <w:szCs w:val="18"/>
              </w:rPr>
            </w:pPr>
            <w:r w:rsidRPr="0078056B">
              <w:rPr>
                <w:sz w:val="18"/>
                <w:szCs w:val="18"/>
              </w:rPr>
              <w:t>19</w:t>
            </w:r>
          </w:p>
        </w:tc>
        <w:tc>
          <w:tcPr>
            <w:tcW w:w="621" w:type="pct"/>
            <w:shd w:val="clear" w:color="auto" w:fill="auto"/>
          </w:tcPr>
          <w:p w14:paraId="6615EECE" w14:textId="77777777" w:rsidR="003A6119" w:rsidRPr="0078056B" w:rsidRDefault="003A6119" w:rsidP="000A186C">
            <w:pPr>
              <w:keepNext/>
              <w:spacing w:before="0" w:after="0"/>
              <w:ind w:left="57" w:right="57"/>
              <w:jc w:val="center"/>
              <w:rPr>
                <w:sz w:val="18"/>
                <w:szCs w:val="18"/>
              </w:rPr>
            </w:pPr>
            <w:r w:rsidRPr="0078056B">
              <w:rPr>
                <w:sz w:val="18"/>
                <w:szCs w:val="18"/>
              </w:rPr>
              <w:t>27</w:t>
            </w:r>
          </w:p>
        </w:tc>
        <w:tc>
          <w:tcPr>
            <w:tcW w:w="621" w:type="pct"/>
            <w:shd w:val="clear" w:color="auto" w:fill="auto"/>
          </w:tcPr>
          <w:p w14:paraId="72773C9C" w14:textId="77777777" w:rsidR="003A6119" w:rsidRPr="0078056B" w:rsidRDefault="003A6119" w:rsidP="000A186C">
            <w:pPr>
              <w:keepNext/>
              <w:spacing w:before="0" w:after="0"/>
              <w:ind w:left="57" w:right="57"/>
              <w:jc w:val="center"/>
              <w:rPr>
                <w:sz w:val="18"/>
                <w:szCs w:val="18"/>
              </w:rPr>
            </w:pPr>
            <w:r w:rsidRPr="0078056B">
              <w:rPr>
                <w:sz w:val="18"/>
                <w:szCs w:val="18"/>
              </w:rPr>
              <w:t>3</w:t>
            </w:r>
          </w:p>
        </w:tc>
        <w:tc>
          <w:tcPr>
            <w:tcW w:w="621" w:type="pct"/>
            <w:shd w:val="clear" w:color="auto" w:fill="0B5ED7" w:themeFill="accent2"/>
            <w:vAlign w:val="center"/>
          </w:tcPr>
          <w:p w14:paraId="635D1C77" w14:textId="77777777" w:rsidR="003A6119" w:rsidRPr="0078056B" w:rsidRDefault="003A6119" w:rsidP="000A186C">
            <w:pPr>
              <w:keepNext/>
              <w:spacing w:before="0" w:after="0"/>
              <w:ind w:left="57" w:right="57"/>
              <w:jc w:val="center"/>
              <w:rPr>
                <w:color w:val="FFFFFF" w:themeColor="background1"/>
                <w:sz w:val="18"/>
                <w:szCs w:val="18"/>
              </w:rPr>
            </w:pPr>
            <w:r w:rsidRPr="0078056B">
              <w:rPr>
                <w:color w:val="FFFFFF" w:themeColor="background1"/>
                <w:sz w:val="18"/>
                <w:szCs w:val="18"/>
              </w:rPr>
              <w:t>30</w:t>
            </w:r>
          </w:p>
        </w:tc>
      </w:tr>
      <w:tr w:rsidR="003A6119" w:rsidRPr="0078056B" w14:paraId="4DDA51EF" w14:textId="77777777" w:rsidTr="000A186C">
        <w:trPr>
          <w:trHeight w:val="227"/>
        </w:trPr>
        <w:tc>
          <w:tcPr>
            <w:tcW w:w="1274" w:type="pct"/>
            <w:shd w:val="clear" w:color="auto" w:fill="auto"/>
            <w:vAlign w:val="center"/>
          </w:tcPr>
          <w:p w14:paraId="290192B2" w14:textId="77777777" w:rsidR="003A6119" w:rsidRPr="0078056B" w:rsidRDefault="003A6119" w:rsidP="000A186C">
            <w:pPr>
              <w:keepNext/>
              <w:spacing w:before="0" w:after="0"/>
              <w:ind w:left="57" w:right="57"/>
              <w:jc w:val="left"/>
              <w:rPr>
                <w:sz w:val="20"/>
                <w:szCs w:val="20"/>
              </w:rPr>
            </w:pPr>
            <w:r w:rsidRPr="0078056B">
              <w:rPr>
                <w:sz w:val="20"/>
                <w:szCs w:val="20"/>
              </w:rPr>
              <w:t>First degree</w:t>
            </w:r>
          </w:p>
        </w:tc>
        <w:tc>
          <w:tcPr>
            <w:tcW w:w="621" w:type="pct"/>
            <w:shd w:val="clear" w:color="auto" w:fill="auto"/>
          </w:tcPr>
          <w:p w14:paraId="3C657F92" w14:textId="77777777" w:rsidR="003A6119" w:rsidRPr="0078056B" w:rsidRDefault="003A6119" w:rsidP="000A186C">
            <w:pPr>
              <w:keepNext/>
              <w:spacing w:before="0" w:after="0"/>
              <w:ind w:left="57" w:right="57"/>
              <w:jc w:val="center"/>
              <w:rPr>
                <w:sz w:val="18"/>
                <w:szCs w:val="18"/>
              </w:rPr>
            </w:pPr>
            <w:r w:rsidRPr="0078056B">
              <w:rPr>
                <w:sz w:val="18"/>
                <w:szCs w:val="18"/>
              </w:rPr>
              <w:t>18</w:t>
            </w:r>
          </w:p>
        </w:tc>
        <w:tc>
          <w:tcPr>
            <w:tcW w:w="621" w:type="pct"/>
            <w:shd w:val="clear" w:color="auto" w:fill="auto"/>
          </w:tcPr>
          <w:p w14:paraId="1CDBD3C4" w14:textId="77777777" w:rsidR="003A6119" w:rsidRPr="0078056B" w:rsidRDefault="003A6119" w:rsidP="000A186C">
            <w:pPr>
              <w:keepNext/>
              <w:spacing w:before="0" w:after="0"/>
              <w:ind w:left="57" w:right="57"/>
              <w:jc w:val="center"/>
              <w:rPr>
                <w:sz w:val="18"/>
                <w:szCs w:val="18"/>
              </w:rPr>
            </w:pPr>
            <w:r w:rsidRPr="0078056B">
              <w:rPr>
                <w:sz w:val="18"/>
                <w:szCs w:val="18"/>
              </w:rPr>
              <w:t>3</w:t>
            </w:r>
          </w:p>
        </w:tc>
        <w:tc>
          <w:tcPr>
            <w:tcW w:w="621" w:type="pct"/>
            <w:shd w:val="clear" w:color="auto" w:fill="06357A"/>
            <w:vAlign w:val="center"/>
          </w:tcPr>
          <w:p w14:paraId="3857C3DF" w14:textId="77777777" w:rsidR="003A6119" w:rsidRPr="0078056B" w:rsidRDefault="003A6119" w:rsidP="000A186C">
            <w:pPr>
              <w:keepNext/>
              <w:spacing w:before="0" w:after="0"/>
              <w:ind w:left="57" w:right="57"/>
              <w:jc w:val="center"/>
              <w:rPr>
                <w:color w:val="FFFFFF" w:themeColor="background1"/>
                <w:sz w:val="18"/>
                <w:szCs w:val="18"/>
              </w:rPr>
            </w:pPr>
            <w:r w:rsidRPr="0078056B">
              <w:rPr>
                <w:sz w:val="18"/>
                <w:szCs w:val="18"/>
              </w:rPr>
              <w:t>21</w:t>
            </w:r>
          </w:p>
        </w:tc>
        <w:tc>
          <w:tcPr>
            <w:tcW w:w="621" w:type="pct"/>
            <w:shd w:val="clear" w:color="auto" w:fill="auto"/>
          </w:tcPr>
          <w:p w14:paraId="1A02084C" w14:textId="77777777" w:rsidR="003A6119" w:rsidRPr="0078056B" w:rsidRDefault="003A6119" w:rsidP="000A186C">
            <w:pPr>
              <w:keepNext/>
              <w:spacing w:before="0" w:after="0"/>
              <w:ind w:left="57" w:right="57"/>
              <w:jc w:val="center"/>
              <w:rPr>
                <w:sz w:val="18"/>
                <w:szCs w:val="18"/>
              </w:rPr>
            </w:pPr>
          </w:p>
        </w:tc>
        <w:tc>
          <w:tcPr>
            <w:tcW w:w="621" w:type="pct"/>
            <w:shd w:val="clear" w:color="auto" w:fill="auto"/>
          </w:tcPr>
          <w:p w14:paraId="5B050D9F" w14:textId="77777777" w:rsidR="003A6119" w:rsidRPr="0078056B" w:rsidRDefault="003A6119" w:rsidP="000A186C">
            <w:pPr>
              <w:keepNext/>
              <w:spacing w:before="0" w:after="0"/>
              <w:ind w:left="57" w:right="57"/>
              <w:jc w:val="center"/>
              <w:rPr>
                <w:sz w:val="18"/>
                <w:szCs w:val="18"/>
              </w:rPr>
            </w:pPr>
          </w:p>
        </w:tc>
        <w:tc>
          <w:tcPr>
            <w:tcW w:w="621" w:type="pct"/>
            <w:shd w:val="clear" w:color="auto" w:fill="0B5ED7"/>
            <w:vAlign w:val="center"/>
          </w:tcPr>
          <w:p w14:paraId="6BE86793" w14:textId="77777777" w:rsidR="003A6119" w:rsidRPr="0078056B" w:rsidRDefault="003A6119" w:rsidP="000A186C">
            <w:pPr>
              <w:keepNext/>
              <w:spacing w:before="0" w:after="0"/>
              <w:ind w:left="57" w:right="57"/>
              <w:jc w:val="center"/>
              <w:rPr>
                <w:color w:val="FFFFFF" w:themeColor="background1"/>
                <w:sz w:val="18"/>
                <w:szCs w:val="18"/>
              </w:rPr>
            </w:pPr>
          </w:p>
        </w:tc>
      </w:tr>
      <w:tr w:rsidR="003A6119" w:rsidRPr="0078056B" w14:paraId="257BC458" w14:textId="77777777" w:rsidTr="000A186C">
        <w:trPr>
          <w:trHeight w:val="227"/>
        </w:trPr>
        <w:tc>
          <w:tcPr>
            <w:tcW w:w="1274" w:type="pct"/>
            <w:shd w:val="clear" w:color="auto" w:fill="auto"/>
            <w:vAlign w:val="center"/>
          </w:tcPr>
          <w:p w14:paraId="4B862E71" w14:textId="77777777" w:rsidR="003A6119" w:rsidRPr="0078056B" w:rsidRDefault="003A6119" w:rsidP="000A186C">
            <w:pPr>
              <w:keepNext/>
              <w:spacing w:before="0" w:after="0"/>
              <w:ind w:left="57" w:right="57"/>
              <w:jc w:val="left"/>
              <w:rPr>
                <w:sz w:val="20"/>
                <w:szCs w:val="20"/>
              </w:rPr>
            </w:pPr>
            <w:r w:rsidRPr="0078056B">
              <w:rPr>
                <w:sz w:val="20"/>
                <w:szCs w:val="20"/>
              </w:rPr>
              <w:t>Other postgraduate</w:t>
            </w:r>
          </w:p>
        </w:tc>
        <w:tc>
          <w:tcPr>
            <w:tcW w:w="621" w:type="pct"/>
            <w:shd w:val="clear" w:color="auto" w:fill="auto"/>
          </w:tcPr>
          <w:p w14:paraId="75B07F1D" w14:textId="77777777" w:rsidR="003A6119" w:rsidRPr="0078056B" w:rsidRDefault="003A6119" w:rsidP="000A186C">
            <w:pPr>
              <w:keepNext/>
              <w:spacing w:before="0" w:after="0"/>
              <w:ind w:left="57" w:right="57"/>
              <w:jc w:val="center"/>
              <w:rPr>
                <w:sz w:val="18"/>
                <w:szCs w:val="18"/>
              </w:rPr>
            </w:pPr>
            <w:r w:rsidRPr="0078056B">
              <w:rPr>
                <w:sz w:val="18"/>
                <w:szCs w:val="18"/>
              </w:rPr>
              <w:t>27</w:t>
            </w:r>
          </w:p>
        </w:tc>
        <w:tc>
          <w:tcPr>
            <w:tcW w:w="621" w:type="pct"/>
            <w:shd w:val="clear" w:color="auto" w:fill="auto"/>
          </w:tcPr>
          <w:p w14:paraId="0F09621E" w14:textId="77777777" w:rsidR="003A6119" w:rsidRPr="0078056B" w:rsidRDefault="003A6119" w:rsidP="000A186C">
            <w:pPr>
              <w:keepNext/>
              <w:spacing w:before="0" w:after="0"/>
              <w:ind w:left="57" w:right="57"/>
              <w:jc w:val="center"/>
              <w:rPr>
                <w:sz w:val="18"/>
                <w:szCs w:val="18"/>
              </w:rPr>
            </w:pPr>
            <w:r w:rsidRPr="0078056B">
              <w:rPr>
                <w:sz w:val="18"/>
                <w:szCs w:val="18"/>
              </w:rPr>
              <w:t>1</w:t>
            </w:r>
          </w:p>
        </w:tc>
        <w:tc>
          <w:tcPr>
            <w:tcW w:w="621" w:type="pct"/>
            <w:shd w:val="clear" w:color="auto" w:fill="06357A"/>
            <w:vAlign w:val="center"/>
          </w:tcPr>
          <w:p w14:paraId="7605BFA2" w14:textId="77777777" w:rsidR="003A6119" w:rsidRPr="0078056B" w:rsidRDefault="003A6119" w:rsidP="000A186C">
            <w:pPr>
              <w:keepNext/>
              <w:spacing w:before="0" w:after="0"/>
              <w:ind w:left="57" w:right="57"/>
              <w:jc w:val="center"/>
              <w:rPr>
                <w:color w:val="FFFFFF" w:themeColor="background1"/>
                <w:sz w:val="18"/>
                <w:szCs w:val="18"/>
              </w:rPr>
            </w:pPr>
            <w:r w:rsidRPr="0078056B">
              <w:rPr>
                <w:sz w:val="18"/>
                <w:szCs w:val="18"/>
              </w:rPr>
              <w:t>28</w:t>
            </w:r>
          </w:p>
        </w:tc>
        <w:tc>
          <w:tcPr>
            <w:tcW w:w="621" w:type="pct"/>
            <w:shd w:val="clear" w:color="auto" w:fill="auto"/>
          </w:tcPr>
          <w:p w14:paraId="5595A688" w14:textId="77777777" w:rsidR="003A6119" w:rsidRPr="0078056B" w:rsidRDefault="003A6119" w:rsidP="000A186C">
            <w:pPr>
              <w:keepNext/>
              <w:spacing w:before="0" w:after="0"/>
              <w:ind w:left="57" w:right="57"/>
              <w:jc w:val="center"/>
              <w:rPr>
                <w:sz w:val="18"/>
                <w:szCs w:val="18"/>
              </w:rPr>
            </w:pPr>
            <w:r w:rsidRPr="0078056B">
              <w:rPr>
                <w:sz w:val="18"/>
                <w:szCs w:val="18"/>
              </w:rPr>
              <w:t>35</w:t>
            </w:r>
          </w:p>
        </w:tc>
        <w:tc>
          <w:tcPr>
            <w:tcW w:w="621" w:type="pct"/>
            <w:shd w:val="clear" w:color="auto" w:fill="auto"/>
          </w:tcPr>
          <w:p w14:paraId="692292D5" w14:textId="77777777" w:rsidR="003A6119" w:rsidRPr="0078056B" w:rsidRDefault="003A6119" w:rsidP="000A186C">
            <w:pPr>
              <w:keepNext/>
              <w:spacing w:before="0" w:after="0"/>
              <w:ind w:left="57" w:right="57"/>
              <w:jc w:val="center"/>
              <w:rPr>
                <w:sz w:val="18"/>
                <w:szCs w:val="18"/>
              </w:rPr>
            </w:pPr>
            <w:r w:rsidRPr="0078056B">
              <w:rPr>
                <w:sz w:val="18"/>
                <w:szCs w:val="18"/>
              </w:rPr>
              <w:t>2</w:t>
            </w:r>
          </w:p>
        </w:tc>
        <w:tc>
          <w:tcPr>
            <w:tcW w:w="621" w:type="pct"/>
            <w:shd w:val="clear" w:color="auto" w:fill="0B5ED7"/>
            <w:vAlign w:val="center"/>
          </w:tcPr>
          <w:p w14:paraId="6E67F701" w14:textId="77777777" w:rsidR="003A6119" w:rsidRPr="0078056B" w:rsidRDefault="003A6119" w:rsidP="000A186C">
            <w:pPr>
              <w:keepNext/>
              <w:spacing w:before="0" w:after="0"/>
              <w:ind w:left="57" w:right="57"/>
              <w:jc w:val="center"/>
              <w:rPr>
                <w:color w:val="FFFFFF" w:themeColor="background1"/>
                <w:sz w:val="18"/>
                <w:szCs w:val="18"/>
              </w:rPr>
            </w:pPr>
            <w:r w:rsidRPr="0078056B">
              <w:rPr>
                <w:color w:val="FFFFFF" w:themeColor="background1"/>
                <w:sz w:val="18"/>
                <w:szCs w:val="18"/>
              </w:rPr>
              <w:t>37</w:t>
            </w:r>
          </w:p>
        </w:tc>
      </w:tr>
      <w:tr w:rsidR="003A6119" w:rsidRPr="0078056B" w14:paraId="35D130DE" w14:textId="77777777" w:rsidTr="000A186C">
        <w:trPr>
          <w:trHeight w:val="227"/>
        </w:trPr>
        <w:tc>
          <w:tcPr>
            <w:tcW w:w="1274" w:type="pct"/>
            <w:shd w:val="clear" w:color="auto" w:fill="auto"/>
            <w:vAlign w:val="center"/>
          </w:tcPr>
          <w:p w14:paraId="18283BDD" w14:textId="77777777" w:rsidR="003A6119" w:rsidRPr="0078056B" w:rsidRDefault="003A6119" w:rsidP="000A186C">
            <w:pPr>
              <w:keepNext/>
              <w:spacing w:before="0" w:after="0"/>
              <w:ind w:left="57" w:right="57"/>
              <w:jc w:val="left"/>
              <w:rPr>
                <w:sz w:val="20"/>
                <w:szCs w:val="20"/>
              </w:rPr>
            </w:pPr>
            <w:r w:rsidRPr="0078056B">
              <w:rPr>
                <w:sz w:val="20"/>
                <w:szCs w:val="20"/>
              </w:rPr>
              <w:t>Higher degree (taught)</w:t>
            </w:r>
          </w:p>
        </w:tc>
        <w:tc>
          <w:tcPr>
            <w:tcW w:w="621" w:type="pct"/>
            <w:shd w:val="clear" w:color="auto" w:fill="auto"/>
          </w:tcPr>
          <w:p w14:paraId="5A8D433B" w14:textId="77777777" w:rsidR="003A6119" w:rsidRPr="0078056B" w:rsidRDefault="003A6119" w:rsidP="000A186C">
            <w:pPr>
              <w:keepNext/>
              <w:spacing w:before="0" w:after="0"/>
              <w:ind w:left="57" w:right="57"/>
              <w:jc w:val="center"/>
              <w:rPr>
                <w:sz w:val="18"/>
                <w:szCs w:val="18"/>
              </w:rPr>
            </w:pPr>
            <w:r w:rsidRPr="0078056B">
              <w:rPr>
                <w:sz w:val="18"/>
                <w:szCs w:val="18"/>
              </w:rPr>
              <w:t>23</w:t>
            </w:r>
          </w:p>
        </w:tc>
        <w:tc>
          <w:tcPr>
            <w:tcW w:w="621" w:type="pct"/>
            <w:shd w:val="clear" w:color="auto" w:fill="auto"/>
          </w:tcPr>
          <w:p w14:paraId="7859263E" w14:textId="77777777" w:rsidR="003A6119" w:rsidRPr="0078056B" w:rsidRDefault="003A6119" w:rsidP="000A186C">
            <w:pPr>
              <w:keepNext/>
              <w:spacing w:before="0" w:after="0"/>
              <w:ind w:left="57" w:right="57"/>
              <w:jc w:val="center"/>
              <w:rPr>
                <w:sz w:val="18"/>
                <w:szCs w:val="18"/>
              </w:rPr>
            </w:pPr>
            <w:r w:rsidRPr="0078056B">
              <w:rPr>
                <w:sz w:val="18"/>
                <w:szCs w:val="18"/>
              </w:rPr>
              <w:t>1</w:t>
            </w:r>
          </w:p>
        </w:tc>
        <w:tc>
          <w:tcPr>
            <w:tcW w:w="621" w:type="pct"/>
            <w:shd w:val="clear" w:color="auto" w:fill="06357A"/>
            <w:vAlign w:val="center"/>
          </w:tcPr>
          <w:p w14:paraId="0F1D0360" w14:textId="77777777" w:rsidR="003A6119" w:rsidRPr="0078056B" w:rsidRDefault="003A6119" w:rsidP="000A186C">
            <w:pPr>
              <w:keepNext/>
              <w:spacing w:before="0" w:after="0"/>
              <w:ind w:left="57" w:right="57"/>
              <w:jc w:val="center"/>
              <w:rPr>
                <w:color w:val="FFFFFF" w:themeColor="background1"/>
                <w:sz w:val="18"/>
                <w:szCs w:val="18"/>
              </w:rPr>
            </w:pPr>
            <w:r w:rsidRPr="0078056B">
              <w:rPr>
                <w:sz w:val="18"/>
                <w:szCs w:val="18"/>
              </w:rPr>
              <w:t>24</w:t>
            </w:r>
          </w:p>
        </w:tc>
        <w:tc>
          <w:tcPr>
            <w:tcW w:w="621" w:type="pct"/>
            <w:shd w:val="clear" w:color="auto" w:fill="auto"/>
          </w:tcPr>
          <w:p w14:paraId="67172E3F" w14:textId="77777777" w:rsidR="003A6119" w:rsidRPr="0078056B" w:rsidRDefault="003A6119" w:rsidP="000A186C">
            <w:pPr>
              <w:keepNext/>
              <w:spacing w:before="0" w:after="0"/>
              <w:ind w:left="57" w:right="57"/>
              <w:jc w:val="center"/>
              <w:rPr>
                <w:sz w:val="18"/>
                <w:szCs w:val="18"/>
              </w:rPr>
            </w:pPr>
            <w:r w:rsidRPr="0078056B">
              <w:rPr>
                <w:sz w:val="18"/>
                <w:szCs w:val="18"/>
              </w:rPr>
              <w:t>36</w:t>
            </w:r>
          </w:p>
        </w:tc>
        <w:tc>
          <w:tcPr>
            <w:tcW w:w="621" w:type="pct"/>
            <w:shd w:val="clear" w:color="auto" w:fill="auto"/>
          </w:tcPr>
          <w:p w14:paraId="7F5625D0" w14:textId="77777777" w:rsidR="003A6119" w:rsidRPr="0078056B" w:rsidRDefault="003A6119" w:rsidP="000A186C">
            <w:pPr>
              <w:keepNext/>
              <w:spacing w:before="0" w:after="0"/>
              <w:ind w:left="57" w:right="57"/>
              <w:jc w:val="center"/>
              <w:rPr>
                <w:sz w:val="18"/>
                <w:szCs w:val="18"/>
              </w:rPr>
            </w:pPr>
            <w:r w:rsidRPr="0078056B">
              <w:rPr>
                <w:sz w:val="18"/>
                <w:szCs w:val="18"/>
              </w:rPr>
              <w:t>3</w:t>
            </w:r>
          </w:p>
        </w:tc>
        <w:tc>
          <w:tcPr>
            <w:tcW w:w="621" w:type="pct"/>
            <w:shd w:val="clear" w:color="auto" w:fill="0B5ED7"/>
            <w:vAlign w:val="center"/>
          </w:tcPr>
          <w:p w14:paraId="26F5913A" w14:textId="77777777" w:rsidR="003A6119" w:rsidRPr="0078056B" w:rsidRDefault="003A6119" w:rsidP="000A186C">
            <w:pPr>
              <w:keepNext/>
              <w:spacing w:before="0" w:after="0"/>
              <w:ind w:left="57" w:right="57"/>
              <w:jc w:val="center"/>
              <w:rPr>
                <w:color w:val="FFFFFF" w:themeColor="background1"/>
                <w:sz w:val="18"/>
                <w:szCs w:val="18"/>
              </w:rPr>
            </w:pPr>
            <w:r w:rsidRPr="0078056B">
              <w:rPr>
                <w:color w:val="FFFFFF" w:themeColor="background1"/>
                <w:sz w:val="18"/>
                <w:szCs w:val="18"/>
              </w:rPr>
              <w:t>39</w:t>
            </w:r>
          </w:p>
        </w:tc>
      </w:tr>
      <w:tr w:rsidR="003A6119" w:rsidRPr="0078056B" w14:paraId="02B0251E" w14:textId="77777777" w:rsidTr="000A186C">
        <w:trPr>
          <w:trHeight w:val="227"/>
        </w:trPr>
        <w:tc>
          <w:tcPr>
            <w:tcW w:w="1274" w:type="pct"/>
            <w:tcBorders>
              <w:bottom w:val="single" w:sz="4" w:space="0" w:color="06357A"/>
            </w:tcBorders>
            <w:shd w:val="clear" w:color="auto" w:fill="auto"/>
            <w:vAlign w:val="center"/>
          </w:tcPr>
          <w:p w14:paraId="354C8379" w14:textId="77777777" w:rsidR="003A6119" w:rsidRPr="0078056B" w:rsidRDefault="003A6119" w:rsidP="000A186C">
            <w:pPr>
              <w:keepNext/>
              <w:spacing w:before="0" w:after="0"/>
              <w:ind w:left="57" w:right="57"/>
              <w:jc w:val="left"/>
              <w:rPr>
                <w:sz w:val="20"/>
                <w:szCs w:val="20"/>
              </w:rPr>
            </w:pPr>
            <w:r w:rsidRPr="0078056B">
              <w:rPr>
                <w:sz w:val="20"/>
                <w:szCs w:val="20"/>
              </w:rPr>
              <w:t>Higher degree (research)</w:t>
            </w:r>
          </w:p>
        </w:tc>
        <w:tc>
          <w:tcPr>
            <w:tcW w:w="621" w:type="pct"/>
            <w:tcBorders>
              <w:bottom w:val="single" w:sz="4" w:space="0" w:color="06357A"/>
            </w:tcBorders>
            <w:shd w:val="clear" w:color="auto" w:fill="auto"/>
          </w:tcPr>
          <w:p w14:paraId="535C9618" w14:textId="77777777" w:rsidR="003A6119" w:rsidRPr="0078056B" w:rsidRDefault="003A6119" w:rsidP="000A186C">
            <w:pPr>
              <w:keepNext/>
              <w:spacing w:before="0" w:after="0"/>
              <w:ind w:left="57" w:right="57"/>
              <w:jc w:val="center"/>
              <w:rPr>
                <w:sz w:val="18"/>
                <w:szCs w:val="18"/>
              </w:rPr>
            </w:pPr>
            <w:r w:rsidRPr="0078056B">
              <w:rPr>
                <w:sz w:val="18"/>
                <w:szCs w:val="18"/>
              </w:rPr>
              <w:t>27</w:t>
            </w:r>
          </w:p>
        </w:tc>
        <w:tc>
          <w:tcPr>
            <w:tcW w:w="621" w:type="pct"/>
            <w:tcBorders>
              <w:bottom w:val="single" w:sz="4" w:space="0" w:color="06357A"/>
            </w:tcBorders>
            <w:shd w:val="clear" w:color="auto" w:fill="auto"/>
          </w:tcPr>
          <w:p w14:paraId="21F6E818" w14:textId="77777777" w:rsidR="003A6119" w:rsidRPr="0078056B" w:rsidRDefault="003A6119" w:rsidP="000A186C">
            <w:pPr>
              <w:keepNext/>
              <w:spacing w:before="0" w:after="0"/>
              <w:ind w:left="57" w:right="57"/>
              <w:jc w:val="center"/>
              <w:rPr>
                <w:sz w:val="18"/>
                <w:szCs w:val="18"/>
              </w:rPr>
            </w:pPr>
            <w:r w:rsidRPr="0078056B">
              <w:rPr>
                <w:sz w:val="18"/>
                <w:szCs w:val="18"/>
              </w:rPr>
              <w:t>4</w:t>
            </w:r>
          </w:p>
        </w:tc>
        <w:tc>
          <w:tcPr>
            <w:tcW w:w="621" w:type="pct"/>
            <w:tcBorders>
              <w:bottom w:val="single" w:sz="4" w:space="0" w:color="06357A"/>
            </w:tcBorders>
            <w:shd w:val="clear" w:color="auto" w:fill="06357A"/>
            <w:vAlign w:val="center"/>
          </w:tcPr>
          <w:p w14:paraId="18329E3D" w14:textId="77777777" w:rsidR="003A6119" w:rsidRPr="0078056B" w:rsidRDefault="003A6119" w:rsidP="000A186C">
            <w:pPr>
              <w:keepNext/>
              <w:spacing w:before="0" w:after="0"/>
              <w:ind w:left="57" w:right="57"/>
              <w:jc w:val="center"/>
              <w:rPr>
                <w:color w:val="FFFFFF" w:themeColor="background1"/>
                <w:sz w:val="18"/>
                <w:szCs w:val="18"/>
              </w:rPr>
            </w:pPr>
            <w:r w:rsidRPr="0078056B">
              <w:rPr>
                <w:sz w:val="18"/>
                <w:szCs w:val="18"/>
              </w:rPr>
              <w:t>31</w:t>
            </w:r>
          </w:p>
        </w:tc>
        <w:tc>
          <w:tcPr>
            <w:tcW w:w="621" w:type="pct"/>
            <w:tcBorders>
              <w:bottom w:val="single" w:sz="4" w:space="0" w:color="06357A"/>
            </w:tcBorders>
            <w:shd w:val="clear" w:color="auto" w:fill="auto"/>
          </w:tcPr>
          <w:p w14:paraId="68ED4281" w14:textId="77777777" w:rsidR="003A6119" w:rsidRPr="0078056B" w:rsidRDefault="003A6119" w:rsidP="000A186C">
            <w:pPr>
              <w:keepNext/>
              <w:spacing w:before="0" w:after="0"/>
              <w:ind w:left="57" w:right="57"/>
              <w:jc w:val="center"/>
              <w:rPr>
                <w:sz w:val="18"/>
                <w:szCs w:val="18"/>
              </w:rPr>
            </w:pPr>
            <w:r w:rsidRPr="0078056B">
              <w:rPr>
                <w:sz w:val="18"/>
                <w:szCs w:val="18"/>
              </w:rPr>
              <w:t>39</w:t>
            </w:r>
          </w:p>
        </w:tc>
        <w:tc>
          <w:tcPr>
            <w:tcW w:w="621" w:type="pct"/>
            <w:tcBorders>
              <w:bottom w:val="single" w:sz="4" w:space="0" w:color="06357A"/>
            </w:tcBorders>
            <w:shd w:val="clear" w:color="auto" w:fill="auto"/>
          </w:tcPr>
          <w:p w14:paraId="711D3F7A" w14:textId="77777777" w:rsidR="003A6119" w:rsidRPr="0078056B" w:rsidRDefault="003A6119" w:rsidP="000A186C">
            <w:pPr>
              <w:keepNext/>
              <w:spacing w:before="0" w:after="0"/>
              <w:ind w:left="57" w:right="57"/>
              <w:jc w:val="center"/>
              <w:rPr>
                <w:sz w:val="18"/>
                <w:szCs w:val="18"/>
              </w:rPr>
            </w:pPr>
            <w:r w:rsidRPr="0078056B">
              <w:rPr>
                <w:sz w:val="18"/>
                <w:szCs w:val="18"/>
              </w:rPr>
              <w:t>6</w:t>
            </w:r>
          </w:p>
        </w:tc>
        <w:tc>
          <w:tcPr>
            <w:tcW w:w="621" w:type="pct"/>
            <w:tcBorders>
              <w:bottom w:val="single" w:sz="4" w:space="0" w:color="06357A"/>
            </w:tcBorders>
            <w:shd w:val="clear" w:color="auto" w:fill="0B5ED7"/>
            <w:vAlign w:val="center"/>
          </w:tcPr>
          <w:p w14:paraId="0A192BC0" w14:textId="77777777" w:rsidR="003A6119" w:rsidRPr="0078056B" w:rsidRDefault="003A6119" w:rsidP="000A186C">
            <w:pPr>
              <w:keepNext/>
              <w:spacing w:before="0" w:after="0"/>
              <w:ind w:left="57" w:right="57"/>
              <w:jc w:val="center"/>
              <w:rPr>
                <w:color w:val="FFFFFF" w:themeColor="background1"/>
                <w:sz w:val="18"/>
                <w:szCs w:val="18"/>
              </w:rPr>
            </w:pPr>
            <w:r w:rsidRPr="0078056B">
              <w:rPr>
                <w:color w:val="FFFFFF" w:themeColor="background1"/>
                <w:sz w:val="18"/>
                <w:szCs w:val="18"/>
              </w:rPr>
              <w:t>45</w:t>
            </w:r>
          </w:p>
        </w:tc>
      </w:tr>
    </w:tbl>
    <w:p w14:paraId="3A8CA480" w14:textId="77777777" w:rsidR="003A6119" w:rsidRPr="0078056B" w:rsidRDefault="003A6119" w:rsidP="003A6119">
      <w:pPr>
        <w:pStyle w:val="TableNote"/>
      </w:pPr>
      <w:r w:rsidRPr="0078056B">
        <w:t>Note: All values have been rounded to the nearest integer. Gaps may arise where there are no students in the 2021-22 University of Birmingham cohort expected to complete the given qualification.</w:t>
      </w:r>
    </w:p>
    <w:p w14:paraId="408F899C" w14:textId="77777777" w:rsidR="003A6119" w:rsidRPr="0078056B" w:rsidRDefault="003A6119" w:rsidP="003A6119">
      <w:pPr>
        <w:spacing w:before="0" w:after="0"/>
        <w:jc w:val="left"/>
        <w:rPr>
          <w:b/>
          <w:i/>
          <w:sz w:val="16"/>
        </w:rPr>
      </w:pPr>
      <w:r w:rsidRPr="0078056B">
        <w:rPr>
          <w:b/>
          <w:i/>
          <w:sz w:val="16"/>
        </w:rPr>
        <w:t>Source: London Economics' analysis based on University of Birmingham HESA data</w:t>
      </w:r>
    </w:p>
    <w:p w14:paraId="5D9EFE9C" w14:textId="77777777" w:rsidR="003A6119" w:rsidRPr="0078056B" w:rsidRDefault="003A6119" w:rsidP="003A6119">
      <w:r w:rsidRPr="0078056B">
        <w:t xml:space="preserve">Given these characteristics, we adjust the methodology when estimating the returns to part-time (and later full-time) education attainment at the University of Birmingham, through the use of an </w:t>
      </w:r>
      <w:r w:rsidRPr="0078056B">
        <w:rPr>
          <w:b/>
          <w:color w:val="06357A"/>
        </w:rPr>
        <w:t>‘age-decay’ function</w:t>
      </w:r>
      <w:r w:rsidRPr="0078056B">
        <w:t xml:space="preserve">. This approach assumes that possession of a particular higher education qualification is associated with a certain earnings or employment premium, and that this entire labour market benefit accrues to the individual </w:t>
      </w:r>
      <w:r w:rsidRPr="0078056B">
        <w:rPr>
          <w:i/>
        </w:rPr>
        <w:t>if</w:t>
      </w:r>
      <w:r w:rsidRPr="0078056B">
        <w:t xml:space="preserve"> the qualification is attained before the age of 24 (for undergraduate qualifications) or 29 (for postgraduate qualifications). </w:t>
      </w:r>
    </w:p>
    <w:p w14:paraId="379A97D0" w14:textId="77777777" w:rsidR="003A6119" w:rsidRPr="0078056B" w:rsidRDefault="003A6119" w:rsidP="003A6119">
      <w:r w:rsidRPr="0078056B">
        <w:t>However, as the age of attainment increases, it is expected that a declining proportion of the potential value of the estimated earnings and employment benefit accrues to the individual</w:t>
      </w:r>
      <w:r w:rsidRPr="0078056B">
        <w:rPr>
          <w:rStyle w:val="FootnoteReference"/>
          <w:rFonts w:asciiTheme="minorHAnsi" w:hAnsiTheme="minorHAnsi"/>
        </w:rPr>
        <w:footnoteReference w:id="125"/>
      </w:r>
      <w:r w:rsidRPr="0078056B">
        <w:t>. This calibration ensures that those individuals completing qualifications at a relatively older age will see relatively lower earnings and employment benefits associated with higher education qualification attainment (and perhaps reflect potentially different motivations among this group of learners). In contrast, those individuals attaining qualifications earlier in their working life will see a greater economic benefit (potentially reflecting the investment nature of qualification acquisition).</w:t>
      </w:r>
    </w:p>
    <w:p w14:paraId="41BC0209" w14:textId="6B2D1F14" w:rsidR="00CD54E1" w:rsidRPr="0078056B" w:rsidRDefault="00EA7842" w:rsidP="00CD54E1">
      <w:r w:rsidRPr="0078056B">
        <w:lastRenderedPageBreak/>
        <w:fldChar w:fldCharType="begin"/>
      </w:r>
      <w:r w:rsidRPr="0078056B">
        <w:instrText xml:space="preserve"> REF _Ref161751028 \r \h  \* MERGEFORMAT </w:instrText>
      </w:r>
      <w:r w:rsidRPr="0078056B">
        <w:fldChar w:fldCharType="separate"/>
      </w:r>
      <w:r w:rsidR="00E33157">
        <w:t>Table 20</w:t>
      </w:r>
      <w:r w:rsidRPr="0078056B">
        <w:fldChar w:fldCharType="end"/>
      </w:r>
      <w:r w:rsidR="003A6119" w:rsidRPr="0078056B">
        <w:t xml:space="preserve"> </w:t>
      </w:r>
      <w:r w:rsidR="003428FF" w:rsidRPr="0078056B">
        <w:t xml:space="preserve">above </w:t>
      </w:r>
      <w:r w:rsidR="003A6119" w:rsidRPr="0078056B">
        <w:t xml:space="preserve">presents the assumed age-decay adjustment factors which we apply to the marginal earnings and employment returns to full-time and part-time students undertaking qualifications at the University of Birmingham in the 2021-22 cohort. To take an example, we have assumed that a student undertaking a postgraduate taught degree on a full-time basis achieves the full earnings and employment premium identified in the econometric analysis (for their entire working life). However, for a part-time postgraduate taught degree student, we assume that because of the late attainment (at age </w:t>
      </w:r>
      <w:r w:rsidR="003A6119" w:rsidRPr="0078056B">
        <w:rPr>
          <w:b/>
          <w:color w:val="06357A"/>
        </w:rPr>
        <w:t>39</w:t>
      </w:r>
      <w:r w:rsidR="003A6119" w:rsidRPr="0078056B">
        <w:t xml:space="preserve"> (on average)), these students recoup only </w:t>
      </w:r>
      <w:r w:rsidR="003A6119" w:rsidRPr="0078056B">
        <w:rPr>
          <w:b/>
          <w:color w:val="06357A"/>
        </w:rPr>
        <w:t>69%</w:t>
      </w:r>
      <w:r w:rsidR="003A6119" w:rsidRPr="0078056B">
        <w:t xml:space="preserve"> of the corresponding earnings and employment premiums from that age (of attainment).</w:t>
      </w:r>
      <w:bookmarkStart w:id="494" w:name="_Ref454970249"/>
      <w:bookmarkStart w:id="495" w:name="_Toc458506526"/>
      <w:bookmarkStart w:id="496" w:name="_Toc463869470"/>
      <w:bookmarkStart w:id="497" w:name="_Ref465318888"/>
      <w:bookmarkStart w:id="498" w:name="_Toc487814604"/>
      <w:bookmarkStart w:id="499" w:name="_Ref495154765"/>
      <w:bookmarkStart w:id="500" w:name="_Toc496011391"/>
      <w:bookmarkStart w:id="501" w:name="_Toc520382380"/>
      <w:bookmarkStart w:id="502" w:name="_Ref526152420"/>
      <w:bookmarkStart w:id="503" w:name="_Toc529866000"/>
      <w:bookmarkStart w:id="504" w:name="_Toc36037485"/>
      <w:bookmarkStart w:id="505" w:name="_Toc75247054"/>
      <w:bookmarkStart w:id="506" w:name="_Ref86681368"/>
      <w:bookmarkStart w:id="507" w:name="_Toc138171589"/>
      <w:bookmarkStart w:id="508" w:name="_Ref146633339"/>
      <w:bookmarkStart w:id="509" w:name="_Toc148543116"/>
      <w:bookmarkStart w:id="510" w:name="_Ref160463468"/>
      <w:bookmarkStart w:id="511" w:name="_Toc160636340"/>
    </w:p>
    <w:p w14:paraId="774BCEB9" w14:textId="51EE6596" w:rsidR="003A6119" w:rsidRPr="0078056B" w:rsidRDefault="003A6119" w:rsidP="00CD54E1">
      <w:pPr>
        <w:pStyle w:val="TableTitle"/>
      </w:pPr>
      <w:bookmarkStart w:id="512" w:name="_Ref161751028"/>
      <w:bookmarkStart w:id="513" w:name="_Toc168652175"/>
      <w:r w:rsidRPr="0078056B">
        <w:lastRenderedPageBreak/>
        <w:t xml:space="preserve">Assumed age decay adjustment factors for students </w:t>
      </w:r>
      <w:bookmarkEnd w:id="494"/>
      <w:bookmarkEnd w:id="495"/>
      <w:bookmarkEnd w:id="496"/>
      <w:bookmarkEnd w:id="497"/>
      <w:bookmarkEnd w:id="498"/>
      <w:bookmarkEnd w:id="499"/>
      <w:bookmarkEnd w:id="500"/>
      <w:r w:rsidRPr="0078056B">
        <w:t xml:space="preserve">in the </w:t>
      </w:r>
      <w:bookmarkEnd w:id="501"/>
      <w:bookmarkEnd w:id="502"/>
      <w:bookmarkEnd w:id="503"/>
      <w:r w:rsidRPr="0078056B">
        <w:t>2021-22 University of Birmingham cohort</w:t>
      </w:r>
      <w:bookmarkEnd w:id="504"/>
      <w:bookmarkEnd w:id="505"/>
      <w:bookmarkEnd w:id="506"/>
      <w:bookmarkEnd w:id="507"/>
      <w:bookmarkEnd w:id="508"/>
      <w:bookmarkEnd w:id="509"/>
      <w:bookmarkEnd w:id="510"/>
      <w:bookmarkEnd w:id="511"/>
      <w:bookmarkEnd w:id="512"/>
      <w:bookmarkEnd w:id="513"/>
    </w:p>
    <w:tbl>
      <w:tblPr>
        <w:tblW w:w="5000" w:type="pct"/>
        <w:tblBorders>
          <w:top w:val="single" w:sz="4" w:space="0" w:color="BFBFBF"/>
          <w:bottom w:val="single" w:sz="4" w:space="0" w:color="BFBFBF"/>
          <w:insideH w:val="single" w:sz="4" w:space="0" w:color="BFBFBF"/>
          <w:insideV w:val="single" w:sz="4" w:space="0" w:color="BFBFBF"/>
        </w:tblBorders>
        <w:tblCellMar>
          <w:left w:w="0" w:type="dxa"/>
          <w:right w:w="0" w:type="dxa"/>
        </w:tblCellMar>
        <w:tblLook w:val="0000" w:firstRow="0" w:lastRow="0" w:firstColumn="0" w:lastColumn="0" w:noHBand="0" w:noVBand="0"/>
      </w:tblPr>
      <w:tblGrid>
        <w:gridCol w:w="734"/>
        <w:gridCol w:w="1622"/>
        <w:gridCol w:w="1622"/>
        <w:gridCol w:w="1622"/>
        <w:gridCol w:w="1622"/>
        <w:gridCol w:w="1622"/>
      </w:tblGrid>
      <w:tr w:rsidR="003A6119" w:rsidRPr="0078056B" w14:paraId="708055D6" w14:textId="77777777" w:rsidTr="000A186C">
        <w:tc>
          <w:tcPr>
            <w:tcW w:w="415" w:type="pct"/>
            <w:tcBorders>
              <w:top w:val="single" w:sz="4" w:space="0" w:color="06357A"/>
              <w:bottom w:val="single" w:sz="4" w:space="0" w:color="06357A"/>
            </w:tcBorders>
            <w:shd w:val="clear" w:color="auto" w:fill="auto"/>
            <w:vAlign w:val="center"/>
          </w:tcPr>
          <w:p w14:paraId="32468538" w14:textId="77777777" w:rsidR="003A6119" w:rsidRPr="0078056B" w:rsidRDefault="003A6119" w:rsidP="000A186C">
            <w:pPr>
              <w:pStyle w:val="TableHeading"/>
              <w:keepNext/>
              <w:ind w:left="0"/>
              <w:jc w:val="center"/>
              <w:rPr>
                <w:sz w:val="18"/>
                <w:szCs w:val="18"/>
              </w:rPr>
            </w:pPr>
            <w:r w:rsidRPr="0078056B">
              <w:rPr>
                <w:sz w:val="18"/>
                <w:szCs w:val="18"/>
              </w:rPr>
              <w:t>Age</w:t>
            </w:r>
          </w:p>
        </w:tc>
        <w:tc>
          <w:tcPr>
            <w:tcW w:w="917" w:type="pct"/>
            <w:tcBorders>
              <w:top w:val="single" w:sz="4" w:space="0" w:color="06357A"/>
              <w:bottom w:val="single" w:sz="4" w:space="0" w:color="06357A"/>
            </w:tcBorders>
            <w:shd w:val="clear" w:color="auto" w:fill="auto"/>
            <w:vAlign w:val="center"/>
          </w:tcPr>
          <w:p w14:paraId="5671927B" w14:textId="77777777" w:rsidR="003A6119" w:rsidRPr="0078056B" w:rsidRDefault="003A6119" w:rsidP="000A186C">
            <w:pPr>
              <w:pStyle w:val="TableHeading"/>
              <w:keepNext/>
              <w:ind w:left="0"/>
              <w:jc w:val="center"/>
              <w:rPr>
                <w:sz w:val="18"/>
                <w:szCs w:val="18"/>
              </w:rPr>
            </w:pPr>
            <w:r w:rsidRPr="0078056B">
              <w:rPr>
                <w:sz w:val="18"/>
                <w:szCs w:val="18"/>
              </w:rPr>
              <w:t xml:space="preserve">Other </w:t>
            </w:r>
          </w:p>
          <w:p w14:paraId="5E0D4A0E" w14:textId="77777777" w:rsidR="003A6119" w:rsidRPr="0078056B" w:rsidRDefault="003A6119" w:rsidP="000A186C">
            <w:pPr>
              <w:pStyle w:val="TableHeading"/>
              <w:keepNext/>
              <w:ind w:left="0"/>
              <w:jc w:val="center"/>
              <w:rPr>
                <w:sz w:val="18"/>
                <w:szCs w:val="18"/>
              </w:rPr>
            </w:pPr>
            <w:r w:rsidRPr="0078056B">
              <w:rPr>
                <w:sz w:val="18"/>
                <w:szCs w:val="18"/>
              </w:rPr>
              <w:t>undergraduate</w:t>
            </w:r>
          </w:p>
        </w:tc>
        <w:tc>
          <w:tcPr>
            <w:tcW w:w="917" w:type="pct"/>
            <w:tcBorders>
              <w:top w:val="single" w:sz="4" w:space="0" w:color="06357A"/>
              <w:bottom w:val="single" w:sz="4" w:space="0" w:color="06357A"/>
            </w:tcBorders>
            <w:shd w:val="clear" w:color="auto" w:fill="auto"/>
            <w:vAlign w:val="center"/>
          </w:tcPr>
          <w:p w14:paraId="3EDEDEF7" w14:textId="77777777" w:rsidR="003A6119" w:rsidRPr="0078056B" w:rsidRDefault="003A6119" w:rsidP="000A186C">
            <w:pPr>
              <w:pStyle w:val="TableHeading"/>
              <w:keepNext/>
              <w:ind w:left="0"/>
              <w:jc w:val="center"/>
              <w:rPr>
                <w:sz w:val="18"/>
                <w:szCs w:val="18"/>
              </w:rPr>
            </w:pPr>
            <w:r w:rsidRPr="0078056B">
              <w:rPr>
                <w:sz w:val="18"/>
                <w:szCs w:val="18"/>
              </w:rPr>
              <w:t xml:space="preserve">First </w:t>
            </w:r>
          </w:p>
          <w:p w14:paraId="071C8872" w14:textId="77777777" w:rsidR="003A6119" w:rsidRPr="0078056B" w:rsidRDefault="003A6119" w:rsidP="000A186C">
            <w:pPr>
              <w:pStyle w:val="TableHeading"/>
              <w:keepNext/>
              <w:ind w:left="0"/>
              <w:jc w:val="center"/>
              <w:rPr>
                <w:sz w:val="18"/>
                <w:szCs w:val="18"/>
              </w:rPr>
            </w:pPr>
            <w:r w:rsidRPr="0078056B">
              <w:rPr>
                <w:sz w:val="18"/>
                <w:szCs w:val="18"/>
              </w:rPr>
              <w:t>degree</w:t>
            </w:r>
          </w:p>
        </w:tc>
        <w:tc>
          <w:tcPr>
            <w:tcW w:w="917" w:type="pct"/>
            <w:tcBorders>
              <w:top w:val="single" w:sz="4" w:space="0" w:color="06357A"/>
              <w:bottom w:val="single" w:sz="4" w:space="0" w:color="06357A"/>
            </w:tcBorders>
            <w:shd w:val="clear" w:color="auto" w:fill="auto"/>
            <w:vAlign w:val="center"/>
          </w:tcPr>
          <w:p w14:paraId="6CAB214D" w14:textId="77777777" w:rsidR="003A6119" w:rsidRPr="0078056B" w:rsidRDefault="003A6119" w:rsidP="000A186C">
            <w:pPr>
              <w:pStyle w:val="TableHeading"/>
              <w:keepNext/>
              <w:ind w:left="0"/>
              <w:jc w:val="center"/>
              <w:rPr>
                <w:sz w:val="18"/>
                <w:szCs w:val="18"/>
              </w:rPr>
            </w:pPr>
            <w:r w:rsidRPr="0078056B">
              <w:rPr>
                <w:sz w:val="18"/>
                <w:szCs w:val="18"/>
              </w:rPr>
              <w:t xml:space="preserve">Other </w:t>
            </w:r>
          </w:p>
          <w:p w14:paraId="7C298765" w14:textId="77777777" w:rsidR="003A6119" w:rsidRPr="0078056B" w:rsidRDefault="003A6119" w:rsidP="000A186C">
            <w:pPr>
              <w:pStyle w:val="TableHeading"/>
              <w:keepNext/>
              <w:ind w:left="0"/>
              <w:jc w:val="center"/>
              <w:rPr>
                <w:sz w:val="18"/>
                <w:szCs w:val="18"/>
              </w:rPr>
            </w:pPr>
            <w:r w:rsidRPr="0078056B">
              <w:rPr>
                <w:sz w:val="18"/>
                <w:szCs w:val="18"/>
              </w:rPr>
              <w:t>postgraduate</w:t>
            </w:r>
          </w:p>
        </w:tc>
        <w:tc>
          <w:tcPr>
            <w:tcW w:w="917" w:type="pct"/>
            <w:tcBorders>
              <w:top w:val="single" w:sz="4" w:space="0" w:color="06357A"/>
              <w:bottom w:val="single" w:sz="4" w:space="0" w:color="06357A"/>
            </w:tcBorders>
            <w:shd w:val="clear" w:color="auto" w:fill="auto"/>
            <w:vAlign w:val="center"/>
          </w:tcPr>
          <w:p w14:paraId="603C3AC8" w14:textId="77777777" w:rsidR="003A6119" w:rsidRPr="0078056B" w:rsidRDefault="003A6119" w:rsidP="000A186C">
            <w:pPr>
              <w:pStyle w:val="TableHeading"/>
              <w:keepNext/>
              <w:ind w:left="0"/>
              <w:jc w:val="center"/>
              <w:rPr>
                <w:sz w:val="18"/>
                <w:szCs w:val="18"/>
              </w:rPr>
            </w:pPr>
            <w:r w:rsidRPr="0078056B">
              <w:rPr>
                <w:sz w:val="18"/>
                <w:szCs w:val="18"/>
              </w:rPr>
              <w:t xml:space="preserve">Higher degree </w:t>
            </w:r>
          </w:p>
          <w:p w14:paraId="01A7E5B3" w14:textId="77777777" w:rsidR="003A6119" w:rsidRPr="0078056B" w:rsidRDefault="003A6119" w:rsidP="000A186C">
            <w:pPr>
              <w:pStyle w:val="TableHeading"/>
              <w:keepNext/>
              <w:ind w:left="0"/>
              <w:jc w:val="center"/>
              <w:rPr>
                <w:sz w:val="18"/>
                <w:szCs w:val="18"/>
              </w:rPr>
            </w:pPr>
            <w:r w:rsidRPr="0078056B">
              <w:rPr>
                <w:sz w:val="18"/>
                <w:szCs w:val="18"/>
              </w:rPr>
              <w:t>(taught)</w:t>
            </w:r>
          </w:p>
        </w:tc>
        <w:tc>
          <w:tcPr>
            <w:tcW w:w="917" w:type="pct"/>
            <w:tcBorders>
              <w:top w:val="single" w:sz="4" w:space="0" w:color="06357A"/>
              <w:bottom w:val="single" w:sz="4" w:space="0" w:color="06357A"/>
            </w:tcBorders>
            <w:shd w:val="clear" w:color="auto" w:fill="auto"/>
            <w:vAlign w:val="center"/>
          </w:tcPr>
          <w:p w14:paraId="2123ABBE" w14:textId="77777777" w:rsidR="003A6119" w:rsidRPr="0078056B" w:rsidRDefault="003A6119" w:rsidP="000A186C">
            <w:pPr>
              <w:pStyle w:val="TableHeading"/>
              <w:keepNext/>
              <w:ind w:left="0"/>
              <w:jc w:val="center"/>
              <w:rPr>
                <w:sz w:val="18"/>
                <w:szCs w:val="18"/>
              </w:rPr>
            </w:pPr>
            <w:r w:rsidRPr="0078056B">
              <w:rPr>
                <w:sz w:val="18"/>
                <w:szCs w:val="18"/>
              </w:rPr>
              <w:t>Higher degree (research)</w:t>
            </w:r>
          </w:p>
        </w:tc>
      </w:tr>
      <w:tr w:rsidR="003A6119" w:rsidRPr="0078056B" w14:paraId="535A6F75" w14:textId="77777777" w:rsidTr="000A186C">
        <w:tc>
          <w:tcPr>
            <w:tcW w:w="415" w:type="pct"/>
            <w:shd w:val="clear" w:color="auto" w:fill="auto"/>
            <w:vAlign w:val="bottom"/>
          </w:tcPr>
          <w:p w14:paraId="0669F8D5"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18</w:t>
            </w:r>
          </w:p>
        </w:tc>
        <w:tc>
          <w:tcPr>
            <w:tcW w:w="917" w:type="pct"/>
            <w:shd w:val="clear" w:color="auto" w:fill="auto"/>
          </w:tcPr>
          <w:p w14:paraId="2A7BA579"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6487DF3B"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4B8BD730"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4ECB36D6"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650386E2"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r>
      <w:tr w:rsidR="003A6119" w:rsidRPr="0078056B" w14:paraId="6763029C" w14:textId="77777777" w:rsidTr="000A186C">
        <w:tc>
          <w:tcPr>
            <w:tcW w:w="415" w:type="pct"/>
            <w:shd w:val="clear" w:color="auto" w:fill="auto"/>
            <w:vAlign w:val="bottom"/>
          </w:tcPr>
          <w:p w14:paraId="4F72AFCC"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19</w:t>
            </w:r>
          </w:p>
        </w:tc>
        <w:tc>
          <w:tcPr>
            <w:tcW w:w="917" w:type="pct"/>
            <w:shd w:val="clear" w:color="auto" w:fill="06357A"/>
          </w:tcPr>
          <w:p w14:paraId="7DCF0C35"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0B144B10"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24905764"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5075621B"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42418A4A"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r>
      <w:tr w:rsidR="003A6119" w:rsidRPr="0078056B" w14:paraId="5B2D931D" w14:textId="77777777" w:rsidTr="000A186C">
        <w:tc>
          <w:tcPr>
            <w:tcW w:w="415" w:type="pct"/>
            <w:shd w:val="clear" w:color="auto" w:fill="auto"/>
            <w:vAlign w:val="bottom"/>
          </w:tcPr>
          <w:p w14:paraId="5C6810AF"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20</w:t>
            </w:r>
          </w:p>
        </w:tc>
        <w:tc>
          <w:tcPr>
            <w:tcW w:w="917" w:type="pct"/>
            <w:shd w:val="clear" w:color="auto" w:fill="auto"/>
          </w:tcPr>
          <w:p w14:paraId="1F54E6A3"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1720C59F"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5F4A2666"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3AAFF564"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0B65CB1B"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r>
      <w:tr w:rsidR="003A6119" w:rsidRPr="0078056B" w14:paraId="3DCAB063" w14:textId="77777777" w:rsidTr="000A186C">
        <w:tc>
          <w:tcPr>
            <w:tcW w:w="415" w:type="pct"/>
            <w:shd w:val="clear" w:color="auto" w:fill="auto"/>
            <w:vAlign w:val="bottom"/>
          </w:tcPr>
          <w:p w14:paraId="7E71A43C"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21</w:t>
            </w:r>
          </w:p>
        </w:tc>
        <w:tc>
          <w:tcPr>
            <w:tcW w:w="917" w:type="pct"/>
            <w:shd w:val="clear" w:color="auto" w:fill="auto"/>
          </w:tcPr>
          <w:p w14:paraId="68B696CB"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06357A"/>
          </w:tcPr>
          <w:p w14:paraId="3FC3D378"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569487BF"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1B288C78"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7DA1A883"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r>
      <w:tr w:rsidR="003A6119" w:rsidRPr="0078056B" w14:paraId="26EDF173" w14:textId="77777777" w:rsidTr="000A186C">
        <w:tc>
          <w:tcPr>
            <w:tcW w:w="415" w:type="pct"/>
            <w:shd w:val="clear" w:color="auto" w:fill="auto"/>
            <w:vAlign w:val="bottom"/>
          </w:tcPr>
          <w:p w14:paraId="23DD971D"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22</w:t>
            </w:r>
          </w:p>
        </w:tc>
        <w:tc>
          <w:tcPr>
            <w:tcW w:w="917" w:type="pct"/>
            <w:shd w:val="clear" w:color="auto" w:fill="auto"/>
          </w:tcPr>
          <w:p w14:paraId="06FB0283"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669C204C"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0E8FF31B"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436E1113"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7091DD91"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r>
      <w:tr w:rsidR="003A6119" w:rsidRPr="0078056B" w14:paraId="5579D336" w14:textId="77777777" w:rsidTr="000A186C">
        <w:tc>
          <w:tcPr>
            <w:tcW w:w="415" w:type="pct"/>
            <w:shd w:val="clear" w:color="auto" w:fill="auto"/>
            <w:vAlign w:val="bottom"/>
          </w:tcPr>
          <w:p w14:paraId="1154804D"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23</w:t>
            </w:r>
          </w:p>
        </w:tc>
        <w:tc>
          <w:tcPr>
            <w:tcW w:w="917" w:type="pct"/>
            <w:shd w:val="clear" w:color="auto" w:fill="auto"/>
          </w:tcPr>
          <w:p w14:paraId="71CAD44C"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0D3F6F02"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55925BE5"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6ADC348F"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1CD94005"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r>
      <w:tr w:rsidR="003A6119" w:rsidRPr="0078056B" w14:paraId="7BD5C8CC" w14:textId="77777777" w:rsidTr="000A186C">
        <w:tc>
          <w:tcPr>
            <w:tcW w:w="415" w:type="pct"/>
            <w:shd w:val="clear" w:color="auto" w:fill="auto"/>
            <w:vAlign w:val="bottom"/>
          </w:tcPr>
          <w:p w14:paraId="3DA89ED3"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24</w:t>
            </w:r>
          </w:p>
        </w:tc>
        <w:tc>
          <w:tcPr>
            <w:tcW w:w="917" w:type="pct"/>
            <w:shd w:val="clear" w:color="auto" w:fill="auto"/>
          </w:tcPr>
          <w:p w14:paraId="08E1E730"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98%</w:t>
            </w:r>
          </w:p>
        </w:tc>
        <w:tc>
          <w:tcPr>
            <w:tcW w:w="917" w:type="pct"/>
            <w:shd w:val="clear" w:color="auto" w:fill="auto"/>
          </w:tcPr>
          <w:p w14:paraId="5D6ECA71"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98%</w:t>
            </w:r>
          </w:p>
        </w:tc>
        <w:tc>
          <w:tcPr>
            <w:tcW w:w="917" w:type="pct"/>
            <w:shd w:val="clear" w:color="auto" w:fill="auto"/>
          </w:tcPr>
          <w:p w14:paraId="7E593F1E"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06357A"/>
          </w:tcPr>
          <w:p w14:paraId="40D75B95"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20E13C5F"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r>
      <w:tr w:rsidR="003A6119" w:rsidRPr="0078056B" w14:paraId="66DA70EA" w14:textId="77777777" w:rsidTr="000A186C">
        <w:tc>
          <w:tcPr>
            <w:tcW w:w="415" w:type="pct"/>
            <w:shd w:val="clear" w:color="auto" w:fill="auto"/>
            <w:vAlign w:val="bottom"/>
          </w:tcPr>
          <w:p w14:paraId="53853477"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25</w:t>
            </w:r>
          </w:p>
        </w:tc>
        <w:tc>
          <w:tcPr>
            <w:tcW w:w="917" w:type="pct"/>
            <w:shd w:val="clear" w:color="auto" w:fill="auto"/>
          </w:tcPr>
          <w:p w14:paraId="383AAAE6"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95%</w:t>
            </w:r>
          </w:p>
        </w:tc>
        <w:tc>
          <w:tcPr>
            <w:tcW w:w="917" w:type="pct"/>
            <w:shd w:val="clear" w:color="auto" w:fill="auto"/>
          </w:tcPr>
          <w:p w14:paraId="3DBB0216"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95%</w:t>
            </w:r>
          </w:p>
        </w:tc>
        <w:tc>
          <w:tcPr>
            <w:tcW w:w="917" w:type="pct"/>
            <w:shd w:val="clear" w:color="auto" w:fill="auto"/>
          </w:tcPr>
          <w:p w14:paraId="4A4BD93D"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5AD9CB6E"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705E25BB"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r>
      <w:tr w:rsidR="003A6119" w:rsidRPr="0078056B" w14:paraId="0B0AAFAA" w14:textId="77777777" w:rsidTr="000A186C">
        <w:tc>
          <w:tcPr>
            <w:tcW w:w="415" w:type="pct"/>
            <w:shd w:val="clear" w:color="auto" w:fill="auto"/>
            <w:vAlign w:val="bottom"/>
          </w:tcPr>
          <w:p w14:paraId="652AB61E"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26</w:t>
            </w:r>
          </w:p>
        </w:tc>
        <w:tc>
          <w:tcPr>
            <w:tcW w:w="917" w:type="pct"/>
            <w:shd w:val="clear" w:color="auto" w:fill="auto"/>
          </w:tcPr>
          <w:p w14:paraId="3299996E"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93%</w:t>
            </w:r>
          </w:p>
        </w:tc>
        <w:tc>
          <w:tcPr>
            <w:tcW w:w="917" w:type="pct"/>
            <w:shd w:val="clear" w:color="auto" w:fill="auto"/>
          </w:tcPr>
          <w:p w14:paraId="499FE674"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93%</w:t>
            </w:r>
          </w:p>
        </w:tc>
        <w:tc>
          <w:tcPr>
            <w:tcW w:w="917" w:type="pct"/>
            <w:shd w:val="clear" w:color="auto" w:fill="auto"/>
          </w:tcPr>
          <w:p w14:paraId="1658D3A6"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68BC432C"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1969CDD9"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r>
      <w:tr w:rsidR="003A6119" w:rsidRPr="0078056B" w14:paraId="57F5A778" w14:textId="77777777" w:rsidTr="000A186C">
        <w:tc>
          <w:tcPr>
            <w:tcW w:w="415" w:type="pct"/>
            <w:shd w:val="clear" w:color="auto" w:fill="auto"/>
            <w:vAlign w:val="bottom"/>
          </w:tcPr>
          <w:p w14:paraId="3401B838"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27</w:t>
            </w:r>
          </w:p>
        </w:tc>
        <w:tc>
          <w:tcPr>
            <w:tcW w:w="917" w:type="pct"/>
            <w:shd w:val="clear" w:color="auto" w:fill="auto"/>
          </w:tcPr>
          <w:p w14:paraId="4104FD4F"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90%</w:t>
            </w:r>
          </w:p>
        </w:tc>
        <w:tc>
          <w:tcPr>
            <w:tcW w:w="917" w:type="pct"/>
            <w:shd w:val="clear" w:color="auto" w:fill="auto"/>
          </w:tcPr>
          <w:p w14:paraId="777685AE"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90%</w:t>
            </w:r>
          </w:p>
        </w:tc>
        <w:tc>
          <w:tcPr>
            <w:tcW w:w="917" w:type="pct"/>
            <w:shd w:val="clear" w:color="auto" w:fill="auto"/>
          </w:tcPr>
          <w:p w14:paraId="18F35714"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4A605F46"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6E33E56E"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r>
      <w:tr w:rsidR="003A6119" w:rsidRPr="0078056B" w14:paraId="62F7A1B8" w14:textId="77777777" w:rsidTr="000A186C">
        <w:tc>
          <w:tcPr>
            <w:tcW w:w="415" w:type="pct"/>
            <w:shd w:val="clear" w:color="auto" w:fill="auto"/>
            <w:vAlign w:val="bottom"/>
          </w:tcPr>
          <w:p w14:paraId="06267FD6"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28</w:t>
            </w:r>
          </w:p>
        </w:tc>
        <w:tc>
          <w:tcPr>
            <w:tcW w:w="917" w:type="pct"/>
            <w:shd w:val="clear" w:color="auto" w:fill="auto"/>
          </w:tcPr>
          <w:p w14:paraId="0E02F509"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88%</w:t>
            </w:r>
          </w:p>
        </w:tc>
        <w:tc>
          <w:tcPr>
            <w:tcW w:w="917" w:type="pct"/>
            <w:shd w:val="clear" w:color="auto" w:fill="auto"/>
          </w:tcPr>
          <w:p w14:paraId="227F07E7"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88%</w:t>
            </w:r>
          </w:p>
        </w:tc>
        <w:tc>
          <w:tcPr>
            <w:tcW w:w="917" w:type="pct"/>
            <w:shd w:val="clear" w:color="auto" w:fill="06357A"/>
          </w:tcPr>
          <w:p w14:paraId="7E5EF424"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1BC9175F"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c>
          <w:tcPr>
            <w:tcW w:w="917" w:type="pct"/>
            <w:shd w:val="clear" w:color="auto" w:fill="auto"/>
          </w:tcPr>
          <w:p w14:paraId="0C924898"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100%</w:t>
            </w:r>
          </w:p>
        </w:tc>
      </w:tr>
      <w:tr w:rsidR="003A6119" w:rsidRPr="0078056B" w14:paraId="721C2460" w14:textId="77777777" w:rsidTr="000A186C">
        <w:tc>
          <w:tcPr>
            <w:tcW w:w="415" w:type="pct"/>
            <w:shd w:val="clear" w:color="auto" w:fill="auto"/>
            <w:vAlign w:val="bottom"/>
          </w:tcPr>
          <w:p w14:paraId="5103FA04"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29</w:t>
            </w:r>
          </w:p>
        </w:tc>
        <w:tc>
          <w:tcPr>
            <w:tcW w:w="917" w:type="pct"/>
            <w:shd w:val="clear" w:color="auto" w:fill="auto"/>
          </w:tcPr>
          <w:p w14:paraId="209B540E"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85%</w:t>
            </w:r>
          </w:p>
        </w:tc>
        <w:tc>
          <w:tcPr>
            <w:tcW w:w="917" w:type="pct"/>
            <w:shd w:val="clear" w:color="auto" w:fill="auto"/>
          </w:tcPr>
          <w:p w14:paraId="01F46672"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85%</w:t>
            </w:r>
          </w:p>
        </w:tc>
        <w:tc>
          <w:tcPr>
            <w:tcW w:w="917" w:type="pct"/>
            <w:shd w:val="clear" w:color="auto" w:fill="auto"/>
          </w:tcPr>
          <w:p w14:paraId="180AD039"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97%</w:t>
            </w:r>
          </w:p>
        </w:tc>
        <w:tc>
          <w:tcPr>
            <w:tcW w:w="917" w:type="pct"/>
            <w:shd w:val="clear" w:color="auto" w:fill="auto"/>
          </w:tcPr>
          <w:p w14:paraId="71E2E602"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97%</w:t>
            </w:r>
          </w:p>
        </w:tc>
        <w:tc>
          <w:tcPr>
            <w:tcW w:w="917" w:type="pct"/>
            <w:shd w:val="clear" w:color="auto" w:fill="auto"/>
          </w:tcPr>
          <w:p w14:paraId="289EE0A0"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97%</w:t>
            </w:r>
          </w:p>
        </w:tc>
      </w:tr>
      <w:tr w:rsidR="003A6119" w:rsidRPr="0078056B" w14:paraId="08D9AF8E" w14:textId="77777777" w:rsidTr="000A186C">
        <w:tc>
          <w:tcPr>
            <w:tcW w:w="415" w:type="pct"/>
            <w:shd w:val="clear" w:color="auto" w:fill="auto"/>
            <w:vAlign w:val="bottom"/>
          </w:tcPr>
          <w:p w14:paraId="3CAC774D"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30</w:t>
            </w:r>
          </w:p>
        </w:tc>
        <w:tc>
          <w:tcPr>
            <w:tcW w:w="917" w:type="pct"/>
            <w:shd w:val="clear" w:color="auto" w:fill="0B5ED7" w:themeFill="accent2"/>
          </w:tcPr>
          <w:p w14:paraId="3F69ABB3"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color w:val="FFFFFF" w:themeColor="background1"/>
                <w:sz w:val="18"/>
                <w:szCs w:val="18"/>
              </w:rPr>
              <w:t>83%</w:t>
            </w:r>
          </w:p>
        </w:tc>
        <w:tc>
          <w:tcPr>
            <w:tcW w:w="917" w:type="pct"/>
            <w:shd w:val="clear" w:color="auto" w:fill="auto"/>
          </w:tcPr>
          <w:p w14:paraId="53ECCCFD"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83%</w:t>
            </w:r>
          </w:p>
        </w:tc>
        <w:tc>
          <w:tcPr>
            <w:tcW w:w="917" w:type="pct"/>
            <w:shd w:val="clear" w:color="auto" w:fill="auto"/>
          </w:tcPr>
          <w:p w14:paraId="3E80F361"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94%</w:t>
            </w:r>
          </w:p>
        </w:tc>
        <w:tc>
          <w:tcPr>
            <w:tcW w:w="917" w:type="pct"/>
            <w:shd w:val="clear" w:color="auto" w:fill="auto"/>
          </w:tcPr>
          <w:p w14:paraId="7405B889"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94%</w:t>
            </w:r>
          </w:p>
        </w:tc>
        <w:tc>
          <w:tcPr>
            <w:tcW w:w="917" w:type="pct"/>
            <w:shd w:val="clear" w:color="auto" w:fill="auto"/>
          </w:tcPr>
          <w:p w14:paraId="1A8559FB"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94%</w:t>
            </w:r>
          </w:p>
        </w:tc>
      </w:tr>
      <w:tr w:rsidR="003A6119" w:rsidRPr="0078056B" w14:paraId="577F151E" w14:textId="77777777" w:rsidTr="000A186C">
        <w:tc>
          <w:tcPr>
            <w:tcW w:w="415" w:type="pct"/>
            <w:shd w:val="clear" w:color="auto" w:fill="auto"/>
            <w:vAlign w:val="bottom"/>
          </w:tcPr>
          <w:p w14:paraId="223084FF"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31</w:t>
            </w:r>
          </w:p>
        </w:tc>
        <w:tc>
          <w:tcPr>
            <w:tcW w:w="917" w:type="pct"/>
            <w:shd w:val="clear" w:color="auto" w:fill="auto"/>
          </w:tcPr>
          <w:p w14:paraId="3A6AFD22"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80%</w:t>
            </w:r>
          </w:p>
        </w:tc>
        <w:tc>
          <w:tcPr>
            <w:tcW w:w="917" w:type="pct"/>
            <w:shd w:val="clear" w:color="auto" w:fill="auto"/>
          </w:tcPr>
          <w:p w14:paraId="357DDAAB"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80%</w:t>
            </w:r>
          </w:p>
        </w:tc>
        <w:tc>
          <w:tcPr>
            <w:tcW w:w="917" w:type="pct"/>
            <w:shd w:val="clear" w:color="auto" w:fill="auto"/>
          </w:tcPr>
          <w:p w14:paraId="383A9961"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91%</w:t>
            </w:r>
          </w:p>
        </w:tc>
        <w:tc>
          <w:tcPr>
            <w:tcW w:w="917" w:type="pct"/>
            <w:shd w:val="clear" w:color="auto" w:fill="auto"/>
          </w:tcPr>
          <w:p w14:paraId="3B1AEE1D"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91%</w:t>
            </w:r>
          </w:p>
        </w:tc>
        <w:tc>
          <w:tcPr>
            <w:tcW w:w="917" w:type="pct"/>
            <w:shd w:val="clear" w:color="auto" w:fill="06357A"/>
          </w:tcPr>
          <w:p w14:paraId="132D9A24"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91%</w:t>
            </w:r>
          </w:p>
        </w:tc>
      </w:tr>
      <w:tr w:rsidR="003A6119" w:rsidRPr="0078056B" w14:paraId="18401B37" w14:textId="77777777" w:rsidTr="000A186C">
        <w:tc>
          <w:tcPr>
            <w:tcW w:w="415" w:type="pct"/>
            <w:shd w:val="clear" w:color="auto" w:fill="auto"/>
            <w:vAlign w:val="bottom"/>
          </w:tcPr>
          <w:p w14:paraId="415A0906"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32</w:t>
            </w:r>
          </w:p>
        </w:tc>
        <w:tc>
          <w:tcPr>
            <w:tcW w:w="917" w:type="pct"/>
            <w:shd w:val="clear" w:color="auto" w:fill="auto"/>
          </w:tcPr>
          <w:p w14:paraId="3618FEF3"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78%</w:t>
            </w:r>
          </w:p>
        </w:tc>
        <w:tc>
          <w:tcPr>
            <w:tcW w:w="917" w:type="pct"/>
            <w:shd w:val="clear" w:color="auto" w:fill="auto"/>
          </w:tcPr>
          <w:p w14:paraId="77F98CF6"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78%</w:t>
            </w:r>
          </w:p>
        </w:tc>
        <w:tc>
          <w:tcPr>
            <w:tcW w:w="917" w:type="pct"/>
            <w:shd w:val="clear" w:color="auto" w:fill="auto"/>
          </w:tcPr>
          <w:p w14:paraId="3BA1ADA8" w14:textId="77777777" w:rsidR="003A6119" w:rsidRPr="0078056B" w:rsidRDefault="003A6119" w:rsidP="000A186C">
            <w:pPr>
              <w:pStyle w:val="TableText"/>
              <w:keepNext/>
              <w:ind w:left="0"/>
              <w:jc w:val="center"/>
              <w:rPr>
                <w:rFonts w:asciiTheme="minorHAnsi" w:hAnsiTheme="minorHAnsi" w:cstheme="minorHAnsi"/>
                <w:color w:val="FFFFFF" w:themeColor="background1"/>
                <w:sz w:val="18"/>
                <w:szCs w:val="18"/>
              </w:rPr>
            </w:pPr>
            <w:r w:rsidRPr="0078056B">
              <w:rPr>
                <w:rFonts w:asciiTheme="minorHAnsi" w:hAnsiTheme="minorHAnsi" w:cstheme="minorHAnsi"/>
                <w:sz w:val="18"/>
                <w:szCs w:val="18"/>
              </w:rPr>
              <w:t>89%</w:t>
            </w:r>
          </w:p>
        </w:tc>
        <w:tc>
          <w:tcPr>
            <w:tcW w:w="917" w:type="pct"/>
            <w:shd w:val="clear" w:color="auto" w:fill="auto"/>
          </w:tcPr>
          <w:p w14:paraId="448FDC46" w14:textId="77777777" w:rsidR="003A6119" w:rsidRPr="0078056B" w:rsidRDefault="003A6119" w:rsidP="000A186C">
            <w:pPr>
              <w:pStyle w:val="TableText"/>
              <w:keepNext/>
              <w:ind w:left="0"/>
              <w:jc w:val="center"/>
              <w:rPr>
                <w:rFonts w:asciiTheme="minorHAnsi" w:hAnsiTheme="minorHAnsi" w:cstheme="minorHAnsi"/>
                <w:color w:val="FFFFFF" w:themeColor="background1"/>
                <w:sz w:val="18"/>
                <w:szCs w:val="18"/>
              </w:rPr>
            </w:pPr>
            <w:r w:rsidRPr="0078056B">
              <w:rPr>
                <w:rFonts w:asciiTheme="minorHAnsi" w:hAnsiTheme="minorHAnsi" w:cstheme="minorHAnsi"/>
                <w:sz w:val="18"/>
                <w:szCs w:val="18"/>
              </w:rPr>
              <w:t>89%</w:t>
            </w:r>
          </w:p>
        </w:tc>
        <w:tc>
          <w:tcPr>
            <w:tcW w:w="917" w:type="pct"/>
            <w:shd w:val="clear" w:color="auto" w:fill="auto"/>
          </w:tcPr>
          <w:p w14:paraId="5E0245E4"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89%</w:t>
            </w:r>
          </w:p>
        </w:tc>
      </w:tr>
      <w:tr w:rsidR="003A6119" w:rsidRPr="0078056B" w14:paraId="0F8A8D1D" w14:textId="77777777" w:rsidTr="000A186C">
        <w:tc>
          <w:tcPr>
            <w:tcW w:w="415" w:type="pct"/>
            <w:shd w:val="clear" w:color="auto" w:fill="auto"/>
            <w:vAlign w:val="bottom"/>
          </w:tcPr>
          <w:p w14:paraId="6E60C938"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33</w:t>
            </w:r>
          </w:p>
        </w:tc>
        <w:tc>
          <w:tcPr>
            <w:tcW w:w="917" w:type="pct"/>
            <w:shd w:val="clear" w:color="auto" w:fill="auto"/>
          </w:tcPr>
          <w:p w14:paraId="12146B0C"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75%</w:t>
            </w:r>
          </w:p>
        </w:tc>
        <w:tc>
          <w:tcPr>
            <w:tcW w:w="917" w:type="pct"/>
            <w:shd w:val="clear" w:color="auto" w:fill="auto"/>
          </w:tcPr>
          <w:p w14:paraId="345B6F05"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75%</w:t>
            </w:r>
          </w:p>
        </w:tc>
        <w:tc>
          <w:tcPr>
            <w:tcW w:w="917" w:type="pct"/>
            <w:shd w:val="clear" w:color="auto" w:fill="auto"/>
          </w:tcPr>
          <w:p w14:paraId="32BEED7B"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86%</w:t>
            </w:r>
          </w:p>
        </w:tc>
        <w:tc>
          <w:tcPr>
            <w:tcW w:w="917" w:type="pct"/>
            <w:shd w:val="clear" w:color="auto" w:fill="auto"/>
          </w:tcPr>
          <w:p w14:paraId="61A95947"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86%</w:t>
            </w:r>
          </w:p>
        </w:tc>
        <w:tc>
          <w:tcPr>
            <w:tcW w:w="917" w:type="pct"/>
            <w:shd w:val="clear" w:color="auto" w:fill="auto"/>
          </w:tcPr>
          <w:p w14:paraId="38D2F194"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86%</w:t>
            </w:r>
          </w:p>
        </w:tc>
      </w:tr>
      <w:tr w:rsidR="003A6119" w:rsidRPr="0078056B" w14:paraId="328AA6D0" w14:textId="77777777" w:rsidTr="000A186C">
        <w:tc>
          <w:tcPr>
            <w:tcW w:w="415" w:type="pct"/>
            <w:shd w:val="clear" w:color="auto" w:fill="auto"/>
            <w:vAlign w:val="bottom"/>
          </w:tcPr>
          <w:p w14:paraId="51545CEA"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34</w:t>
            </w:r>
          </w:p>
        </w:tc>
        <w:tc>
          <w:tcPr>
            <w:tcW w:w="917" w:type="pct"/>
            <w:shd w:val="clear" w:color="auto" w:fill="auto"/>
          </w:tcPr>
          <w:p w14:paraId="2C7D4C82"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73%</w:t>
            </w:r>
          </w:p>
        </w:tc>
        <w:tc>
          <w:tcPr>
            <w:tcW w:w="917" w:type="pct"/>
            <w:shd w:val="clear" w:color="auto" w:fill="auto"/>
          </w:tcPr>
          <w:p w14:paraId="5DECE659"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73%</w:t>
            </w:r>
          </w:p>
        </w:tc>
        <w:tc>
          <w:tcPr>
            <w:tcW w:w="917" w:type="pct"/>
            <w:shd w:val="clear" w:color="auto" w:fill="auto"/>
          </w:tcPr>
          <w:p w14:paraId="644DDD57"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83%</w:t>
            </w:r>
          </w:p>
        </w:tc>
        <w:tc>
          <w:tcPr>
            <w:tcW w:w="917" w:type="pct"/>
            <w:shd w:val="clear" w:color="auto" w:fill="auto"/>
          </w:tcPr>
          <w:p w14:paraId="1A3139DC"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83%</w:t>
            </w:r>
          </w:p>
        </w:tc>
        <w:tc>
          <w:tcPr>
            <w:tcW w:w="917" w:type="pct"/>
            <w:shd w:val="clear" w:color="auto" w:fill="auto"/>
          </w:tcPr>
          <w:p w14:paraId="6D856BEF"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83%</w:t>
            </w:r>
          </w:p>
        </w:tc>
      </w:tr>
      <w:tr w:rsidR="003A6119" w:rsidRPr="0078056B" w14:paraId="5F53ED96" w14:textId="77777777" w:rsidTr="000A186C">
        <w:tc>
          <w:tcPr>
            <w:tcW w:w="415" w:type="pct"/>
            <w:shd w:val="clear" w:color="auto" w:fill="auto"/>
            <w:vAlign w:val="bottom"/>
          </w:tcPr>
          <w:p w14:paraId="0C2E3E20"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35</w:t>
            </w:r>
          </w:p>
        </w:tc>
        <w:tc>
          <w:tcPr>
            <w:tcW w:w="917" w:type="pct"/>
            <w:shd w:val="clear" w:color="auto" w:fill="auto"/>
          </w:tcPr>
          <w:p w14:paraId="65120CD1"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70%</w:t>
            </w:r>
          </w:p>
        </w:tc>
        <w:tc>
          <w:tcPr>
            <w:tcW w:w="917" w:type="pct"/>
            <w:shd w:val="clear" w:color="auto" w:fill="auto"/>
          </w:tcPr>
          <w:p w14:paraId="00829ACD"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70%</w:t>
            </w:r>
          </w:p>
        </w:tc>
        <w:tc>
          <w:tcPr>
            <w:tcW w:w="917" w:type="pct"/>
            <w:shd w:val="clear" w:color="auto" w:fill="auto"/>
          </w:tcPr>
          <w:p w14:paraId="2D795B07"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80%</w:t>
            </w:r>
          </w:p>
        </w:tc>
        <w:tc>
          <w:tcPr>
            <w:tcW w:w="917" w:type="pct"/>
            <w:shd w:val="clear" w:color="auto" w:fill="auto"/>
          </w:tcPr>
          <w:p w14:paraId="23A5E9FF"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80%</w:t>
            </w:r>
          </w:p>
        </w:tc>
        <w:tc>
          <w:tcPr>
            <w:tcW w:w="917" w:type="pct"/>
            <w:shd w:val="clear" w:color="auto" w:fill="auto"/>
          </w:tcPr>
          <w:p w14:paraId="2F0EA16F"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80%</w:t>
            </w:r>
          </w:p>
        </w:tc>
      </w:tr>
      <w:tr w:rsidR="003A6119" w:rsidRPr="0078056B" w14:paraId="338E95C8" w14:textId="77777777" w:rsidTr="000A186C">
        <w:tc>
          <w:tcPr>
            <w:tcW w:w="415" w:type="pct"/>
            <w:shd w:val="clear" w:color="auto" w:fill="auto"/>
            <w:vAlign w:val="bottom"/>
          </w:tcPr>
          <w:p w14:paraId="31CE75E9"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36</w:t>
            </w:r>
          </w:p>
        </w:tc>
        <w:tc>
          <w:tcPr>
            <w:tcW w:w="917" w:type="pct"/>
            <w:shd w:val="clear" w:color="auto" w:fill="auto"/>
          </w:tcPr>
          <w:p w14:paraId="588E48B4"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68%</w:t>
            </w:r>
          </w:p>
        </w:tc>
        <w:tc>
          <w:tcPr>
            <w:tcW w:w="917" w:type="pct"/>
            <w:shd w:val="clear" w:color="auto" w:fill="auto"/>
          </w:tcPr>
          <w:p w14:paraId="65881228" w14:textId="77777777" w:rsidR="003A6119" w:rsidRPr="0078056B" w:rsidRDefault="003A6119" w:rsidP="000A186C">
            <w:pPr>
              <w:pStyle w:val="TableText"/>
              <w:keepNext/>
              <w:ind w:left="0"/>
              <w:jc w:val="center"/>
              <w:rPr>
                <w:rFonts w:asciiTheme="minorHAnsi" w:hAnsiTheme="minorHAnsi" w:cstheme="minorHAnsi"/>
                <w:color w:val="FFFFFF" w:themeColor="background1"/>
                <w:sz w:val="18"/>
                <w:szCs w:val="18"/>
              </w:rPr>
            </w:pPr>
            <w:r w:rsidRPr="0078056B">
              <w:rPr>
                <w:rFonts w:asciiTheme="minorHAnsi" w:hAnsiTheme="minorHAnsi" w:cstheme="minorHAnsi"/>
                <w:sz w:val="18"/>
                <w:szCs w:val="18"/>
              </w:rPr>
              <w:t>68%</w:t>
            </w:r>
          </w:p>
        </w:tc>
        <w:tc>
          <w:tcPr>
            <w:tcW w:w="917" w:type="pct"/>
            <w:shd w:val="clear" w:color="auto" w:fill="auto"/>
          </w:tcPr>
          <w:p w14:paraId="302D7088"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77%</w:t>
            </w:r>
          </w:p>
        </w:tc>
        <w:tc>
          <w:tcPr>
            <w:tcW w:w="917" w:type="pct"/>
            <w:shd w:val="clear" w:color="auto" w:fill="auto"/>
          </w:tcPr>
          <w:p w14:paraId="5A42EFBD"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77%</w:t>
            </w:r>
          </w:p>
        </w:tc>
        <w:tc>
          <w:tcPr>
            <w:tcW w:w="917" w:type="pct"/>
            <w:shd w:val="clear" w:color="auto" w:fill="auto"/>
          </w:tcPr>
          <w:p w14:paraId="54F419CC"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77%</w:t>
            </w:r>
          </w:p>
        </w:tc>
      </w:tr>
      <w:tr w:rsidR="003A6119" w:rsidRPr="0078056B" w14:paraId="3C78F5C2" w14:textId="77777777" w:rsidTr="000A186C">
        <w:tc>
          <w:tcPr>
            <w:tcW w:w="415" w:type="pct"/>
            <w:shd w:val="clear" w:color="auto" w:fill="auto"/>
            <w:vAlign w:val="bottom"/>
          </w:tcPr>
          <w:p w14:paraId="0014D800"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37</w:t>
            </w:r>
          </w:p>
        </w:tc>
        <w:tc>
          <w:tcPr>
            <w:tcW w:w="917" w:type="pct"/>
            <w:shd w:val="clear" w:color="auto" w:fill="auto"/>
          </w:tcPr>
          <w:p w14:paraId="3AAF3046"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65%</w:t>
            </w:r>
          </w:p>
        </w:tc>
        <w:tc>
          <w:tcPr>
            <w:tcW w:w="917" w:type="pct"/>
            <w:shd w:val="clear" w:color="auto" w:fill="auto"/>
          </w:tcPr>
          <w:p w14:paraId="6DDBB0B7"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65%</w:t>
            </w:r>
          </w:p>
        </w:tc>
        <w:tc>
          <w:tcPr>
            <w:tcW w:w="917" w:type="pct"/>
            <w:shd w:val="clear" w:color="auto" w:fill="0B5ED7"/>
          </w:tcPr>
          <w:p w14:paraId="2017484E" w14:textId="77777777" w:rsidR="003A6119" w:rsidRPr="0078056B" w:rsidRDefault="003A6119" w:rsidP="000A186C">
            <w:pPr>
              <w:pStyle w:val="TableText"/>
              <w:keepNext/>
              <w:ind w:left="0"/>
              <w:jc w:val="center"/>
              <w:rPr>
                <w:rFonts w:asciiTheme="minorHAnsi" w:hAnsiTheme="minorHAnsi" w:cstheme="minorHAnsi"/>
                <w:color w:val="FFFFFF" w:themeColor="background1"/>
                <w:sz w:val="18"/>
                <w:szCs w:val="18"/>
              </w:rPr>
            </w:pPr>
            <w:r w:rsidRPr="0078056B">
              <w:rPr>
                <w:rFonts w:asciiTheme="minorHAnsi" w:hAnsiTheme="minorHAnsi" w:cstheme="minorHAnsi"/>
                <w:color w:val="FFFFFF" w:themeColor="background1"/>
                <w:sz w:val="18"/>
                <w:szCs w:val="18"/>
              </w:rPr>
              <w:t>74%</w:t>
            </w:r>
          </w:p>
        </w:tc>
        <w:tc>
          <w:tcPr>
            <w:tcW w:w="917" w:type="pct"/>
            <w:shd w:val="clear" w:color="auto" w:fill="auto"/>
          </w:tcPr>
          <w:p w14:paraId="383D9A80"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74%</w:t>
            </w:r>
          </w:p>
        </w:tc>
        <w:tc>
          <w:tcPr>
            <w:tcW w:w="917" w:type="pct"/>
            <w:shd w:val="clear" w:color="auto" w:fill="auto"/>
          </w:tcPr>
          <w:p w14:paraId="2E5CE2E3"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74%</w:t>
            </w:r>
          </w:p>
        </w:tc>
      </w:tr>
      <w:tr w:rsidR="003A6119" w:rsidRPr="0078056B" w14:paraId="5167A66B" w14:textId="77777777" w:rsidTr="000A186C">
        <w:tc>
          <w:tcPr>
            <w:tcW w:w="415" w:type="pct"/>
            <w:shd w:val="clear" w:color="auto" w:fill="auto"/>
            <w:vAlign w:val="bottom"/>
          </w:tcPr>
          <w:p w14:paraId="0778DE69"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38</w:t>
            </w:r>
          </w:p>
        </w:tc>
        <w:tc>
          <w:tcPr>
            <w:tcW w:w="917" w:type="pct"/>
            <w:shd w:val="clear" w:color="auto" w:fill="auto"/>
          </w:tcPr>
          <w:p w14:paraId="42F907D5"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63%</w:t>
            </w:r>
          </w:p>
        </w:tc>
        <w:tc>
          <w:tcPr>
            <w:tcW w:w="917" w:type="pct"/>
            <w:shd w:val="clear" w:color="auto" w:fill="auto"/>
          </w:tcPr>
          <w:p w14:paraId="66AE5E3A"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63%</w:t>
            </w:r>
          </w:p>
        </w:tc>
        <w:tc>
          <w:tcPr>
            <w:tcW w:w="917" w:type="pct"/>
            <w:shd w:val="clear" w:color="auto" w:fill="auto"/>
          </w:tcPr>
          <w:p w14:paraId="4A61CDD5"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71%</w:t>
            </w:r>
          </w:p>
        </w:tc>
        <w:tc>
          <w:tcPr>
            <w:tcW w:w="917" w:type="pct"/>
            <w:shd w:val="clear" w:color="auto" w:fill="auto"/>
          </w:tcPr>
          <w:p w14:paraId="25223A66"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71%</w:t>
            </w:r>
          </w:p>
        </w:tc>
        <w:tc>
          <w:tcPr>
            <w:tcW w:w="917" w:type="pct"/>
            <w:shd w:val="clear" w:color="auto" w:fill="auto"/>
          </w:tcPr>
          <w:p w14:paraId="2D27229D"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71%</w:t>
            </w:r>
          </w:p>
        </w:tc>
      </w:tr>
      <w:tr w:rsidR="003A6119" w:rsidRPr="0078056B" w14:paraId="2AF30D8E" w14:textId="77777777" w:rsidTr="000A186C">
        <w:tc>
          <w:tcPr>
            <w:tcW w:w="415" w:type="pct"/>
            <w:shd w:val="clear" w:color="auto" w:fill="auto"/>
            <w:vAlign w:val="bottom"/>
          </w:tcPr>
          <w:p w14:paraId="1068385B"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39</w:t>
            </w:r>
          </w:p>
        </w:tc>
        <w:tc>
          <w:tcPr>
            <w:tcW w:w="917" w:type="pct"/>
            <w:shd w:val="clear" w:color="auto" w:fill="auto"/>
          </w:tcPr>
          <w:p w14:paraId="0946BA9A"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60%</w:t>
            </w:r>
          </w:p>
        </w:tc>
        <w:tc>
          <w:tcPr>
            <w:tcW w:w="917" w:type="pct"/>
            <w:shd w:val="clear" w:color="auto" w:fill="auto"/>
          </w:tcPr>
          <w:p w14:paraId="79715A9E"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60%</w:t>
            </w:r>
          </w:p>
        </w:tc>
        <w:tc>
          <w:tcPr>
            <w:tcW w:w="917" w:type="pct"/>
            <w:shd w:val="clear" w:color="auto" w:fill="auto"/>
          </w:tcPr>
          <w:p w14:paraId="0CAE53D7"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69%</w:t>
            </w:r>
          </w:p>
        </w:tc>
        <w:tc>
          <w:tcPr>
            <w:tcW w:w="917" w:type="pct"/>
            <w:shd w:val="clear" w:color="auto" w:fill="0B5ED7"/>
          </w:tcPr>
          <w:p w14:paraId="16D31D13" w14:textId="77777777" w:rsidR="003A6119" w:rsidRPr="0078056B" w:rsidRDefault="003A6119" w:rsidP="000A186C">
            <w:pPr>
              <w:pStyle w:val="TableText"/>
              <w:keepNext/>
              <w:ind w:left="0"/>
              <w:jc w:val="center"/>
              <w:rPr>
                <w:rFonts w:asciiTheme="minorHAnsi" w:hAnsiTheme="minorHAnsi" w:cstheme="minorHAnsi"/>
                <w:color w:val="FFFFFF" w:themeColor="background1"/>
                <w:sz w:val="18"/>
                <w:szCs w:val="18"/>
              </w:rPr>
            </w:pPr>
            <w:r w:rsidRPr="0078056B">
              <w:rPr>
                <w:rFonts w:asciiTheme="minorHAnsi" w:hAnsiTheme="minorHAnsi" w:cstheme="minorHAnsi"/>
                <w:color w:val="FFFFFF" w:themeColor="background1"/>
                <w:sz w:val="18"/>
                <w:szCs w:val="18"/>
              </w:rPr>
              <w:t>69%</w:t>
            </w:r>
          </w:p>
        </w:tc>
        <w:tc>
          <w:tcPr>
            <w:tcW w:w="917" w:type="pct"/>
            <w:shd w:val="clear" w:color="auto" w:fill="auto"/>
          </w:tcPr>
          <w:p w14:paraId="3C0F1DB2"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69%</w:t>
            </w:r>
          </w:p>
        </w:tc>
      </w:tr>
      <w:tr w:rsidR="003A6119" w:rsidRPr="0078056B" w14:paraId="2B91B1FD" w14:textId="77777777" w:rsidTr="000A186C">
        <w:tc>
          <w:tcPr>
            <w:tcW w:w="415" w:type="pct"/>
            <w:shd w:val="clear" w:color="auto" w:fill="auto"/>
            <w:vAlign w:val="bottom"/>
          </w:tcPr>
          <w:p w14:paraId="495BDCE6"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40</w:t>
            </w:r>
          </w:p>
        </w:tc>
        <w:tc>
          <w:tcPr>
            <w:tcW w:w="917" w:type="pct"/>
            <w:shd w:val="clear" w:color="auto" w:fill="auto"/>
          </w:tcPr>
          <w:p w14:paraId="64363500"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58%</w:t>
            </w:r>
          </w:p>
        </w:tc>
        <w:tc>
          <w:tcPr>
            <w:tcW w:w="917" w:type="pct"/>
            <w:shd w:val="clear" w:color="auto" w:fill="auto"/>
          </w:tcPr>
          <w:p w14:paraId="0E9C2BDA"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58%</w:t>
            </w:r>
          </w:p>
        </w:tc>
        <w:tc>
          <w:tcPr>
            <w:tcW w:w="917" w:type="pct"/>
            <w:shd w:val="clear" w:color="auto" w:fill="auto"/>
          </w:tcPr>
          <w:p w14:paraId="184AFE6C"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66%</w:t>
            </w:r>
          </w:p>
        </w:tc>
        <w:tc>
          <w:tcPr>
            <w:tcW w:w="917" w:type="pct"/>
            <w:shd w:val="clear" w:color="auto" w:fill="auto"/>
          </w:tcPr>
          <w:p w14:paraId="100F3FDE"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66%</w:t>
            </w:r>
          </w:p>
        </w:tc>
        <w:tc>
          <w:tcPr>
            <w:tcW w:w="917" w:type="pct"/>
            <w:shd w:val="clear" w:color="auto" w:fill="auto"/>
          </w:tcPr>
          <w:p w14:paraId="3411D7D4"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66%</w:t>
            </w:r>
          </w:p>
        </w:tc>
      </w:tr>
      <w:tr w:rsidR="003A6119" w:rsidRPr="0078056B" w14:paraId="1C511473" w14:textId="77777777" w:rsidTr="000A186C">
        <w:tc>
          <w:tcPr>
            <w:tcW w:w="415" w:type="pct"/>
            <w:shd w:val="clear" w:color="auto" w:fill="auto"/>
            <w:vAlign w:val="bottom"/>
          </w:tcPr>
          <w:p w14:paraId="0F6605D0"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41</w:t>
            </w:r>
          </w:p>
        </w:tc>
        <w:tc>
          <w:tcPr>
            <w:tcW w:w="917" w:type="pct"/>
            <w:shd w:val="clear" w:color="auto" w:fill="auto"/>
          </w:tcPr>
          <w:p w14:paraId="57F9BA4D"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55%</w:t>
            </w:r>
          </w:p>
        </w:tc>
        <w:tc>
          <w:tcPr>
            <w:tcW w:w="917" w:type="pct"/>
            <w:shd w:val="clear" w:color="auto" w:fill="auto"/>
          </w:tcPr>
          <w:p w14:paraId="226D0F97"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55%</w:t>
            </w:r>
          </w:p>
        </w:tc>
        <w:tc>
          <w:tcPr>
            <w:tcW w:w="917" w:type="pct"/>
            <w:shd w:val="clear" w:color="auto" w:fill="auto"/>
          </w:tcPr>
          <w:p w14:paraId="4CFBD1BF"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63%</w:t>
            </w:r>
          </w:p>
        </w:tc>
        <w:tc>
          <w:tcPr>
            <w:tcW w:w="917" w:type="pct"/>
            <w:shd w:val="clear" w:color="auto" w:fill="auto"/>
          </w:tcPr>
          <w:p w14:paraId="73AA6792"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63%</w:t>
            </w:r>
          </w:p>
        </w:tc>
        <w:tc>
          <w:tcPr>
            <w:tcW w:w="917" w:type="pct"/>
            <w:shd w:val="clear" w:color="auto" w:fill="auto"/>
          </w:tcPr>
          <w:p w14:paraId="6B544E69"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63%</w:t>
            </w:r>
          </w:p>
        </w:tc>
      </w:tr>
      <w:tr w:rsidR="003A6119" w:rsidRPr="0078056B" w14:paraId="5CCD7E72" w14:textId="77777777" w:rsidTr="000A186C">
        <w:tc>
          <w:tcPr>
            <w:tcW w:w="415" w:type="pct"/>
            <w:shd w:val="clear" w:color="auto" w:fill="auto"/>
            <w:vAlign w:val="bottom"/>
          </w:tcPr>
          <w:p w14:paraId="6D8A2E75"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42</w:t>
            </w:r>
          </w:p>
        </w:tc>
        <w:tc>
          <w:tcPr>
            <w:tcW w:w="917" w:type="pct"/>
            <w:shd w:val="clear" w:color="auto" w:fill="auto"/>
          </w:tcPr>
          <w:p w14:paraId="69251E8F"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53%</w:t>
            </w:r>
          </w:p>
        </w:tc>
        <w:tc>
          <w:tcPr>
            <w:tcW w:w="917" w:type="pct"/>
            <w:shd w:val="clear" w:color="auto" w:fill="auto"/>
          </w:tcPr>
          <w:p w14:paraId="50124F0E"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53%</w:t>
            </w:r>
          </w:p>
        </w:tc>
        <w:tc>
          <w:tcPr>
            <w:tcW w:w="917" w:type="pct"/>
            <w:shd w:val="clear" w:color="auto" w:fill="auto"/>
          </w:tcPr>
          <w:p w14:paraId="696FB6A2"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60%</w:t>
            </w:r>
          </w:p>
        </w:tc>
        <w:tc>
          <w:tcPr>
            <w:tcW w:w="917" w:type="pct"/>
            <w:shd w:val="clear" w:color="auto" w:fill="auto"/>
          </w:tcPr>
          <w:p w14:paraId="7DBE49ED"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60%</w:t>
            </w:r>
          </w:p>
        </w:tc>
        <w:tc>
          <w:tcPr>
            <w:tcW w:w="917" w:type="pct"/>
            <w:shd w:val="clear" w:color="auto" w:fill="auto"/>
          </w:tcPr>
          <w:p w14:paraId="08270A94"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60%</w:t>
            </w:r>
          </w:p>
        </w:tc>
      </w:tr>
      <w:tr w:rsidR="003A6119" w:rsidRPr="0078056B" w14:paraId="19A7424E" w14:textId="77777777" w:rsidTr="000A186C">
        <w:tc>
          <w:tcPr>
            <w:tcW w:w="415" w:type="pct"/>
            <w:shd w:val="clear" w:color="auto" w:fill="auto"/>
            <w:vAlign w:val="bottom"/>
          </w:tcPr>
          <w:p w14:paraId="5278BB79"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43</w:t>
            </w:r>
          </w:p>
        </w:tc>
        <w:tc>
          <w:tcPr>
            <w:tcW w:w="917" w:type="pct"/>
            <w:shd w:val="clear" w:color="auto" w:fill="auto"/>
          </w:tcPr>
          <w:p w14:paraId="7CBCE58C"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50%</w:t>
            </w:r>
          </w:p>
        </w:tc>
        <w:tc>
          <w:tcPr>
            <w:tcW w:w="917" w:type="pct"/>
            <w:shd w:val="clear" w:color="auto" w:fill="auto"/>
          </w:tcPr>
          <w:p w14:paraId="75BF2ED5"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50%</w:t>
            </w:r>
          </w:p>
        </w:tc>
        <w:tc>
          <w:tcPr>
            <w:tcW w:w="917" w:type="pct"/>
            <w:shd w:val="clear" w:color="auto" w:fill="auto"/>
          </w:tcPr>
          <w:p w14:paraId="42748EB3"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57%</w:t>
            </w:r>
          </w:p>
        </w:tc>
        <w:tc>
          <w:tcPr>
            <w:tcW w:w="917" w:type="pct"/>
            <w:shd w:val="clear" w:color="auto" w:fill="auto"/>
          </w:tcPr>
          <w:p w14:paraId="0C934378"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57%</w:t>
            </w:r>
          </w:p>
        </w:tc>
        <w:tc>
          <w:tcPr>
            <w:tcW w:w="917" w:type="pct"/>
            <w:shd w:val="clear" w:color="auto" w:fill="auto"/>
          </w:tcPr>
          <w:p w14:paraId="08900F4A"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57%</w:t>
            </w:r>
          </w:p>
        </w:tc>
      </w:tr>
      <w:tr w:rsidR="003A6119" w:rsidRPr="0078056B" w14:paraId="5B3ACF48" w14:textId="77777777" w:rsidTr="000A186C">
        <w:tc>
          <w:tcPr>
            <w:tcW w:w="415" w:type="pct"/>
            <w:shd w:val="clear" w:color="auto" w:fill="auto"/>
            <w:vAlign w:val="bottom"/>
          </w:tcPr>
          <w:p w14:paraId="40A77B8F"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44</w:t>
            </w:r>
          </w:p>
        </w:tc>
        <w:tc>
          <w:tcPr>
            <w:tcW w:w="917" w:type="pct"/>
            <w:shd w:val="clear" w:color="auto" w:fill="auto"/>
          </w:tcPr>
          <w:p w14:paraId="743BF2E4"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48%</w:t>
            </w:r>
          </w:p>
        </w:tc>
        <w:tc>
          <w:tcPr>
            <w:tcW w:w="917" w:type="pct"/>
            <w:shd w:val="clear" w:color="auto" w:fill="auto"/>
          </w:tcPr>
          <w:p w14:paraId="3AE1FBC8"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48%</w:t>
            </w:r>
          </w:p>
        </w:tc>
        <w:tc>
          <w:tcPr>
            <w:tcW w:w="917" w:type="pct"/>
            <w:shd w:val="clear" w:color="auto" w:fill="auto"/>
          </w:tcPr>
          <w:p w14:paraId="0A84F150"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54%</w:t>
            </w:r>
          </w:p>
        </w:tc>
        <w:tc>
          <w:tcPr>
            <w:tcW w:w="917" w:type="pct"/>
            <w:shd w:val="clear" w:color="auto" w:fill="auto"/>
          </w:tcPr>
          <w:p w14:paraId="292A52BF"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54%</w:t>
            </w:r>
          </w:p>
        </w:tc>
        <w:tc>
          <w:tcPr>
            <w:tcW w:w="917" w:type="pct"/>
            <w:shd w:val="clear" w:color="auto" w:fill="auto"/>
          </w:tcPr>
          <w:p w14:paraId="57B52434"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54%</w:t>
            </w:r>
          </w:p>
        </w:tc>
      </w:tr>
      <w:tr w:rsidR="003A6119" w:rsidRPr="0078056B" w14:paraId="173F5A9E" w14:textId="77777777" w:rsidTr="000A186C">
        <w:tc>
          <w:tcPr>
            <w:tcW w:w="415" w:type="pct"/>
            <w:shd w:val="clear" w:color="auto" w:fill="auto"/>
            <w:vAlign w:val="bottom"/>
          </w:tcPr>
          <w:p w14:paraId="7A2EE8AD"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45</w:t>
            </w:r>
          </w:p>
        </w:tc>
        <w:tc>
          <w:tcPr>
            <w:tcW w:w="917" w:type="pct"/>
            <w:shd w:val="clear" w:color="auto" w:fill="auto"/>
          </w:tcPr>
          <w:p w14:paraId="74A127C9"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45%</w:t>
            </w:r>
          </w:p>
        </w:tc>
        <w:tc>
          <w:tcPr>
            <w:tcW w:w="917" w:type="pct"/>
            <w:shd w:val="clear" w:color="auto" w:fill="auto"/>
          </w:tcPr>
          <w:p w14:paraId="65803C6F"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45%</w:t>
            </w:r>
          </w:p>
        </w:tc>
        <w:tc>
          <w:tcPr>
            <w:tcW w:w="917" w:type="pct"/>
            <w:shd w:val="clear" w:color="auto" w:fill="auto"/>
          </w:tcPr>
          <w:p w14:paraId="039B5641"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51%</w:t>
            </w:r>
          </w:p>
        </w:tc>
        <w:tc>
          <w:tcPr>
            <w:tcW w:w="917" w:type="pct"/>
            <w:shd w:val="clear" w:color="auto" w:fill="auto"/>
          </w:tcPr>
          <w:p w14:paraId="7948AC9D"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51%</w:t>
            </w:r>
          </w:p>
        </w:tc>
        <w:tc>
          <w:tcPr>
            <w:tcW w:w="917" w:type="pct"/>
            <w:shd w:val="clear" w:color="auto" w:fill="0B5ED7"/>
          </w:tcPr>
          <w:p w14:paraId="7412FB4B" w14:textId="77777777" w:rsidR="003A6119" w:rsidRPr="0078056B" w:rsidRDefault="003A6119" w:rsidP="000A186C">
            <w:pPr>
              <w:pStyle w:val="TableText"/>
              <w:keepNext/>
              <w:ind w:left="0"/>
              <w:jc w:val="center"/>
              <w:rPr>
                <w:rFonts w:asciiTheme="minorHAnsi" w:hAnsiTheme="minorHAnsi" w:cstheme="minorHAnsi"/>
                <w:color w:val="FFFFFF" w:themeColor="background1"/>
                <w:sz w:val="18"/>
                <w:szCs w:val="18"/>
              </w:rPr>
            </w:pPr>
            <w:r w:rsidRPr="0078056B">
              <w:rPr>
                <w:rFonts w:asciiTheme="minorHAnsi" w:hAnsiTheme="minorHAnsi" w:cstheme="minorHAnsi"/>
                <w:color w:val="FFFFFF" w:themeColor="background1"/>
                <w:sz w:val="18"/>
                <w:szCs w:val="18"/>
              </w:rPr>
              <w:t>51%</w:t>
            </w:r>
          </w:p>
        </w:tc>
      </w:tr>
      <w:tr w:rsidR="003A6119" w:rsidRPr="0078056B" w14:paraId="082A6015" w14:textId="77777777" w:rsidTr="000A186C">
        <w:tc>
          <w:tcPr>
            <w:tcW w:w="415" w:type="pct"/>
            <w:shd w:val="clear" w:color="auto" w:fill="auto"/>
            <w:vAlign w:val="bottom"/>
          </w:tcPr>
          <w:p w14:paraId="7484284D"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46</w:t>
            </w:r>
          </w:p>
        </w:tc>
        <w:tc>
          <w:tcPr>
            <w:tcW w:w="917" w:type="pct"/>
            <w:shd w:val="clear" w:color="auto" w:fill="auto"/>
          </w:tcPr>
          <w:p w14:paraId="0D0B0810"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42%</w:t>
            </w:r>
          </w:p>
        </w:tc>
        <w:tc>
          <w:tcPr>
            <w:tcW w:w="917" w:type="pct"/>
            <w:shd w:val="clear" w:color="auto" w:fill="auto"/>
          </w:tcPr>
          <w:p w14:paraId="7B410B7A"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42%</w:t>
            </w:r>
          </w:p>
        </w:tc>
        <w:tc>
          <w:tcPr>
            <w:tcW w:w="917" w:type="pct"/>
            <w:shd w:val="clear" w:color="auto" w:fill="auto"/>
          </w:tcPr>
          <w:p w14:paraId="096233F8"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49%</w:t>
            </w:r>
          </w:p>
        </w:tc>
        <w:tc>
          <w:tcPr>
            <w:tcW w:w="917" w:type="pct"/>
            <w:shd w:val="clear" w:color="auto" w:fill="auto"/>
          </w:tcPr>
          <w:p w14:paraId="17707342"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49%</w:t>
            </w:r>
          </w:p>
        </w:tc>
        <w:tc>
          <w:tcPr>
            <w:tcW w:w="917" w:type="pct"/>
            <w:shd w:val="clear" w:color="auto" w:fill="auto"/>
          </w:tcPr>
          <w:p w14:paraId="50026D5D"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49%</w:t>
            </w:r>
          </w:p>
        </w:tc>
      </w:tr>
      <w:tr w:rsidR="003A6119" w:rsidRPr="0078056B" w14:paraId="000B170A" w14:textId="77777777" w:rsidTr="000A186C">
        <w:tc>
          <w:tcPr>
            <w:tcW w:w="415" w:type="pct"/>
            <w:shd w:val="clear" w:color="auto" w:fill="auto"/>
            <w:vAlign w:val="bottom"/>
          </w:tcPr>
          <w:p w14:paraId="5CB4AA31"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47</w:t>
            </w:r>
          </w:p>
        </w:tc>
        <w:tc>
          <w:tcPr>
            <w:tcW w:w="917" w:type="pct"/>
            <w:shd w:val="clear" w:color="auto" w:fill="auto"/>
          </w:tcPr>
          <w:p w14:paraId="19F20C38"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40%</w:t>
            </w:r>
          </w:p>
        </w:tc>
        <w:tc>
          <w:tcPr>
            <w:tcW w:w="917" w:type="pct"/>
            <w:shd w:val="clear" w:color="auto" w:fill="auto"/>
          </w:tcPr>
          <w:p w14:paraId="75CB81D4"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40%</w:t>
            </w:r>
          </w:p>
        </w:tc>
        <w:tc>
          <w:tcPr>
            <w:tcW w:w="917" w:type="pct"/>
            <w:shd w:val="clear" w:color="auto" w:fill="auto"/>
          </w:tcPr>
          <w:p w14:paraId="1B4098C8"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46%</w:t>
            </w:r>
          </w:p>
        </w:tc>
        <w:tc>
          <w:tcPr>
            <w:tcW w:w="917" w:type="pct"/>
            <w:shd w:val="clear" w:color="auto" w:fill="auto"/>
          </w:tcPr>
          <w:p w14:paraId="1831E063"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46%</w:t>
            </w:r>
          </w:p>
        </w:tc>
        <w:tc>
          <w:tcPr>
            <w:tcW w:w="917" w:type="pct"/>
            <w:shd w:val="clear" w:color="auto" w:fill="auto"/>
          </w:tcPr>
          <w:p w14:paraId="4C7A047D"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46%</w:t>
            </w:r>
          </w:p>
        </w:tc>
      </w:tr>
      <w:tr w:rsidR="003A6119" w:rsidRPr="0078056B" w14:paraId="412F211C" w14:textId="77777777" w:rsidTr="000A186C">
        <w:tc>
          <w:tcPr>
            <w:tcW w:w="415" w:type="pct"/>
            <w:shd w:val="clear" w:color="auto" w:fill="auto"/>
            <w:vAlign w:val="bottom"/>
          </w:tcPr>
          <w:p w14:paraId="447F9620"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48</w:t>
            </w:r>
          </w:p>
        </w:tc>
        <w:tc>
          <w:tcPr>
            <w:tcW w:w="917" w:type="pct"/>
            <w:shd w:val="clear" w:color="auto" w:fill="auto"/>
          </w:tcPr>
          <w:p w14:paraId="6DAF2C01"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37%</w:t>
            </w:r>
          </w:p>
        </w:tc>
        <w:tc>
          <w:tcPr>
            <w:tcW w:w="917" w:type="pct"/>
            <w:shd w:val="clear" w:color="auto" w:fill="auto"/>
          </w:tcPr>
          <w:p w14:paraId="74381CCB"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37%</w:t>
            </w:r>
          </w:p>
        </w:tc>
        <w:tc>
          <w:tcPr>
            <w:tcW w:w="917" w:type="pct"/>
            <w:shd w:val="clear" w:color="auto" w:fill="auto"/>
          </w:tcPr>
          <w:p w14:paraId="27B59075"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43%</w:t>
            </w:r>
          </w:p>
        </w:tc>
        <w:tc>
          <w:tcPr>
            <w:tcW w:w="917" w:type="pct"/>
            <w:shd w:val="clear" w:color="auto" w:fill="auto"/>
          </w:tcPr>
          <w:p w14:paraId="7B73A3F4"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43%</w:t>
            </w:r>
          </w:p>
        </w:tc>
        <w:tc>
          <w:tcPr>
            <w:tcW w:w="917" w:type="pct"/>
            <w:shd w:val="clear" w:color="auto" w:fill="auto"/>
          </w:tcPr>
          <w:p w14:paraId="1E65C479" w14:textId="77777777" w:rsidR="003A6119" w:rsidRPr="0078056B" w:rsidRDefault="003A6119" w:rsidP="000A186C">
            <w:pPr>
              <w:pStyle w:val="TableText"/>
              <w:keepNext/>
              <w:ind w:left="0"/>
              <w:jc w:val="center"/>
              <w:rPr>
                <w:rFonts w:asciiTheme="minorHAnsi" w:hAnsiTheme="minorHAnsi" w:cstheme="minorHAnsi"/>
                <w:color w:val="FFFFFF" w:themeColor="background1"/>
                <w:sz w:val="18"/>
                <w:szCs w:val="18"/>
              </w:rPr>
            </w:pPr>
            <w:r w:rsidRPr="0078056B">
              <w:rPr>
                <w:rFonts w:asciiTheme="minorHAnsi" w:hAnsiTheme="minorHAnsi" w:cstheme="minorHAnsi"/>
                <w:sz w:val="18"/>
                <w:szCs w:val="18"/>
              </w:rPr>
              <w:t>43%</w:t>
            </w:r>
          </w:p>
        </w:tc>
      </w:tr>
      <w:tr w:rsidR="003A6119" w:rsidRPr="0078056B" w14:paraId="5C8EA836" w14:textId="77777777" w:rsidTr="000A186C">
        <w:tc>
          <w:tcPr>
            <w:tcW w:w="415" w:type="pct"/>
            <w:shd w:val="clear" w:color="auto" w:fill="auto"/>
            <w:vAlign w:val="bottom"/>
          </w:tcPr>
          <w:p w14:paraId="48161021"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49</w:t>
            </w:r>
          </w:p>
        </w:tc>
        <w:tc>
          <w:tcPr>
            <w:tcW w:w="917" w:type="pct"/>
            <w:shd w:val="clear" w:color="auto" w:fill="auto"/>
          </w:tcPr>
          <w:p w14:paraId="11759D7B"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35%</w:t>
            </w:r>
          </w:p>
        </w:tc>
        <w:tc>
          <w:tcPr>
            <w:tcW w:w="917" w:type="pct"/>
            <w:shd w:val="clear" w:color="auto" w:fill="auto"/>
          </w:tcPr>
          <w:p w14:paraId="682722D7"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35%</w:t>
            </w:r>
          </w:p>
        </w:tc>
        <w:tc>
          <w:tcPr>
            <w:tcW w:w="917" w:type="pct"/>
            <w:shd w:val="clear" w:color="auto" w:fill="auto"/>
          </w:tcPr>
          <w:p w14:paraId="407083EC"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40%</w:t>
            </w:r>
          </w:p>
        </w:tc>
        <w:tc>
          <w:tcPr>
            <w:tcW w:w="917" w:type="pct"/>
            <w:shd w:val="clear" w:color="auto" w:fill="auto"/>
          </w:tcPr>
          <w:p w14:paraId="3781CB34"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40%</w:t>
            </w:r>
          </w:p>
        </w:tc>
        <w:tc>
          <w:tcPr>
            <w:tcW w:w="917" w:type="pct"/>
            <w:shd w:val="clear" w:color="auto" w:fill="auto"/>
          </w:tcPr>
          <w:p w14:paraId="095D54E6"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40%</w:t>
            </w:r>
          </w:p>
        </w:tc>
      </w:tr>
      <w:tr w:rsidR="003A6119" w:rsidRPr="0078056B" w14:paraId="17158910" w14:textId="77777777" w:rsidTr="000A186C">
        <w:tc>
          <w:tcPr>
            <w:tcW w:w="415" w:type="pct"/>
            <w:shd w:val="clear" w:color="auto" w:fill="auto"/>
            <w:vAlign w:val="bottom"/>
          </w:tcPr>
          <w:p w14:paraId="67D80358"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50</w:t>
            </w:r>
          </w:p>
        </w:tc>
        <w:tc>
          <w:tcPr>
            <w:tcW w:w="917" w:type="pct"/>
            <w:shd w:val="clear" w:color="auto" w:fill="auto"/>
          </w:tcPr>
          <w:p w14:paraId="65053E1A"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32%</w:t>
            </w:r>
          </w:p>
        </w:tc>
        <w:tc>
          <w:tcPr>
            <w:tcW w:w="917" w:type="pct"/>
            <w:shd w:val="clear" w:color="auto" w:fill="auto"/>
          </w:tcPr>
          <w:p w14:paraId="152C644F"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32%</w:t>
            </w:r>
          </w:p>
        </w:tc>
        <w:tc>
          <w:tcPr>
            <w:tcW w:w="917" w:type="pct"/>
            <w:shd w:val="clear" w:color="auto" w:fill="auto"/>
          </w:tcPr>
          <w:p w14:paraId="6310DDA6"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37%</w:t>
            </w:r>
          </w:p>
        </w:tc>
        <w:tc>
          <w:tcPr>
            <w:tcW w:w="917" w:type="pct"/>
            <w:shd w:val="clear" w:color="auto" w:fill="auto"/>
          </w:tcPr>
          <w:p w14:paraId="191416ED"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37%</w:t>
            </w:r>
          </w:p>
        </w:tc>
        <w:tc>
          <w:tcPr>
            <w:tcW w:w="917" w:type="pct"/>
            <w:shd w:val="clear" w:color="auto" w:fill="auto"/>
          </w:tcPr>
          <w:p w14:paraId="32C051F9"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37%</w:t>
            </w:r>
          </w:p>
        </w:tc>
      </w:tr>
      <w:tr w:rsidR="003A6119" w:rsidRPr="0078056B" w14:paraId="79A59D7D" w14:textId="77777777" w:rsidTr="000A186C">
        <w:tc>
          <w:tcPr>
            <w:tcW w:w="415" w:type="pct"/>
            <w:shd w:val="clear" w:color="auto" w:fill="auto"/>
            <w:vAlign w:val="bottom"/>
          </w:tcPr>
          <w:p w14:paraId="3037E8DB"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51</w:t>
            </w:r>
          </w:p>
        </w:tc>
        <w:tc>
          <w:tcPr>
            <w:tcW w:w="917" w:type="pct"/>
            <w:shd w:val="clear" w:color="auto" w:fill="auto"/>
          </w:tcPr>
          <w:p w14:paraId="6BECDC51"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30%</w:t>
            </w:r>
          </w:p>
        </w:tc>
        <w:tc>
          <w:tcPr>
            <w:tcW w:w="917" w:type="pct"/>
            <w:shd w:val="clear" w:color="auto" w:fill="auto"/>
          </w:tcPr>
          <w:p w14:paraId="78CD098E"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30%</w:t>
            </w:r>
          </w:p>
        </w:tc>
        <w:tc>
          <w:tcPr>
            <w:tcW w:w="917" w:type="pct"/>
            <w:shd w:val="clear" w:color="auto" w:fill="auto"/>
          </w:tcPr>
          <w:p w14:paraId="6CF48FC8"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34%</w:t>
            </w:r>
          </w:p>
        </w:tc>
        <w:tc>
          <w:tcPr>
            <w:tcW w:w="917" w:type="pct"/>
            <w:shd w:val="clear" w:color="auto" w:fill="auto"/>
          </w:tcPr>
          <w:p w14:paraId="7D3CEDF4"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34%</w:t>
            </w:r>
          </w:p>
        </w:tc>
        <w:tc>
          <w:tcPr>
            <w:tcW w:w="917" w:type="pct"/>
            <w:shd w:val="clear" w:color="auto" w:fill="auto"/>
          </w:tcPr>
          <w:p w14:paraId="2581A50D"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34%</w:t>
            </w:r>
          </w:p>
        </w:tc>
      </w:tr>
      <w:tr w:rsidR="003A6119" w:rsidRPr="0078056B" w14:paraId="649F94F1" w14:textId="77777777" w:rsidTr="000A186C">
        <w:tc>
          <w:tcPr>
            <w:tcW w:w="415" w:type="pct"/>
            <w:shd w:val="clear" w:color="auto" w:fill="auto"/>
            <w:vAlign w:val="bottom"/>
          </w:tcPr>
          <w:p w14:paraId="6197C656"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52</w:t>
            </w:r>
          </w:p>
        </w:tc>
        <w:tc>
          <w:tcPr>
            <w:tcW w:w="917" w:type="pct"/>
            <w:shd w:val="clear" w:color="auto" w:fill="auto"/>
          </w:tcPr>
          <w:p w14:paraId="16A0A9E3"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27%</w:t>
            </w:r>
          </w:p>
        </w:tc>
        <w:tc>
          <w:tcPr>
            <w:tcW w:w="917" w:type="pct"/>
            <w:shd w:val="clear" w:color="auto" w:fill="auto"/>
          </w:tcPr>
          <w:p w14:paraId="2CA2185F"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27%</w:t>
            </w:r>
          </w:p>
        </w:tc>
        <w:tc>
          <w:tcPr>
            <w:tcW w:w="917" w:type="pct"/>
            <w:shd w:val="clear" w:color="auto" w:fill="auto"/>
          </w:tcPr>
          <w:p w14:paraId="618DC31C"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31%</w:t>
            </w:r>
          </w:p>
        </w:tc>
        <w:tc>
          <w:tcPr>
            <w:tcW w:w="917" w:type="pct"/>
            <w:shd w:val="clear" w:color="auto" w:fill="auto"/>
          </w:tcPr>
          <w:p w14:paraId="1682F7C5"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31%</w:t>
            </w:r>
          </w:p>
        </w:tc>
        <w:tc>
          <w:tcPr>
            <w:tcW w:w="917" w:type="pct"/>
            <w:shd w:val="clear" w:color="auto" w:fill="auto"/>
          </w:tcPr>
          <w:p w14:paraId="3967F7F0"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31%</w:t>
            </w:r>
          </w:p>
        </w:tc>
      </w:tr>
      <w:tr w:rsidR="003A6119" w:rsidRPr="0078056B" w14:paraId="461B7E1A" w14:textId="77777777" w:rsidTr="000A186C">
        <w:tc>
          <w:tcPr>
            <w:tcW w:w="415" w:type="pct"/>
            <w:shd w:val="clear" w:color="auto" w:fill="auto"/>
            <w:vAlign w:val="bottom"/>
          </w:tcPr>
          <w:p w14:paraId="5921CAD3"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53</w:t>
            </w:r>
          </w:p>
        </w:tc>
        <w:tc>
          <w:tcPr>
            <w:tcW w:w="917" w:type="pct"/>
            <w:shd w:val="clear" w:color="auto" w:fill="auto"/>
          </w:tcPr>
          <w:p w14:paraId="006EE25D"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25%</w:t>
            </w:r>
          </w:p>
        </w:tc>
        <w:tc>
          <w:tcPr>
            <w:tcW w:w="917" w:type="pct"/>
            <w:shd w:val="clear" w:color="auto" w:fill="auto"/>
          </w:tcPr>
          <w:p w14:paraId="38EEB7DE"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25%</w:t>
            </w:r>
          </w:p>
        </w:tc>
        <w:tc>
          <w:tcPr>
            <w:tcW w:w="917" w:type="pct"/>
            <w:shd w:val="clear" w:color="auto" w:fill="auto"/>
          </w:tcPr>
          <w:p w14:paraId="39108E53"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29%</w:t>
            </w:r>
          </w:p>
        </w:tc>
        <w:tc>
          <w:tcPr>
            <w:tcW w:w="917" w:type="pct"/>
            <w:shd w:val="clear" w:color="auto" w:fill="auto"/>
          </w:tcPr>
          <w:p w14:paraId="4B30E0D1"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29%</w:t>
            </w:r>
          </w:p>
        </w:tc>
        <w:tc>
          <w:tcPr>
            <w:tcW w:w="917" w:type="pct"/>
            <w:shd w:val="clear" w:color="auto" w:fill="auto"/>
          </w:tcPr>
          <w:p w14:paraId="2D2D8386"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29%</w:t>
            </w:r>
          </w:p>
        </w:tc>
      </w:tr>
      <w:tr w:rsidR="003A6119" w:rsidRPr="0078056B" w14:paraId="20D64CEF" w14:textId="77777777" w:rsidTr="000A186C">
        <w:tc>
          <w:tcPr>
            <w:tcW w:w="415" w:type="pct"/>
            <w:shd w:val="clear" w:color="auto" w:fill="auto"/>
            <w:vAlign w:val="bottom"/>
          </w:tcPr>
          <w:p w14:paraId="27C17DCB"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54</w:t>
            </w:r>
          </w:p>
        </w:tc>
        <w:tc>
          <w:tcPr>
            <w:tcW w:w="917" w:type="pct"/>
            <w:shd w:val="clear" w:color="auto" w:fill="auto"/>
          </w:tcPr>
          <w:p w14:paraId="4503A020"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22%</w:t>
            </w:r>
          </w:p>
        </w:tc>
        <w:tc>
          <w:tcPr>
            <w:tcW w:w="917" w:type="pct"/>
            <w:shd w:val="clear" w:color="auto" w:fill="auto"/>
          </w:tcPr>
          <w:p w14:paraId="3722BB20"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22%</w:t>
            </w:r>
          </w:p>
        </w:tc>
        <w:tc>
          <w:tcPr>
            <w:tcW w:w="917" w:type="pct"/>
            <w:shd w:val="clear" w:color="auto" w:fill="auto"/>
          </w:tcPr>
          <w:p w14:paraId="4A7189C0"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26%</w:t>
            </w:r>
          </w:p>
        </w:tc>
        <w:tc>
          <w:tcPr>
            <w:tcW w:w="917" w:type="pct"/>
            <w:shd w:val="clear" w:color="auto" w:fill="auto"/>
          </w:tcPr>
          <w:p w14:paraId="00BE5D66"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26%</w:t>
            </w:r>
          </w:p>
        </w:tc>
        <w:tc>
          <w:tcPr>
            <w:tcW w:w="917" w:type="pct"/>
            <w:shd w:val="clear" w:color="auto" w:fill="auto"/>
          </w:tcPr>
          <w:p w14:paraId="2211D2F2"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26%</w:t>
            </w:r>
          </w:p>
        </w:tc>
      </w:tr>
      <w:tr w:rsidR="003A6119" w:rsidRPr="0078056B" w14:paraId="57611029" w14:textId="77777777" w:rsidTr="000A186C">
        <w:tc>
          <w:tcPr>
            <w:tcW w:w="415" w:type="pct"/>
            <w:shd w:val="clear" w:color="auto" w:fill="auto"/>
            <w:vAlign w:val="bottom"/>
          </w:tcPr>
          <w:p w14:paraId="58522296"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55</w:t>
            </w:r>
          </w:p>
        </w:tc>
        <w:tc>
          <w:tcPr>
            <w:tcW w:w="917" w:type="pct"/>
            <w:shd w:val="clear" w:color="auto" w:fill="auto"/>
          </w:tcPr>
          <w:p w14:paraId="6205A7B3"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20%</w:t>
            </w:r>
          </w:p>
        </w:tc>
        <w:tc>
          <w:tcPr>
            <w:tcW w:w="917" w:type="pct"/>
            <w:shd w:val="clear" w:color="auto" w:fill="auto"/>
          </w:tcPr>
          <w:p w14:paraId="0DFF6009"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20%</w:t>
            </w:r>
          </w:p>
        </w:tc>
        <w:tc>
          <w:tcPr>
            <w:tcW w:w="917" w:type="pct"/>
            <w:shd w:val="clear" w:color="auto" w:fill="auto"/>
          </w:tcPr>
          <w:p w14:paraId="1914033A"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23%</w:t>
            </w:r>
          </w:p>
        </w:tc>
        <w:tc>
          <w:tcPr>
            <w:tcW w:w="917" w:type="pct"/>
            <w:shd w:val="clear" w:color="auto" w:fill="auto"/>
          </w:tcPr>
          <w:p w14:paraId="2FCC8643"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23%</w:t>
            </w:r>
          </w:p>
        </w:tc>
        <w:tc>
          <w:tcPr>
            <w:tcW w:w="917" w:type="pct"/>
            <w:shd w:val="clear" w:color="auto" w:fill="auto"/>
          </w:tcPr>
          <w:p w14:paraId="54478909"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23%</w:t>
            </w:r>
          </w:p>
        </w:tc>
      </w:tr>
      <w:tr w:rsidR="003A6119" w:rsidRPr="0078056B" w14:paraId="1D69504D" w14:textId="77777777" w:rsidTr="000A186C">
        <w:tc>
          <w:tcPr>
            <w:tcW w:w="415" w:type="pct"/>
            <w:shd w:val="clear" w:color="auto" w:fill="auto"/>
            <w:vAlign w:val="bottom"/>
          </w:tcPr>
          <w:p w14:paraId="41B5D255"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56</w:t>
            </w:r>
          </w:p>
        </w:tc>
        <w:tc>
          <w:tcPr>
            <w:tcW w:w="917" w:type="pct"/>
            <w:shd w:val="clear" w:color="auto" w:fill="auto"/>
          </w:tcPr>
          <w:p w14:paraId="7752CDC2"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17%</w:t>
            </w:r>
          </w:p>
        </w:tc>
        <w:tc>
          <w:tcPr>
            <w:tcW w:w="917" w:type="pct"/>
            <w:shd w:val="clear" w:color="auto" w:fill="auto"/>
          </w:tcPr>
          <w:p w14:paraId="3EAC853C"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17%</w:t>
            </w:r>
          </w:p>
        </w:tc>
        <w:tc>
          <w:tcPr>
            <w:tcW w:w="917" w:type="pct"/>
            <w:shd w:val="clear" w:color="auto" w:fill="auto"/>
          </w:tcPr>
          <w:p w14:paraId="7B802F14"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20%</w:t>
            </w:r>
          </w:p>
        </w:tc>
        <w:tc>
          <w:tcPr>
            <w:tcW w:w="917" w:type="pct"/>
            <w:shd w:val="clear" w:color="auto" w:fill="auto"/>
          </w:tcPr>
          <w:p w14:paraId="7F9AFBC3"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20%</w:t>
            </w:r>
          </w:p>
        </w:tc>
        <w:tc>
          <w:tcPr>
            <w:tcW w:w="917" w:type="pct"/>
            <w:shd w:val="clear" w:color="auto" w:fill="auto"/>
          </w:tcPr>
          <w:p w14:paraId="77B95E73"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20%</w:t>
            </w:r>
          </w:p>
        </w:tc>
      </w:tr>
      <w:tr w:rsidR="003A6119" w:rsidRPr="0078056B" w14:paraId="4F34B109" w14:textId="77777777" w:rsidTr="000A186C">
        <w:tc>
          <w:tcPr>
            <w:tcW w:w="415" w:type="pct"/>
            <w:shd w:val="clear" w:color="auto" w:fill="auto"/>
            <w:vAlign w:val="bottom"/>
          </w:tcPr>
          <w:p w14:paraId="6C3A4A73"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57</w:t>
            </w:r>
          </w:p>
        </w:tc>
        <w:tc>
          <w:tcPr>
            <w:tcW w:w="917" w:type="pct"/>
            <w:shd w:val="clear" w:color="auto" w:fill="auto"/>
          </w:tcPr>
          <w:p w14:paraId="13470BA0"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15%</w:t>
            </w:r>
          </w:p>
        </w:tc>
        <w:tc>
          <w:tcPr>
            <w:tcW w:w="917" w:type="pct"/>
            <w:shd w:val="clear" w:color="auto" w:fill="auto"/>
          </w:tcPr>
          <w:p w14:paraId="2795B7B1"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15%</w:t>
            </w:r>
          </w:p>
        </w:tc>
        <w:tc>
          <w:tcPr>
            <w:tcW w:w="917" w:type="pct"/>
            <w:shd w:val="clear" w:color="auto" w:fill="auto"/>
          </w:tcPr>
          <w:p w14:paraId="35B4CE7A"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17%</w:t>
            </w:r>
          </w:p>
        </w:tc>
        <w:tc>
          <w:tcPr>
            <w:tcW w:w="917" w:type="pct"/>
            <w:shd w:val="clear" w:color="auto" w:fill="auto"/>
          </w:tcPr>
          <w:p w14:paraId="7461FB9A"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17%</w:t>
            </w:r>
          </w:p>
        </w:tc>
        <w:tc>
          <w:tcPr>
            <w:tcW w:w="917" w:type="pct"/>
            <w:shd w:val="clear" w:color="auto" w:fill="auto"/>
          </w:tcPr>
          <w:p w14:paraId="6DFE489D"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17%</w:t>
            </w:r>
          </w:p>
        </w:tc>
      </w:tr>
      <w:tr w:rsidR="003A6119" w:rsidRPr="0078056B" w14:paraId="036356B9" w14:textId="77777777" w:rsidTr="000A186C">
        <w:tc>
          <w:tcPr>
            <w:tcW w:w="415" w:type="pct"/>
            <w:shd w:val="clear" w:color="auto" w:fill="auto"/>
            <w:vAlign w:val="bottom"/>
          </w:tcPr>
          <w:p w14:paraId="337885CE"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58</w:t>
            </w:r>
          </w:p>
        </w:tc>
        <w:tc>
          <w:tcPr>
            <w:tcW w:w="917" w:type="pct"/>
            <w:shd w:val="clear" w:color="auto" w:fill="auto"/>
          </w:tcPr>
          <w:p w14:paraId="31B1FA04"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12%</w:t>
            </w:r>
          </w:p>
        </w:tc>
        <w:tc>
          <w:tcPr>
            <w:tcW w:w="917" w:type="pct"/>
            <w:shd w:val="clear" w:color="auto" w:fill="auto"/>
          </w:tcPr>
          <w:p w14:paraId="13D13E8D"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12%</w:t>
            </w:r>
          </w:p>
        </w:tc>
        <w:tc>
          <w:tcPr>
            <w:tcW w:w="917" w:type="pct"/>
            <w:shd w:val="clear" w:color="auto" w:fill="auto"/>
          </w:tcPr>
          <w:p w14:paraId="5D596B8E"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14%</w:t>
            </w:r>
          </w:p>
        </w:tc>
        <w:tc>
          <w:tcPr>
            <w:tcW w:w="917" w:type="pct"/>
            <w:shd w:val="clear" w:color="auto" w:fill="auto"/>
          </w:tcPr>
          <w:p w14:paraId="4A80199A"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14%</w:t>
            </w:r>
          </w:p>
        </w:tc>
        <w:tc>
          <w:tcPr>
            <w:tcW w:w="917" w:type="pct"/>
            <w:shd w:val="clear" w:color="auto" w:fill="auto"/>
          </w:tcPr>
          <w:p w14:paraId="2F62FBD1"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14%</w:t>
            </w:r>
          </w:p>
        </w:tc>
      </w:tr>
      <w:tr w:rsidR="003A6119" w:rsidRPr="0078056B" w14:paraId="3ACAA1A3" w14:textId="77777777" w:rsidTr="000A186C">
        <w:tc>
          <w:tcPr>
            <w:tcW w:w="415" w:type="pct"/>
            <w:shd w:val="clear" w:color="auto" w:fill="auto"/>
            <w:vAlign w:val="bottom"/>
          </w:tcPr>
          <w:p w14:paraId="1502A9DD"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59</w:t>
            </w:r>
          </w:p>
        </w:tc>
        <w:tc>
          <w:tcPr>
            <w:tcW w:w="917" w:type="pct"/>
            <w:shd w:val="clear" w:color="auto" w:fill="auto"/>
          </w:tcPr>
          <w:p w14:paraId="223B2EAC"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w:t>
            </w:r>
          </w:p>
        </w:tc>
        <w:tc>
          <w:tcPr>
            <w:tcW w:w="917" w:type="pct"/>
            <w:shd w:val="clear" w:color="auto" w:fill="auto"/>
          </w:tcPr>
          <w:p w14:paraId="537A367A"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10%</w:t>
            </w:r>
          </w:p>
        </w:tc>
        <w:tc>
          <w:tcPr>
            <w:tcW w:w="917" w:type="pct"/>
            <w:shd w:val="clear" w:color="auto" w:fill="auto"/>
          </w:tcPr>
          <w:p w14:paraId="1288D6CA"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11%</w:t>
            </w:r>
          </w:p>
        </w:tc>
        <w:tc>
          <w:tcPr>
            <w:tcW w:w="917" w:type="pct"/>
            <w:shd w:val="clear" w:color="auto" w:fill="auto"/>
          </w:tcPr>
          <w:p w14:paraId="26A4CF83"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11%</w:t>
            </w:r>
          </w:p>
        </w:tc>
        <w:tc>
          <w:tcPr>
            <w:tcW w:w="917" w:type="pct"/>
            <w:shd w:val="clear" w:color="auto" w:fill="auto"/>
          </w:tcPr>
          <w:p w14:paraId="1BB99D0C"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11%</w:t>
            </w:r>
          </w:p>
        </w:tc>
      </w:tr>
      <w:tr w:rsidR="003A6119" w:rsidRPr="0078056B" w14:paraId="6B0C0681" w14:textId="77777777" w:rsidTr="000A186C">
        <w:tc>
          <w:tcPr>
            <w:tcW w:w="415" w:type="pct"/>
            <w:shd w:val="clear" w:color="auto" w:fill="auto"/>
            <w:vAlign w:val="bottom"/>
          </w:tcPr>
          <w:p w14:paraId="0AA7C09C"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60</w:t>
            </w:r>
          </w:p>
        </w:tc>
        <w:tc>
          <w:tcPr>
            <w:tcW w:w="917" w:type="pct"/>
            <w:shd w:val="clear" w:color="auto" w:fill="auto"/>
          </w:tcPr>
          <w:p w14:paraId="6094E4B5"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7%</w:t>
            </w:r>
          </w:p>
        </w:tc>
        <w:tc>
          <w:tcPr>
            <w:tcW w:w="917" w:type="pct"/>
            <w:shd w:val="clear" w:color="auto" w:fill="auto"/>
          </w:tcPr>
          <w:p w14:paraId="4B16CAE5"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7%</w:t>
            </w:r>
          </w:p>
        </w:tc>
        <w:tc>
          <w:tcPr>
            <w:tcW w:w="917" w:type="pct"/>
            <w:shd w:val="clear" w:color="auto" w:fill="auto"/>
          </w:tcPr>
          <w:p w14:paraId="4472968C"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w:t>
            </w:r>
          </w:p>
        </w:tc>
        <w:tc>
          <w:tcPr>
            <w:tcW w:w="917" w:type="pct"/>
            <w:shd w:val="clear" w:color="auto" w:fill="auto"/>
          </w:tcPr>
          <w:p w14:paraId="7B064D27"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w:t>
            </w:r>
          </w:p>
        </w:tc>
        <w:tc>
          <w:tcPr>
            <w:tcW w:w="917" w:type="pct"/>
            <w:shd w:val="clear" w:color="auto" w:fill="auto"/>
          </w:tcPr>
          <w:p w14:paraId="3BCAB845"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9%</w:t>
            </w:r>
          </w:p>
        </w:tc>
      </w:tr>
      <w:tr w:rsidR="003A6119" w:rsidRPr="0078056B" w14:paraId="238368B6" w14:textId="77777777" w:rsidTr="000A186C">
        <w:tc>
          <w:tcPr>
            <w:tcW w:w="415" w:type="pct"/>
            <w:shd w:val="clear" w:color="auto" w:fill="auto"/>
            <w:vAlign w:val="bottom"/>
          </w:tcPr>
          <w:p w14:paraId="47628217"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61</w:t>
            </w:r>
          </w:p>
        </w:tc>
        <w:tc>
          <w:tcPr>
            <w:tcW w:w="917" w:type="pct"/>
            <w:shd w:val="clear" w:color="auto" w:fill="auto"/>
          </w:tcPr>
          <w:p w14:paraId="292596AE"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w:t>
            </w:r>
          </w:p>
        </w:tc>
        <w:tc>
          <w:tcPr>
            <w:tcW w:w="917" w:type="pct"/>
            <w:shd w:val="clear" w:color="auto" w:fill="auto"/>
          </w:tcPr>
          <w:p w14:paraId="22126163"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5%</w:t>
            </w:r>
          </w:p>
        </w:tc>
        <w:tc>
          <w:tcPr>
            <w:tcW w:w="917" w:type="pct"/>
            <w:shd w:val="clear" w:color="auto" w:fill="auto"/>
          </w:tcPr>
          <w:p w14:paraId="362ED414"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w:t>
            </w:r>
          </w:p>
        </w:tc>
        <w:tc>
          <w:tcPr>
            <w:tcW w:w="917" w:type="pct"/>
            <w:shd w:val="clear" w:color="auto" w:fill="auto"/>
          </w:tcPr>
          <w:p w14:paraId="3D8AD730"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w:t>
            </w:r>
          </w:p>
        </w:tc>
        <w:tc>
          <w:tcPr>
            <w:tcW w:w="917" w:type="pct"/>
            <w:shd w:val="clear" w:color="auto" w:fill="auto"/>
          </w:tcPr>
          <w:p w14:paraId="126E10B3"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6%</w:t>
            </w:r>
          </w:p>
        </w:tc>
      </w:tr>
      <w:tr w:rsidR="003A6119" w:rsidRPr="0078056B" w14:paraId="694D67A0" w14:textId="77777777" w:rsidTr="000A186C">
        <w:tc>
          <w:tcPr>
            <w:tcW w:w="415" w:type="pct"/>
            <w:shd w:val="clear" w:color="auto" w:fill="auto"/>
            <w:vAlign w:val="bottom"/>
          </w:tcPr>
          <w:p w14:paraId="0354E51D"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62</w:t>
            </w:r>
          </w:p>
        </w:tc>
        <w:tc>
          <w:tcPr>
            <w:tcW w:w="917" w:type="pct"/>
            <w:shd w:val="clear" w:color="auto" w:fill="auto"/>
          </w:tcPr>
          <w:p w14:paraId="6AE63896"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w:t>
            </w:r>
          </w:p>
        </w:tc>
        <w:tc>
          <w:tcPr>
            <w:tcW w:w="917" w:type="pct"/>
            <w:shd w:val="clear" w:color="auto" w:fill="auto"/>
          </w:tcPr>
          <w:p w14:paraId="1D15D566"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2%</w:t>
            </w:r>
          </w:p>
        </w:tc>
        <w:tc>
          <w:tcPr>
            <w:tcW w:w="917" w:type="pct"/>
            <w:shd w:val="clear" w:color="auto" w:fill="auto"/>
          </w:tcPr>
          <w:p w14:paraId="69A85AAE"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w:t>
            </w:r>
          </w:p>
        </w:tc>
        <w:tc>
          <w:tcPr>
            <w:tcW w:w="917" w:type="pct"/>
            <w:shd w:val="clear" w:color="auto" w:fill="auto"/>
          </w:tcPr>
          <w:p w14:paraId="7AABC0FD"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w:t>
            </w:r>
          </w:p>
        </w:tc>
        <w:tc>
          <w:tcPr>
            <w:tcW w:w="917" w:type="pct"/>
            <w:shd w:val="clear" w:color="auto" w:fill="auto"/>
          </w:tcPr>
          <w:p w14:paraId="2A17ACD0"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3%</w:t>
            </w:r>
          </w:p>
        </w:tc>
      </w:tr>
      <w:tr w:rsidR="003A6119" w:rsidRPr="0078056B" w14:paraId="2BF0A033" w14:textId="77777777" w:rsidTr="000A186C">
        <w:tc>
          <w:tcPr>
            <w:tcW w:w="415" w:type="pct"/>
            <w:shd w:val="clear" w:color="auto" w:fill="auto"/>
            <w:vAlign w:val="bottom"/>
          </w:tcPr>
          <w:p w14:paraId="598D4A94"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63</w:t>
            </w:r>
          </w:p>
        </w:tc>
        <w:tc>
          <w:tcPr>
            <w:tcW w:w="917" w:type="pct"/>
            <w:shd w:val="clear" w:color="auto" w:fill="auto"/>
          </w:tcPr>
          <w:p w14:paraId="1C72E75C"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0%</w:t>
            </w:r>
          </w:p>
        </w:tc>
        <w:tc>
          <w:tcPr>
            <w:tcW w:w="917" w:type="pct"/>
            <w:shd w:val="clear" w:color="auto" w:fill="auto"/>
          </w:tcPr>
          <w:p w14:paraId="7F2274DB"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0%</w:t>
            </w:r>
          </w:p>
        </w:tc>
        <w:tc>
          <w:tcPr>
            <w:tcW w:w="917" w:type="pct"/>
            <w:shd w:val="clear" w:color="auto" w:fill="auto"/>
          </w:tcPr>
          <w:p w14:paraId="67E9FDDA"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0%</w:t>
            </w:r>
          </w:p>
        </w:tc>
        <w:tc>
          <w:tcPr>
            <w:tcW w:w="917" w:type="pct"/>
            <w:shd w:val="clear" w:color="auto" w:fill="auto"/>
          </w:tcPr>
          <w:p w14:paraId="16BC7D9F"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0%</w:t>
            </w:r>
          </w:p>
        </w:tc>
        <w:tc>
          <w:tcPr>
            <w:tcW w:w="917" w:type="pct"/>
            <w:shd w:val="clear" w:color="auto" w:fill="auto"/>
          </w:tcPr>
          <w:p w14:paraId="582C060A"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0%</w:t>
            </w:r>
          </w:p>
        </w:tc>
      </w:tr>
      <w:tr w:rsidR="003A6119" w:rsidRPr="0078056B" w14:paraId="2D65983D" w14:textId="77777777" w:rsidTr="000A186C">
        <w:tc>
          <w:tcPr>
            <w:tcW w:w="415" w:type="pct"/>
            <w:shd w:val="clear" w:color="auto" w:fill="auto"/>
            <w:vAlign w:val="bottom"/>
          </w:tcPr>
          <w:p w14:paraId="493E93F3"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64</w:t>
            </w:r>
          </w:p>
        </w:tc>
        <w:tc>
          <w:tcPr>
            <w:tcW w:w="917" w:type="pct"/>
            <w:shd w:val="clear" w:color="auto" w:fill="auto"/>
          </w:tcPr>
          <w:p w14:paraId="00BEBFCD"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0%</w:t>
            </w:r>
          </w:p>
        </w:tc>
        <w:tc>
          <w:tcPr>
            <w:tcW w:w="917" w:type="pct"/>
            <w:shd w:val="clear" w:color="auto" w:fill="auto"/>
          </w:tcPr>
          <w:p w14:paraId="30D0CBE1"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0%</w:t>
            </w:r>
          </w:p>
        </w:tc>
        <w:tc>
          <w:tcPr>
            <w:tcW w:w="917" w:type="pct"/>
            <w:shd w:val="clear" w:color="auto" w:fill="auto"/>
          </w:tcPr>
          <w:p w14:paraId="552A3740"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0%</w:t>
            </w:r>
          </w:p>
        </w:tc>
        <w:tc>
          <w:tcPr>
            <w:tcW w:w="917" w:type="pct"/>
            <w:shd w:val="clear" w:color="auto" w:fill="auto"/>
          </w:tcPr>
          <w:p w14:paraId="4F9686A7"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0%</w:t>
            </w:r>
          </w:p>
        </w:tc>
        <w:tc>
          <w:tcPr>
            <w:tcW w:w="917" w:type="pct"/>
            <w:shd w:val="clear" w:color="auto" w:fill="auto"/>
          </w:tcPr>
          <w:p w14:paraId="5CB88224"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0%</w:t>
            </w:r>
          </w:p>
        </w:tc>
      </w:tr>
      <w:tr w:rsidR="003A6119" w:rsidRPr="0078056B" w14:paraId="0BABF79E" w14:textId="77777777" w:rsidTr="000A186C">
        <w:tc>
          <w:tcPr>
            <w:tcW w:w="415" w:type="pct"/>
            <w:tcBorders>
              <w:bottom w:val="single" w:sz="4" w:space="0" w:color="06357A"/>
            </w:tcBorders>
            <w:shd w:val="clear" w:color="auto" w:fill="auto"/>
            <w:vAlign w:val="bottom"/>
          </w:tcPr>
          <w:p w14:paraId="2D8E2AFC" w14:textId="77777777" w:rsidR="003A6119" w:rsidRPr="0078056B" w:rsidRDefault="003A6119" w:rsidP="000A186C">
            <w:pPr>
              <w:pStyle w:val="TableText"/>
              <w:keepNext/>
              <w:ind w:left="0"/>
              <w:jc w:val="center"/>
              <w:rPr>
                <w:color w:val="06357A"/>
                <w:sz w:val="18"/>
                <w:szCs w:val="18"/>
              </w:rPr>
            </w:pPr>
            <w:r w:rsidRPr="0078056B">
              <w:rPr>
                <w:rFonts w:cs="Calibri"/>
                <w:b/>
                <w:bCs/>
                <w:color w:val="06357A"/>
                <w:sz w:val="18"/>
                <w:szCs w:val="18"/>
              </w:rPr>
              <w:t>65</w:t>
            </w:r>
          </w:p>
        </w:tc>
        <w:tc>
          <w:tcPr>
            <w:tcW w:w="917" w:type="pct"/>
            <w:tcBorders>
              <w:bottom w:val="single" w:sz="4" w:space="0" w:color="06357A"/>
            </w:tcBorders>
            <w:shd w:val="clear" w:color="auto" w:fill="auto"/>
          </w:tcPr>
          <w:p w14:paraId="4213E2AF"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0%</w:t>
            </w:r>
          </w:p>
        </w:tc>
        <w:tc>
          <w:tcPr>
            <w:tcW w:w="917" w:type="pct"/>
            <w:tcBorders>
              <w:bottom w:val="single" w:sz="4" w:space="0" w:color="06357A"/>
            </w:tcBorders>
            <w:shd w:val="clear" w:color="auto" w:fill="auto"/>
          </w:tcPr>
          <w:p w14:paraId="0FEC24F3"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0%</w:t>
            </w:r>
          </w:p>
        </w:tc>
        <w:tc>
          <w:tcPr>
            <w:tcW w:w="917" w:type="pct"/>
            <w:tcBorders>
              <w:bottom w:val="single" w:sz="4" w:space="0" w:color="06357A"/>
            </w:tcBorders>
            <w:shd w:val="clear" w:color="auto" w:fill="auto"/>
          </w:tcPr>
          <w:p w14:paraId="71523BCA"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0%</w:t>
            </w:r>
          </w:p>
        </w:tc>
        <w:tc>
          <w:tcPr>
            <w:tcW w:w="917" w:type="pct"/>
            <w:tcBorders>
              <w:bottom w:val="single" w:sz="4" w:space="0" w:color="06357A"/>
            </w:tcBorders>
            <w:shd w:val="clear" w:color="auto" w:fill="auto"/>
          </w:tcPr>
          <w:p w14:paraId="7ACCB974"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0%</w:t>
            </w:r>
          </w:p>
        </w:tc>
        <w:tc>
          <w:tcPr>
            <w:tcW w:w="917" w:type="pct"/>
            <w:tcBorders>
              <w:bottom w:val="single" w:sz="4" w:space="0" w:color="06357A"/>
            </w:tcBorders>
            <w:shd w:val="clear" w:color="auto" w:fill="auto"/>
          </w:tcPr>
          <w:p w14:paraId="1AF387C3" w14:textId="77777777" w:rsidR="003A6119" w:rsidRPr="0078056B" w:rsidRDefault="003A6119" w:rsidP="000A186C">
            <w:pPr>
              <w:pStyle w:val="TableText"/>
              <w:keepNext/>
              <w:ind w:left="0"/>
              <w:jc w:val="center"/>
              <w:rPr>
                <w:rFonts w:asciiTheme="minorHAnsi" w:hAnsiTheme="minorHAnsi" w:cstheme="minorHAnsi"/>
                <w:sz w:val="18"/>
                <w:szCs w:val="18"/>
              </w:rPr>
            </w:pPr>
            <w:r w:rsidRPr="0078056B">
              <w:rPr>
                <w:rFonts w:asciiTheme="minorHAnsi" w:hAnsiTheme="minorHAnsi" w:cstheme="minorHAnsi"/>
                <w:sz w:val="18"/>
                <w:szCs w:val="18"/>
              </w:rPr>
              <w:t>0%</w:t>
            </w:r>
          </w:p>
        </w:tc>
      </w:tr>
    </w:tbl>
    <w:p w14:paraId="5F472F94" w14:textId="77777777" w:rsidR="003A6119" w:rsidRPr="0078056B" w:rsidRDefault="003A6119" w:rsidP="003A6119">
      <w:pPr>
        <w:keepNext/>
        <w:spacing w:before="0" w:after="0"/>
        <w:jc w:val="left"/>
        <w:rPr>
          <w:sz w:val="16"/>
        </w:rPr>
      </w:pPr>
      <w:r w:rsidRPr="0078056B">
        <w:rPr>
          <w:sz w:val="16"/>
        </w:rPr>
        <w:t>Note: Shaded areas indicate relevant average graduation age per full-time / part-time student at each level of study at the University of Birmingham:</w:t>
      </w:r>
    </w:p>
    <w:p w14:paraId="48F93009" w14:textId="77777777" w:rsidR="003A6119" w:rsidRPr="0078056B" w:rsidRDefault="003A6119" w:rsidP="003A6119">
      <w:pPr>
        <w:keepNext/>
        <w:spacing w:before="0" w:after="0"/>
        <w:jc w:val="left"/>
        <w:rPr>
          <w:sz w:val="16"/>
        </w:rPr>
      </w:pPr>
      <w:r w:rsidRPr="0078056B">
        <w:rPr>
          <w:noProof/>
          <w:sz w:val="16"/>
          <w:lang w:eastAsia="en-GB"/>
        </w:rPr>
        <mc:AlternateContent>
          <mc:Choice Requires="wps">
            <w:drawing>
              <wp:inline distT="0" distB="0" distL="0" distR="0" wp14:anchorId="53554CE6" wp14:editId="0A73FE68">
                <wp:extent cx="120650" cy="107950"/>
                <wp:effectExtent l="0" t="0" r="0" b="6350"/>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07950"/>
                        </a:xfrm>
                        <a:prstGeom prst="rect">
                          <a:avLst/>
                        </a:prstGeom>
                        <a:solidFill>
                          <a:schemeClr val="tx2"/>
                        </a:solidFill>
                        <a:ln>
                          <a:noFill/>
                        </a:ln>
                      </wps:spPr>
                      <wps:bodyPr rot="0" vert="horz" wrap="square" lIns="91440" tIns="45720" rIns="91440" bIns="45720" anchor="ctr" anchorCtr="0" upright="1">
                        <a:noAutofit/>
                      </wps:bodyPr>
                    </wps:wsp>
                  </a:graphicData>
                </a:graphic>
              </wp:inline>
            </w:drawing>
          </mc:Choice>
          <mc:Fallback xmlns:w16du="http://schemas.microsoft.com/office/word/2023/wordml/word16du">
            <w:pict>
              <v:rect w14:anchorId="5D1FE452" id="Rectangle 88" o:spid="_x0000_s1026" style="width:9.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Dl5AEAALUDAAAOAAAAZHJzL2Uyb0RvYy54bWysU9tu2zAMfR+wfxD0vtgO0nY14hRFig4D&#10;ugvQ7QMUWY6FyaJGKnGyrx8lp2mwvQ17EUSROuQ5OlreHQYn9gbJgm9kNSulMF5Da/22kd+/Pb57&#10;LwVF5VvlwJtGHg3Ju9XbN8sx1GYOPbjWoGAQT/UYGtnHGOqiIN2bQdEMgvGc7AAHFTnEbdGiGhl9&#10;cMW8LK+LEbANCNoQ8enDlJSrjN91RscvXUcmCtdIni3mFfO6SWuxWqp6iyr0Vp/GUP8wxaCs56Zn&#10;qAcVldih/QtqsBqBoIszDUMBXWe1yRyYTVX+wea5V8FkLiwOhbNM9P9g9ef9c/iKaXQKT6B/kPCw&#10;7pXfmntEGHujWm5XJaGKMVB9vpAC4qtiM36Clp9W7SJkDQ4dDgmQ2YlDlvp4ltocotB8WM3L6yt+&#10;EM2pqry55X3qoOqXywEpfjAwiLRpJPJLZnC1f6I4lb6U5OHB2fbROpeD5B6zdij2it89HuYncLqs&#10;cj7Veki3JsB0kkkmXslCVG+gPTJHhMk57HTe9IC/pBjZNY2knzuFRgr30bNOt9VikWyWg8XVzZwD&#10;vMxsLjPKa4ZqpI4oxRSs42TOXUC77blXlVl7uGd1O5uZv851Gpe9kbU7+TiZ7zLOVa+/bfUbAAD/&#10;/wMAUEsDBBQABgAIAAAAIQAhigcP1wAAAAMBAAAPAAAAZHJzL2Rvd25yZXYueG1sTI/NTsMwEITv&#10;SLyDtUjcqAOV+EnjVFCEkOgFAg+wjbdxRLwOttuGt2fLBS67Gs1q9ptqOflB7SmmPrCBy1kBirgN&#10;tufOwMf708UtqJSRLQ6BycA3JVjWpycVljYc+I32Te6UhHAq0YDLeSy1Tq0jj2kWRmLxtiF6zCJj&#10;p23Eg4T7QV8VxbX22LN8cDjSylH72ey8gbVFfHmYr+a8buMzPbr+tf9qjDk/m+4XoDJN+e8YjviC&#10;DrUwbcKObVKDASmSf+fRuxO1kX1TgK4r/Z+9/gEAAP//AwBQSwECLQAUAAYACAAAACEAtoM4kv4A&#10;AADhAQAAEwAAAAAAAAAAAAAAAAAAAAAAW0NvbnRlbnRfVHlwZXNdLnhtbFBLAQItABQABgAIAAAA&#10;IQA4/SH/1gAAAJQBAAALAAAAAAAAAAAAAAAAAC8BAABfcmVscy8ucmVsc1BLAQItABQABgAIAAAA&#10;IQBSyHDl5AEAALUDAAAOAAAAAAAAAAAAAAAAAC4CAABkcnMvZTJvRG9jLnhtbFBLAQItABQABgAI&#10;AAAAIQAhigcP1wAAAAMBAAAPAAAAAAAAAAAAAAAAAD4EAABkcnMvZG93bnJldi54bWxQSwUGAAAA&#10;AAQABADzAAAAQgUAAAAA&#10;" fillcolor="#06357a [3215]" stroked="f">
                <w10:anchorlock/>
              </v:rect>
            </w:pict>
          </mc:Fallback>
        </mc:AlternateContent>
      </w:r>
      <w:r w:rsidRPr="0078056B">
        <w:rPr>
          <w:sz w:val="16"/>
        </w:rPr>
        <w:t xml:space="preserve">  Full-time students  </w:t>
      </w:r>
      <w:r w:rsidRPr="0078056B">
        <w:rPr>
          <w:noProof/>
          <w:sz w:val="16"/>
          <w:lang w:eastAsia="en-GB"/>
        </w:rPr>
        <mc:AlternateContent>
          <mc:Choice Requires="wps">
            <w:drawing>
              <wp:inline distT="0" distB="0" distL="0" distR="0" wp14:anchorId="1EF39002" wp14:editId="00E8675C">
                <wp:extent cx="120650" cy="107950"/>
                <wp:effectExtent l="0" t="0" r="0" b="6350"/>
                <wp:docPr id="1048"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 cy="107950"/>
                        </a:xfrm>
                        <a:prstGeom prst="rect">
                          <a:avLst/>
                        </a:prstGeom>
                        <a:solidFill>
                          <a:srgbClr val="0B5ED7"/>
                        </a:solidFill>
                        <a:ln>
                          <a:noFill/>
                        </a:ln>
                      </wps:spPr>
                      <wps:bodyPr rot="0" vert="horz" wrap="square" lIns="91440" tIns="45720" rIns="91440" bIns="45720" anchor="ctr" anchorCtr="0" upright="1">
                        <a:noAutofit/>
                      </wps:bodyPr>
                    </wps:wsp>
                  </a:graphicData>
                </a:graphic>
              </wp:inline>
            </w:drawing>
          </mc:Choice>
          <mc:Fallback xmlns:w16du="http://schemas.microsoft.com/office/word/2023/wordml/word16du">
            <w:pict>
              <v:rect w14:anchorId="123EE309" id="Rectangle 1048" o:spid="_x0000_s1026" style="width:9.5pt;height: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9vg5wEAALYDAAAOAAAAZHJzL2Uyb0RvYy54bWysU9uO2yAQfa/Uf0C8N7ajZNO14qy2Sbeq&#10;tL1I234AxthGxQwdSJz06zvgbDZq36q+IIYZzsw5HNZ3x8Gwg0KvwVa8mOWcKSuh0bar+PdvD2/e&#10;cuaDsI0wYFXFT8rzu83rV+vRlWoOPZhGISMQ68vRVbwPwZVZ5mWvBuFn4JSlZAs4iEAhdlmDYiT0&#10;wWTzPL/JRsDGIUjlPZ3upiTfJPy2VTJ8aVuvAjMVp9lCWjGtdVyzzVqUHQrXa3keQ/zDFIPQlppe&#10;oHYiCLZH/RfUoCWChzbMJAwZtK2WKnEgNkX+B5unXjiVuJA43l1k8v8PVn4+PLmvGEf37hHkD88s&#10;bHthO3WPCGOvREPtiihUNjpfXi7EwNNVVo+foKGnFfsASYNji0MEJHbsmKQ+XaRWx8AkHRbz/GZJ&#10;DyIpVeSrW9rHDqJ8vuzQhw8KBhY3FUd6yQQuDo8+TKXPJWl4MLp50MakALt6a5AdRHz1d8v3u9UZ&#10;3V+XGRuLLcRrE2I8SSwjseghX9bQnIgkwmQdsjptesBfnI1km4r7n3uBijPz0ZJQt8ViEX2WgsVy&#10;NacArzP1dUZYSVAVlwE5m4JtmNy5d6i7nnoVibaFe5K31Yn6y1zncckcSbyzkaP7ruNU9fLdNr8B&#10;AAD//wMAUEsDBBQABgAIAAAAIQBwWXAC2AAAAAMBAAAPAAAAZHJzL2Rvd25yZXYueG1sTI/NTsMw&#10;EITvSH0Haytxo04RKiTEqaqKHitBy4WbG2+TtPE6sp0f3p4tF7jsajSr2W/y9WRbMaAPjSMFy0UC&#10;Aql0pqFKwedx9/ACIkRNRreOUME3BlgXs7tcZ8aN9IHDIVaCQyhkWkEdY5dJGcoarQ4L1yGxd3be&#10;6sjSV9J4PXK4beVjkqyk1Q3xh1p3uK2xvB56q2CsNl/l1O/fx/PuIp/2q9S/DalS9/Np8woi4hT/&#10;juGGz+hQMNPJ9WSCaBVwkfg7b17K6sT7OQFZ5PI/e/EDAAD//wMAUEsBAi0AFAAGAAgAAAAhALaD&#10;OJL+AAAA4QEAABMAAAAAAAAAAAAAAAAAAAAAAFtDb250ZW50X1R5cGVzXS54bWxQSwECLQAUAAYA&#10;CAAAACEAOP0h/9YAAACUAQAACwAAAAAAAAAAAAAAAAAvAQAAX3JlbHMvLnJlbHNQSwECLQAUAAYA&#10;CAAAACEA+kvb4OcBAAC2AwAADgAAAAAAAAAAAAAAAAAuAgAAZHJzL2Uyb0RvYy54bWxQSwECLQAU&#10;AAYACAAAACEAcFlwAtgAAAADAQAADwAAAAAAAAAAAAAAAABBBAAAZHJzL2Rvd25yZXYueG1sUEsF&#10;BgAAAAAEAAQA8wAAAEYFAAAAAA==&#10;" fillcolor="#0b5ed7" stroked="f">
                <w10:anchorlock/>
              </v:rect>
            </w:pict>
          </mc:Fallback>
        </mc:AlternateContent>
      </w:r>
      <w:r w:rsidRPr="0078056B">
        <w:rPr>
          <w:sz w:val="16"/>
        </w:rPr>
        <w:t xml:space="preserve">  Part-time students  </w:t>
      </w:r>
    </w:p>
    <w:p w14:paraId="1AB498FF" w14:textId="77777777" w:rsidR="003A6119" w:rsidRPr="0078056B" w:rsidRDefault="003A6119" w:rsidP="003A6119">
      <w:pPr>
        <w:spacing w:before="0" w:after="0"/>
        <w:jc w:val="left"/>
        <w:rPr>
          <w:b/>
          <w:i/>
          <w:sz w:val="16"/>
        </w:rPr>
      </w:pPr>
      <w:r w:rsidRPr="0078056B">
        <w:rPr>
          <w:b/>
          <w:i/>
          <w:sz w:val="16"/>
        </w:rPr>
        <w:t>Source: London Economics' analysis based on University of Birmingham HESA data</w:t>
      </w:r>
    </w:p>
    <w:p w14:paraId="1D5E2C4E" w14:textId="77777777" w:rsidR="003A6119" w:rsidRPr="0078056B" w:rsidRDefault="003A6119" w:rsidP="003A6119"/>
    <w:p w14:paraId="40D6729E" w14:textId="77777777" w:rsidR="003A6119" w:rsidRPr="0078056B" w:rsidRDefault="003A6119" w:rsidP="003A6119">
      <w:pPr>
        <w:pStyle w:val="AnnexHeading3"/>
      </w:pPr>
      <w:bookmarkStart w:id="514" w:name="_Ref143861775"/>
      <w:r w:rsidRPr="0078056B">
        <w:lastRenderedPageBreak/>
        <w:t>Estimating the gross graduate premium and gross public purse benefit</w:t>
      </w:r>
      <w:bookmarkEnd w:id="514"/>
    </w:p>
    <w:p w14:paraId="7DF7FFC5" w14:textId="65EAF4FE" w:rsidR="003A6119" w:rsidRPr="0078056B" w:rsidRDefault="003A6119" w:rsidP="003A6119">
      <w:pPr>
        <w:spacing w:before="0"/>
        <w:rPr>
          <w:rFonts w:asciiTheme="minorHAnsi" w:hAnsiTheme="minorHAnsi" w:cs="Calibri"/>
        </w:rPr>
      </w:pPr>
      <w:r w:rsidRPr="0078056B">
        <w:rPr>
          <w:rFonts w:asciiTheme="minorHAnsi" w:hAnsiTheme="minorHAnsi"/>
        </w:rPr>
        <w:t xml:space="preserve">The gross graduate premium associated with qualification attainment is defined as the </w:t>
      </w:r>
      <w:r w:rsidRPr="0078056B">
        <w:rPr>
          <w:rFonts w:asciiTheme="minorHAnsi" w:hAnsiTheme="minorHAnsi"/>
          <w:b/>
          <w:color w:val="06357A"/>
        </w:rPr>
        <w:t>present value</w:t>
      </w:r>
      <w:r w:rsidRPr="0078056B">
        <w:rPr>
          <w:rFonts w:asciiTheme="minorHAnsi" w:hAnsiTheme="minorHAnsi"/>
          <w:color w:val="06357A"/>
        </w:rPr>
        <w:t xml:space="preserve"> </w:t>
      </w:r>
      <w:r w:rsidRPr="0078056B">
        <w:rPr>
          <w:rFonts w:asciiTheme="minorHAnsi" w:hAnsiTheme="minorHAnsi"/>
          <w:b/>
          <w:bCs/>
          <w:color w:val="06357A"/>
        </w:rPr>
        <w:t>of</w:t>
      </w:r>
      <w:r w:rsidRPr="0078056B">
        <w:rPr>
          <w:rFonts w:asciiTheme="minorHAnsi" w:hAnsiTheme="minorHAnsi"/>
          <w:color w:val="06357A"/>
        </w:rPr>
        <w:t xml:space="preserve"> </w:t>
      </w:r>
      <w:r w:rsidRPr="0078056B">
        <w:rPr>
          <w:rFonts w:asciiTheme="minorHAnsi" w:hAnsiTheme="minorHAnsi"/>
          <w:b/>
          <w:color w:val="06357A"/>
        </w:rPr>
        <w:t>enhanced post-tax earnings</w:t>
      </w:r>
      <w:r w:rsidRPr="0078056B">
        <w:rPr>
          <w:rFonts w:asciiTheme="minorHAnsi" w:hAnsiTheme="minorHAnsi"/>
          <w:color w:val="0B5ED7" w:themeColor="accent2"/>
        </w:rPr>
        <w:t xml:space="preserve"> </w:t>
      </w:r>
      <w:r w:rsidRPr="0078056B">
        <w:rPr>
          <w:rFonts w:asciiTheme="minorHAnsi" w:hAnsiTheme="minorHAnsi"/>
        </w:rPr>
        <w:t xml:space="preserve">(i.e. after income tax, National Insurance and VAT are removed, and following the deduction of foregone earnings) relative to an individual in possession of the counterfactual qualification. </w:t>
      </w:r>
      <w:r w:rsidRPr="0078056B">
        <w:rPr>
          <w:rFonts w:asciiTheme="minorHAnsi" w:hAnsiTheme="minorHAnsi" w:cs="Calibri"/>
        </w:rPr>
        <w:t xml:space="preserve">To estimate the value of the </w:t>
      </w:r>
      <w:r w:rsidRPr="0078056B">
        <w:rPr>
          <w:rFonts w:asciiTheme="minorHAnsi" w:hAnsiTheme="minorHAnsi"/>
        </w:rPr>
        <w:t>gross graduate premium</w:t>
      </w:r>
      <w:r w:rsidRPr="0078056B">
        <w:rPr>
          <w:rFonts w:asciiTheme="minorHAnsi" w:hAnsiTheme="minorHAnsi" w:cs="Calibri"/>
        </w:rPr>
        <w:t xml:space="preserve">, it is necessary to extend the econometric analysis (presented in Annex </w:t>
      </w:r>
      <w:r w:rsidRPr="0078056B">
        <w:rPr>
          <w:rFonts w:asciiTheme="minorHAnsi" w:hAnsiTheme="minorHAnsi" w:cs="Calibri"/>
        </w:rPr>
        <w:fldChar w:fldCharType="begin"/>
      </w:r>
      <w:r w:rsidRPr="0078056B">
        <w:rPr>
          <w:rFonts w:asciiTheme="minorHAnsi" w:hAnsiTheme="minorHAnsi" w:cs="Calibri"/>
        </w:rPr>
        <w:instrText xml:space="preserve"> REF _Ref525656922 \r \h </w:instrText>
      </w:r>
      <w:r w:rsidR="0078056B">
        <w:rPr>
          <w:rFonts w:asciiTheme="minorHAnsi" w:hAnsiTheme="minorHAnsi" w:cs="Calibri"/>
        </w:rPr>
        <w:instrText xml:space="preserve"> \* MERGEFORMAT </w:instrText>
      </w:r>
      <w:r w:rsidRPr="0078056B">
        <w:rPr>
          <w:rFonts w:asciiTheme="minorHAnsi" w:hAnsiTheme="minorHAnsi" w:cs="Calibri"/>
        </w:rPr>
      </w:r>
      <w:r w:rsidRPr="0078056B">
        <w:rPr>
          <w:rFonts w:asciiTheme="minorHAnsi" w:hAnsiTheme="minorHAnsi" w:cs="Calibri"/>
        </w:rPr>
        <w:fldChar w:fldCharType="separate"/>
      </w:r>
      <w:r w:rsidR="00E33157">
        <w:rPr>
          <w:rFonts w:asciiTheme="minorHAnsi" w:hAnsiTheme="minorHAnsi" w:cs="Calibri"/>
        </w:rPr>
        <w:t>A2.3.4</w:t>
      </w:r>
      <w:r w:rsidRPr="0078056B">
        <w:rPr>
          <w:rFonts w:asciiTheme="minorHAnsi" w:hAnsiTheme="minorHAnsi" w:cs="Calibri"/>
        </w:rPr>
        <w:fldChar w:fldCharType="end"/>
      </w:r>
      <w:r w:rsidRPr="0078056B">
        <w:t>)</w:t>
      </w:r>
      <w:r w:rsidRPr="0078056B">
        <w:rPr>
          <w:rFonts w:asciiTheme="minorHAnsi" w:hAnsiTheme="minorHAnsi" w:cs="Calibri"/>
        </w:rPr>
        <w:t xml:space="preserve"> by undertaking the following elements of analysis (separately by qualification level, gender, and study mode):</w:t>
      </w:r>
    </w:p>
    <w:p w14:paraId="2E1C29BF" w14:textId="77777777" w:rsidR="003A6119" w:rsidRPr="0078056B" w:rsidRDefault="003A6119" w:rsidP="003A6119">
      <w:pPr>
        <w:pStyle w:val="ListParagraph"/>
        <w:numPr>
          <w:ilvl w:val="0"/>
          <w:numId w:val="30"/>
        </w:numPr>
        <w:tabs>
          <w:tab w:val="left" w:pos="8505"/>
        </w:tabs>
        <w:spacing w:before="80" w:after="80"/>
        <w:ind w:left="709" w:right="342" w:hanging="425"/>
        <w:rPr>
          <w:rFonts w:asciiTheme="minorHAnsi" w:hAnsiTheme="minorHAnsi" w:cs="Calibri"/>
        </w:rPr>
      </w:pPr>
      <w:r w:rsidRPr="0078056B">
        <w:rPr>
          <w:rFonts w:asciiTheme="minorHAnsi" w:hAnsiTheme="minorHAnsi" w:cs="Calibri"/>
        </w:rPr>
        <w:t xml:space="preserve">We estimated the employment-adjusted </w:t>
      </w:r>
      <w:r w:rsidRPr="0078056B">
        <w:rPr>
          <w:rFonts w:asciiTheme="minorHAnsi" w:hAnsiTheme="minorHAnsi"/>
          <w:b/>
          <w:color w:val="06357A"/>
        </w:rPr>
        <w:t>annual earnings</w:t>
      </w:r>
      <w:r w:rsidRPr="0078056B">
        <w:rPr>
          <w:rFonts w:asciiTheme="minorHAnsi" w:hAnsiTheme="minorHAnsi" w:cs="Calibri"/>
          <w:color w:val="0B5ED7" w:themeColor="accent2"/>
        </w:rPr>
        <w:t xml:space="preserve"> </w:t>
      </w:r>
      <w:r w:rsidRPr="0078056B">
        <w:rPr>
          <w:rFonts w:asciiTheme="minorHAnsi" w:hAnsiTheme="minorHAnsi" w:cs="Calibri"/>
        </w:rPr>
        <w:t xml:space="preserve">achieved by individuals in the counterfactual groups (e.g., RQF Level 3 qualifications or first degrees). </w:t>
      </w:r>
    </w:p>
    <w:p w14:paraId="097A3D90" w14:textId="51293D3A" w:rsidR="003A6119" w:rsidRPr="0078056B" w:rsidRDefault="003A6119" w:rsidP="003A6119">
      <w:pPr>
        <w:pStyle w:val="ListParagraph"/>
        <w:numPr>
          <w:ilvl w:val="0"/>
          <w:numId w:val="30"/>
        </w:numPr>
        <w:tabs>
          <w:tab w:val="left" w:pos="8505"/>
        </w:tabs>
        <w:spacing w:before="80" w:after="80"/>
        <w:ind w:left="709" w:right="342" w:hanging="425"/>
        <w:rPr>
          <w:rFonts w:asciiTheme="minorHAnsi" w:hAnsiTheme="minorHAnsi" w:cs="Calibri"/>
        </w:rPr>
      </w:pPr>
      <w:r w:rsidRPr="0078056B">
        <w:rPr>
          <w:rFonts w:asciiTheme="minorHAnsi" w:hAnsiTheme="minorHAnsi" w:cs="Calibri"/>
        </w:rPr>
        <w:t xml:space="preserve">We inflated these baseline or counterfactual earnings using the marginal earnings premiums and employment premiums (presented in </w:t>
      </w:r>
      <w:r w:rsidR="000E28FA" w:rsidRPr="0078056B">
        <w:rPr>
          <w:rFonts w:asciiTheme="minorHAnsi" w:hAnsiTheme="minorHAnsi" w:cs="Calibri"/>
        </w:rPr>
        <w:fldChar w:fldCharType="begin"/>
      </w:r>
      <w:r w:rsidR="000E28FA" w:rsidRPr="0078056B">
        <w:rPr>
          <w:rFonts w:asciiTheme="minorHAnsi" w:hAnsiTheme="minorHAnsi" w:cs="Calibri"/>
        </w:rPr>
        <w:instrText xml:space="preserve"> REF _Ref161751090 \r \h  \* MERGEFORMAT </w:instrText>
      </w:r>
      <w:r w:rsidR="000E28FA" w:rsidRPr="0078056B">
        <w:rPr>
          <w:rFonts w:asciiTheme="minorHAnsi" w:hAnsiTheme="minorHAnsi" w:cs="Calibri"/>
        </w:rPr>
      </w:r>
      <w:r w:rsidR="000E28FA" w:rsidRPr="0078056B">
        <w:rPr>
          <w:rFonts w:asciiTheme="minorHAnsi" w:hAnsiTheme="minorHAnsi" w:cs="Calibri"/>
        </w:rPr>
        <w:fldChar w:fldCharType="separate"/>
      </w:r>
      <w:r w:rsidR="00E33157">
        <w:rPr>
          <w:rFonts w:asciiTheme="minorHAnsi" w:hAnsiTheme="minorHAnsi" w:cs="Calibri"/>
        </w:rPr>
        <w:t>Table 17</w:t>
      </w:r>
      <w:r w:rsidR="000E28FA" w:rsidRPr="0078056B">
        <w:rPr>
          <w:rFonts w:asciiTheme="minorHAnsi" w:hAnsiTheme="minorHAnsi" w:cs="Calibri"/>
        </w:rPr>
        <w:fldChar w:fldCharType="end"/>
      </w:r>
      <w:r w:rsidRPr="0078056B">
        <w:rPr>
          <w:rFonts w:asciiTheme="minorHAnsi" w:hAnsiTheme="minorHAnsi" w:cs="Calibri"/>
        </w:rPr>
        <w:t xml:space="preserve"> and </w:t>
      </w:r>
      <w:r w:rsidR="000E28FA" w:rsidRPr="0078056B">
        <w:rPr>
          <w:rFonts w:asciiTheme="minorHAnsi" w:hAnsiTheme="minorHAnsi" w:cs="Calibri"/>
        </w:rPr>
        <w:fldChar w:fldCharType="begin"/>
      </w:r>
      <w:r w:rsidR="000E28FA" w:rsidRPr="0078056B">
        <w:rPr>
          <w:rFonts w:asciiTheme="minorHAnsi" w:hAnsiTheme="minorHAnsi" w:cs="Calibri"/>
        </w:rPr>
        <w:instrText xml:space="preserve"> REF _Ref161751052 \r \h  \* MERGEFORMAT </w:instrText>
      </w:r>
      <w:r w:rsidR="000E28FA" w:rsidRPr="0078056B">
        <w:rPr>
          <w:rFonts w:asciiTheme="minorHAnsi" w:hAnsiTheme="minorHAnsi" w:cs="Calibri"/>
        </w:rPr>
      </w:r>
      <w:r w:rsidR="000E28FA" w:rsidRPr="0078056B">
        <w:rPr>
          <w:rFonts w:asciiTheme="minorHAnsi" w:hAnsiTheme="minorHAnsi" w:cs="Calibri"/>
        </w:rPr>
        <w:fldChar w:fldCharType="separate"/>
      </w:r>
      <w:r w:rsidR="00E33157">
        <w:rPr>
          <w:rFonts w:asciiTheme="minorHAnsi" w:hAnsiTheme="minorHAnsi" w:cs="Calibri"/>
        </w:rPr>
        <w:t>Table 18</w:t>
      </w:r>
      <w:r w:rsidR="000E28FA" w:rsidRPr="0078056B">
        <w:rPr>
          <w:rFonts w:asciiTheme="minorHAnsi" w:hAnsiTheme="minorHAnsi" w:cs="Calibri"/>
        </w:rPr>
        <w:fldChar w:fldCharType="end"/>
      </w:r>
      <w:r w:rsidRPr="0078056B">
        <w:rPr>
          <w:rFonts w:asciiTheme="minorHAnsi" w:hAnsiTheme="minorHAnsi" w:cs="Calibri"/>
        </w:rPr>
        <w:t xml:space="preserve"> in Annex </w:t>
      </w:r>
      <w:r w:rsidRPr="0078056B">
        <w:rPr>
          <w:rFonts w:asciiTheme="minorHAnsi" w:hAnsiTheme="minorHAnsi" w:cs="Calibri"/>
        </w:rPr>
        <w:fldChar w:fldCharType="begin"/>
      </w:r>
      <w:r w:rsidRPr="0078056B">
        <w:rPr>
          <w:rFonts w:asciiTheme="minorHAnsi" w:hAnsiTheme="minorHAnsi" w:cs="Calibri"/>
        </w:rPr>
        <w:instrText xml:space="preserve"> REF _Ref525656922 \r \h </w:instrText>
      </w:r>
      <w:r w:rsidR="0078056B">
        <w:rPr>
          <w:rFonts w:asciiTheme="minorHAnsi" w:hAnsiTheme="minorHAnsi" w:cs="Calibri"/>
        </w:rPr>
        <w:instrText xml:space="preserve"> \* MERGEFORMAT </w:instrText>
      </w:r>
      <w:r w:rsidRPr="0078056B">
        <w:rPr>
          <w:rFonts w:asciiTheme="minorHAnsi" w:hAnsiTheme="minorHAnsi" w:cs="Calibri"/>
        </w:rPr>
      </w:r>
      <w:r w:rsidRPr="0078056B">
        <w:rPr>
          <w:rFonts w:asciiTheme="minorHAnsi" w:hAnsiTheme="minorHAnsi" w:cs="Calibri"/>
        </w:rPr>
        <w:fldChar w:fldCharType="separate"/>
      </w:r>
      <w:r w:rsidR="00E33157">
        <w:rPr>
          <w:rFonts w:asciiTheme="minorHAnsi" w:hAnsiTheme="minorHAnsi" w:cs="Calibri"/>
        </w:rPr>
        <w:t>A2.3.4</w:t>
      </w:r>
      <w:r w:rsidRPr="0078056B">
        <w:rPr>
          <w:rFonts w:asciiTheme="minorHAnsi" w:hAnsiTheme="minorHAnsi" w:cs="Calibri"/>
        </w:rPr>
        <w:fldChar w:fldCharType="end"/>
      </w:r>
      <w:r w:rsidRPr="0078056B">
        <w:rPr>
          <w:rFonts w:asciiTheme="minorHAnsi" w:hAnsiTheme="minorHAnsi" w:cs="Calibri"/>
        </w:rPr>
        <w:t xml:space="preserve">), adjusted to reflect late attainment (as outlined in Annex </w:t>
      </w:r>
      <w:r w:rsidRPr="0078056B">
        <w:rPr>
          <w:rFonts w:asciiTheme="minorHAnsi" w:hAnsiTheme="minorHAnsi" w:cs="Calibri"/>
        </w:rPr>
        <w:fldChar w:fldCharType="begin"/>
      </w:r>
      <w:r w:rsidRPr="0078056B">
        <w:rPr>
          <w:rFonts w:asciiTheme="minorHAnsi" w:hAnsiTheme="minorHAnsi" w:cs="Calibri"/>
        </w:rPr>
        <w:instrText xml:space="preserve"> REF _Ref143860198 \r \h </w:instrText>
      </w:r>
      <w:r w:rsidR="0078056B">
        <w:rPr>
          <w:rFonts w:asciiTheme="minorHAnsi" w:hAnsiTheme="minorHAnsi" w:cs="Calibri"/>
        </w:rPr>
        <w:instrText xml:space="preserve"> \* MERGEFORMAT </w:instrText>
      </w:r>
      <w:r w:rsidRPr="0078056B">
        <w:rPr>
          <w:rFonts w:asciiTheme="minorHAnsi" w:hAnsiTheme="minorHAnsi" w:cs="Calibri"/>
        </w:rPr>
      </w:r>
      <w:r w:rsidRPr="0078056B">
        <w:rPr>
          <w:rFonts w:asciiTheme="minorHAnsi" w:hAnsiTheme="minorHAnsi" w:cs="Calibri"/>
        </w:rPr>
        <w:fldChar w:fldCharType="separate"/>
      </w:r>
      <w:r w:rsidR="00E33157">
        <w:rPr>
          <w:rFonts w:asciiTheme="minorHAnsi" w:hAnsiTheme="minorHAnsi" w:cs="Calibri"/>
        </w:rPr>
        <w:t>A2.3.5</w:t>
      </w:r>
      <w:r w:rsidRPr="0078056B">
        <w:rPr>
          <w:rFonts w:asciiTheme="minorHAnsi" w:hAnsiTheme="minorHAnsi" w:cs="Calibri"/>
        </w:rPr>
        <w:fldChar w:fldCharType="end"/>
      </w:r>
      <w:r w:rsidRPr="0078056B">
        <w:rPr>
          <w:rFonts w:asciiTheme="minorHAnsi" w:hAnsiTheme="minorHAnsi" w:cs="Calibri"/>
        </w:rPr>
        <w:t xml:space="preserve">), to produce </w:t>
      </w:r>
      <w:r w:rsidRPr="0078056B">
        <w:rPr>
          <w:rFonts w:asciiTheme="minorHAnsi" w:hAnsiTheme="minorHAnsi"/>
          <w:b/>
          <w:color w:val="06357A"/>
        </w:rPr>
        <w:t>annual age-earnings</w:t>
      </w:r>
      <w:r w:rsidRPr="0078056B">
        <w:rPr>
          <w:rFonts w:asciiTheme="minorHAnsi" w:hAnsiTheme="minorHAnsi" w:cs="Calibri"/>
          <w:color w:val="0B5ED7" w:themeColor="accent2"/>
        </w:rPr>
        <w:t xml:space="preserve"> </w:t>
      </w:r>
      <w:r w:rsidRPr="0078056B">
        <w:rPr>
          <w:rFonts w:asciiTheme="minorHAnsi" w:hAnsiTheme="minorHAnsi" w:cs="Calibri"/>
        </w:rPr>
        <w:t xml:space="preserve">profiles associated with the possession of each particular qualification. </w:t>
      </w:r>
    </w:p>
    <w:p w14:paraId="31986121" w14:textId="77777777" w:rsidR="003A6119" w:rsidRPr="0078056B" w:rsidRDefault="003A6119" w:rsidP="003A6119">
      <w:pPr>
        <w:pStyle w:val="ListParagraph"/>
        <w:numPr>
          <w:ilvl w:val="0"/>
          <w:numId w:val="30"/>
        </w:numPr>
        <w:tabs>
          <w:tab w:val="left" w:pos="8505"/>
        </w:tabs>
        <w:spacing w:before="120" w:after="120"/>
        <w:ind w:left="709" w:right="342" w:hanging="425"/>
        <w:rPr>
          <w:rFonts w:asciiTheme="minorHAnsi" w:hAnsiTheme="minorHAnsi" w:cs="Calibri"/>
        </w:rPr>
      </w:pPr>
      <w:r w:rsidRPr="0078056B">
        <w:rPr>
          <w:rFonts w:asciiTheme="minorHAnsi" w:hAnsiTheme="minorHAnsi" w:cs="Calibri"/>
        </w:rPr>
        <w:t xml:space="preserve">We adjusted these age-earnings profiles to account for the fact that earnings would be expected to increase in real terms over time (at an assumed rate of </w:t>
      </w:r>
      <w:r w:rsidRPr="0078056B">
        <w:rPr>
          <w:rFonts w:asciiTheme="minorHAnsi" w:hAnsiTheme="minorHAnsi"/>
          <w:b/>
          <w:color w:val="06357A"/>
        </w:rPr>
        <w:t>1.5%</w:t>
      </w:r>
      <w:r w:rsidRPr="0078056B">
        <w:rPr>
          <w:rFonts w:asciiTheme="minorHAnsi" w:hAnsiTheme="minorHAnsi" w:cs="Calibri"/>
          <w:color w:val="0B5ED7" w:themeColor="accent2"/>
        </w:rPr>
        <w:t xml:space="preserve"> </w:t>
      </w:r>
      <w:r w:rsidRPr="0078056B">
        <w:rPr>
          <w:rFonts w:asciiTheme="minorHAnsi" w:hAnsiTheme="minorHAnsi" w:cs="Calibri"/>
        </w:rPr>
        <w:t>per annum (based on average earnings growth rate forecasts estimated by the Office for Budget Responsibility (2023a and 2023b)</w:t>
      </w:r>
      <w:r w:rsidRPr="0078056B">
        <w:rPr>
          <w:rStyle w:val="FootnoteReference"/>
          <w:rFonts w:asciiTheme="minorHAnsi" w:hAnsiTheme="minorHAnsi" w:cs="Calibri"/>
        </w:rPr>
        <w:footnoteReference w:id="126"/>
      </w:r>
      <w:r w:rsidRPr="0078056B">
        <w:rPr>
          <w:rFonts w:asciiTheme="minorHAnsi" w:hAnsiTheme="minorHAnsi" w:cs="Calibri"/>
        </w:rPr>
        <w:t>).</w:t>
      </w:r>
    </w:p>
    <w:p w14:paraId="3DD30216" w14:textId="77777777" w:rsidR="003A6119" w:rsidRPr="0078056B" w:rsidRDefault="003A6119" w:rsidP="003A6119">
      <w:pPr>
        <w:pStyle w:val="ListParagraph"/>
        <w:numPr>
          <w:ilvl w:val="0"/>
          <w:numId w:val="30"/>
        </w:numPr>
        <w:tabs>
          <w:tab w:val="left" w:pos="8505"/>
        </w:tabs>
        <w:spacing w:before="120" w:after="120"/>
        <w:ind w:left="709" w:right="342" w:hanging="425"/>
        <w:rPr>
          <w:rFonts w:asciiTheme="minorHAnsi" w:hAnsiTheme="minorHAnsi"/>
        </w:rPr>
      </w:pPr>
      <w:r w:rsidRPr="0078056B">
        <w:rPr>
          <w:rFonts w:asciiTheme="minorHAnsi" w:hAnsiTheme="minorHAnsi"/>
        </w:rPr>
        <w:t>Based on the earnings profiles generated by qualification holders, and income tax and National Insurance rates and allowances for the relevant academic year</w:t>
      </w:r>
      <w:r w:rsidRPr="0078056B">
        <w:rPr>
          <w:rStyle w:val="FootnoteReference"/>
          <w:rFonts w:asciiTheme="minorHAnsi" w:hAnsiTheme="minorHAnsi"/>
        </w:rPr>
        <w:footnoteReference w:id="127"/>
      </w:r>
      <w:r w:rsidRPr="0078056B">
        <w:rPr>
          <w:rFonts w:asciiTheme="minorHAnsi" w:hAnsiTheme="minorHAnsi"/>
        </w:rPr>
        <w:t>, we computed the future stream of net earnings (i.e. post-tax)</w:t>
      </w:r>
      <w:r w:rsidRPr="0078056B">
        <w:rPr>
          <w:rStyle w:val="FootnoteReference"/>
          <w:rFonts w:asciiTheme="minorHAnsi" w:hAnsiTheme="minorHAnsi"/>
        </w:rPr>
        <w:footnoteReference w:id="128"/>
      </w:r>
      <w:r w:rsidRPr="0078056B">
        <w:rPr>
          <w:rFonts w:asciiTheme="minorHAnsi" w:hAnsiTheme="minorHAnsi"/>
        </w:rPr>
        <w:t xml:space="preserve">. </w:t>
      </w:r>
      <w:r w:rsidRPr="0078056B">
        <w:rPr>
          <w:rFonts w:asciiTheme="minorHAnsi" w:hAnsiTheme="minorHAnsi" w:cs="Calibri"/>
        </w:rPr>
        <w:t>Using similar assumptions, we further calculated the stream of (employment-adjusted) foregone earnings (based on earnings in the relevant counterfactual group</w:t>
      </w:r>
      <w:r w:rsidRPr="0078056B">
        <w:rPr>
          <w:rStyle w:val="FootnoteReference"/>
          <w:rFonts w:asciiTheme="minorHAnsi" w:hAnsiTheme="minorHAnsi" w:cs="Calibri"/>
        </w:rPr>
        <w:footnoteReference w:id="129"/>
      </w:r>
      <w:r w:rsidRPr="0078056B">
        <w:rPr>
          <w:rFonts w:asciiTheme="minorHAnsi" w:hAnsiTheme="minorHAnsi" w:cs="Calibri"/>
        </w:rPr>
        <w:t>) during the period of study, again net of tax, for full-time students only.</w:t>
      </w:r>
      <w:r w:rsidRPr="0078056B">
        <w:rPr>
          <w:rFonts w:asciiTheme="minorHAnsi" w:hAnsiTheme="minorHAnsi"/>
        </w:rPr>
        <w:t xml:space="preserve"> </w:t>
      </w:r>
    </w:p>
    <w:p w14:paraId="6303CA53" w14:textId="77777777" w:rsidR="003A6119" w:rsidRPr="0078056B" w:rsidRDefault="003A6119" w:rsidP="003A6119">
      <w:pPr>
        <w:pStyle w:val="ListParagraph"/>
        <w:numPr>
          <w:ilvl w:val="0"/>
          <w:numId w:val="30"/>
        </w:numPr>
        <w:tabs>
          <w:tab w:val="left" w:pos="8505"/>
        </w:tabs>
        <w:spacing w:before="80" w:after="80"/>
        <w:ind w:left="709" w:right="342" w:hanging="425"/>
        <w:rPr>
          <w:rFonts w:asciiTheme="minorHAnsi" w:hAnsiTheme="minorHAnsi" w:cs="Calibri"/>
        </w:rPr>
      </w:pPr>
      <w:r w:rsidRPr="0078056B">
        <w:rPr>
          <w:rFonts w:asciiTheme="minorHAnsi" w:hAnsiTheme="minorHAnsi" w:cs="Calibri"/>
        </w:rPr>
        <w:t xml:space="preserve">We calculated the </w:t>
      </w:r>
      <w:r w:rsidRPr="0078056B">
        <w:rPr>
          <w:rFonts w:asciiTheme="minorHAnsi" w:hAnsiTheme="minorHAnsi"/>
          <w:b/>
          <w:color w:val="06357A"/>
        </w:rPr>
        <w:t>discounted</w:t>
      </w:r>
      <w:r w:rsidRPr="0078056B">
        <w:rPr>
          <w:rFonts w:asciiTheme="minorHAnsi" w:hAnsiTheme="minorHAnsi" w:cs="Calibri"/>
          <w:color w:val="0B5ED7" w:themeColor="accent2"/>
        </w:rPr>
        <w:t xml:space="preserve"> </w:t>
      </w:r>
      <w:r w:rsidRPr="0078056B">
        <w:rPr>
          <w:rFonts w:asciiTheme="minorHAnsi" w:hAnsiTheme="minorHAnsi" w:cs="Calibri"/>
        </w:rPr>
        <w:t xml:space="preserve">stream of additional (employment-adjusted) future earnings compared to the relevant counterfactual group (using a standard discount rate of </w:t>
      </w:r>
      <w:r w:rsidRPr="0078056B">
        <w:rPr>
          <w:rFonts w:asciiTheme="minorHAnsi" w:hAnsiTheme="minorHAnsi"/>
          <w:b/>
          <w:color w:val="06357A"/>
        </w:rPr>
        <w:t>3.5%</w:t>
      </w:r>
      <w:r w:rsidRPr="0078056B">
        <w:rPr>
          <w:rFonts w:asciiTheme="minorHAnsi" w:hAnsiTheme="minorHAnsi" w:cs="Calibri"/>
          <w:color w:val="0B5ED7" w:themeColor="accent2"/>
        </w:rPr>
        <w:t xml:space="preserve"> </w:t>
      </w:r>
      <w:r w:rsidRPr="0078056B">
        <w:rPr>
          <w:rFonts w:asciiTheme="minorHAnsi" w:hAnsiTheme="minorHAnsi" w:cs="Calibri"/>
        </w:rPr>
        <w:t xml:space="preserve">as presented in HM Treasury Green Book (HM Treasury, 2022)), and the discounted stream of foregone earnings during qualification attainment (for full-time students), to generate a present value figure. We thus arrive at the </w:t>
      </w:r>
      <w:r w:rsidRPr="0078056B">
        <w:rPr>
          <w:rFonts w:asciiTheme="minorHAnsi" w:hAnsiTheme="minorHAnsi"/>
          <w:b/>
          <w:color w:val="06357A"/>
        </w:rPr>
        <w:t>gross graduate premium</w:t>
      </w:r>
      <w:r w:rsidRPr="0078056B">
        <w:rPr>
          <w:rFonts w:asciiTheme="minorHAnsi" w:hAnsiTheme="minorHAnsi" w:cs="Calibri"/>
          <w:color w:val="0B5ED7" w:themeColor="accent2"/>
        </w:rPr>
        <w:t xml:space="preserve"> </w:t>
      </w:r>
      <w:r w:rsidRPr="0078056B">
        <w:rPr>
          <w:rFonts w:asciiTheme="minorHAnsi" w:hAnsiTheme="minorHAnsi" w:cs="Calibri"/>
        </w:rPr>
        <w:t>(or equivalent for other qualifications).</w:t>
      </w:r>
    </w:p>
    <w:p w14:paraId="2375C52B" w14:textId="77777777" w:rsidR="003A6119" w:rsidRPr="0078056B" w:rsidRDefault="003A6119" w:rsidP="003A6119">
      <w:pPr>
        <w:pStyle w:val="ListParagraph"/>
        <w:numPr>
          <w:ilvl w:val="0"/>
          <w:numId w:val="30"/>
        </w:numPr>
        <w:tabs>
          <w:tab w:val="left" w:pos="8505"/>
        </w:tabs>
        <w:spacing w:before="80" w:after="80"/>
        <w:ind w:left="709" w:right="342" w:hanging="425"/>
        <w:rPr>
          <w:rFonts w:asciiTheme="minorHAnsi" w:hAnsiTheme="minorHAnsi" w:cs="Calibri"/>
        </w:rPr>
      </w:pPr>
      <w:r w:rsidRPr="0078056B">
        <w:rPr>
          <w:rFonts w:asciiTheme="minorHAnsi" w:hAnsiTheme="minorHAnsi" w:cs="Calibri"/>
        </w:rPr>
        <w:t xml:space="preserve">The </w:t>
      </w:r>
      <w:r w:rsidRPr="0078056B">
        <w:rPr>
          <w:rFonts w:asciiTheme="minorHAnsi" w:hAnsiTheme="minorHAnsi"/>
          <w:b/>
          <w:color w:val="06357A"/>
        </w:rPr>
        <w:t>discounted</w:t>
      </w:r>
      <w:r w:rsidRPr="0078056B">
        <w:rPr>
          <w:rFonts w:asciiTheme="minorHAnsi" w:hAnsiTheme="minorHAnsi" w:cs="Calibri"/>
          <w:color w:val="0B5ED7" w:themeColor="accent2"/>
        </w:rPr>
        <w:t xml:space="preserve"> </w:t>
      </w:r>
      <w:r w:rsidRPr="0078056B">
        <w:rPr>
          <w:rFonts w:asciiTheme="minorHAnsi" w:hAnsiTheme="minorHAnsi" w:cs="Calibri"/>
        </w:rPr>
        <w:t xml:space="preserve">stream of enhanced taxation revenues minus the tax income foregone during students’ qualification attainment (where relevant) derived in element 4 provides an estimate of the </w:t>
      </w:r>
      <w:r w:rsidRPr="0078056B">
        <w:rPr>
          <w:rFonts w:asciiTheme="minorHAnsi" w:hAnsiTheme="minorHAnsi"/>
          <w:b/>
          <w:color w:val="06357A"/>
        </w:rPr>
        <w:t>gross public benefit</w:t>
      </w:r>
      <w:r w:rsidRPr="0078056B">
        <w:rPr>
          <w:rFonts w:asciiTheme="minorHAnsi" w:hAnsiTheme="minorHAnsi" w:cs="Calibri"/>
          <w:color w:val="0B5ED7" w:themeColor="accent2"/>
        </w:rPr>
        <w:t xml:space="preserve"> </w:t>
      </w:r>
      <w:r w:rsidRPr="0078056B">
        <w:rPr>
          <w:rFonts w:asciiTheme="minorHAnsi" w:hAnsiTheme="minorHAnsi" w:cs="Calibri"/>
        </w:rPr>
        <w:t>associated with higher education qualification attainment.</w:t>
      </w:r>
    </w:p>
    <w:p w14:paraId="7819D57D" w14:textId="77777777" w:rsidR="003A6119" w:rsidRPr="0078056B" w:rsidRDefault="003A6119" w:rsidP="003A6119">
      <w:r w:rsidRPr="0078056B">
        <w:lastRenderedPageBreak/>
        <w:t>Note that the gross graduate premium and gross public benefit for students undertaking qualifications at a level equivalent to or lower than the highest qualification that they are already in possession of was assumed to be zero. For example, it is assumed that a student in possession of a taught postgraduate degree undertaking an additional postgraduate qualification at the University of Birmingham will not accrue any wage or employment benefits from this additional qualification attainment (while still incurring the costs of foregone earnings during the period of study, if they studied on a full-time basis).</w:t>
      </w:r>
    </w:p>
    <w:p w14:paraId="12201892" w14:textId="77777777" w:rsidR="003A6119" w:rsidRPr="0078056B" w:rsidRDefault="003A6119" w:rsidP="003A6119">
      <w:r w:rsidRPr="0078056B">
        <w:t xml:space="preserve">Further note that the analysis of gross graduate premiums and public purse benefits was undertaken at a </w:t>
      </w:r>
      <w:r w:rsidRPr="0078056B">
        <w:rPr>
          <w:b/>
          <w:color w:val="06357A"/>
        </w:rPr>
        <w:t>national</w:t>
      </w:r>
      <w:r w:rsidRPr="0078056B">
        <w:rPr>
          <w:color w:val="0B5ED7" w:themeColor="accent2"/>
        </w:rPr>
        <w:t xml:space="preserve"> </w:t>
      </w:r>
      <w:r w:rsidRPr="0078056B">
        <w:t>(UK-wide) level. To adjust for differences across the Home Nations, these UK-wide premiums were then combined with the relevant differential student support costs facing the individual and/or the Exchequer for students domiciled in the different Home Nations and studying in England.</w:t>
      </w:r>
    </w:p>
    <w:p w14:paraId="745B4BC3" w14:textId="77777777" w:rsidR="003A6119" w:rsidRPr="0078056B" w:rsidRDefault="003A6119" w:rsidP="003A6119">
      <w:pPr>
        <w:pStyle w:val="AnnexHeading3"/>
      </w:pPr>
      <w:bookmarkStart w:id="515" w:name="_Ref144285705"/>
      <w:r w:rsidRPr="0078056B">
        <w:t>Estimating the net graduate premium and net public purse benefit</w:t>
      </w:r>
      <w:bookmarkEnd w:id="515"/>
    </w:p>
    <w:p w14:paraId="6D7676EA" w14:textId="3C5B4519" w:rsidR="003A6119" w:rsidRPr="0078056B" w:rsidRDefault="003A6119" w:rsidP="003A6119">
      <w:r w:rsidRPr="0078056B">
        <w:t xml:space="preserve">The difference between the gross and net graduate premium relates to </w:t>
      </w:r>
      <w:r w:rsidRPr="0078056B">
        <w:rPr>
          <w:rFonts w:asciiTheme="minorHAnsi" w:hAnsiTheme="minorHAnsi"/>
          <w:b/>
          <w:color w:val="06357A"/>
        </w:rPr>
        <w:t>students’ direct costs</w:t>
      </w:r>
      <w:r w:rsidRPr="0078056B">
        <w:t xml:space="preserve"> of qualification acquisition</w:t>
      </w:r>
      <w:r w:rsidRPr="0078056B">
        <w:rPr>
          <w:rStyle w:val="FootnoteReference"/>
        </w:rPr>
        <w:footnoteReference w:id="130"/>
      </w:r>
      <w:r w:rsidRPr="0078056B">
        <w:t xml:space="preserve">. These direct costs refer to the </w:t>
      </w:r>
      <w:r w:rsidRPr="0078056B">
        <w:rPr>
          <w:rFonts w:asciiTheme="minorHAnsi" w:hAnsiTheme="minorHAnsi"/>
          <w:b/>
          <w:color w:val="06357A"/>
        </w:rPr>
        <w:t>proportion of the tuition fee paid by the student</w:t>
      </w:r>
      <w:r w:rsidRPr="0078056B">
        <w:rPr>
          <w:rStyle w:val="FootnoteReference"/>
        </w:rPr>
        <w:footnoteReference w:id="131"/>
      </w:r>
      <w:r w:rsidRPr="0078056B">
        <w:t xml:space="preserve"> net of any </w:t>
      </w:r>
      <w:r w:rsidRPr="0078056B">
        <w:rPr>
          <w:rFonts w:asciiTheme="minorHAnsi" w:hAnsiTheme="minorHAnsi"/>
          <w:b/>
          <w:color w:val="06357A"/>
        </w:rPr>
        <w:t>tuition</w:t>
      </w:r>
      <w:r w:rsidRPr="0078056B">
        <w:t xml:space="preserve"> </w:t>
      </w:r>
      <w:r w:rsidRPr="0078056B">
        <w:rPr>
          <w:rFonts w:asciiTheme="minorHAnsi" w:hAnsiTheme="minorHAnsi"/>
          <w:b/>
          <w:color w:val="06357A"/>
        </w:rPr>
        <w:t>fee</w:t>
      </w:r>
      <w:r w:rsidRPr="0078056B">
        <w:t xml:space="preserve"> </w:t>
      </w:r>
      <w:r w:rsidRPr="0078056B">
        <w:rPr>
          <w:rFonts w:asciiTheme="minorHAnsi" w:hAnsiTheme="minorHAnsi"/>
          <w:b/>
          <w:color w:val="06357A"/>
        </w:rPr>
        <w:t>support</w:t>
      </w:r>
      <w:r w:rsidRPr="0078056B">
        <w:t xml:space="preserve"> or </w:t>
      </w:r>
      <w:r w:rsidRPr="0078056B">
        <w:rPr>
          <w:rFonts w:asciiTheme="minorHAnsi" w:hAnsiTheme="minorHAnsi"/>
          <w:b/>
          <w:color w:val="06357A"/>
        </w:rPr>
        <w:t>maintenance</w:t>
      </w:r>
      <w:r w:rsidRPr="0078056B">
        <w:t xml:space="preserve"> </w:t>
      </w:r>
      <w:r w:rsidRPr="0078056B">
        <w:rPr>
          <w:rFonts w:asciiTheme="minorHAnsi" w:hAnsiTheme="minorHAnsi"/>
          <w:b/>
          <w:color w:val="06357A"/>
        </w:rPr>
        <w:t>support</w:t>
      </w:r>
      <w:r w:rsidRPr="0078056B">
        <w:t xml:space="preserve"> provided by the Student Loans Company (SLC, for students from Wales, England, and Northern Ireland) or the Students Awards Agency (SAAS, for students from Scotland)</w:t>
      </w:r>
      <w:r w:rsidR="003428FF" w:rsidRPr="0078056B">
        <w:rPr>
          <w:rStyle w:val="FootnoteReference"/>
        </w:rPr>
        <w:footnoteReference w:id="132"/>
      </w:r>
      <w:r w:rsidRPr="0078056B">
        <w:t xml:space="preserve">, minus any </w:t>
      </w:r>
      <w:r w:rsidRPr="0078056B">
        <w:rPr>
          <w:rFonts w:asciiTheme="minorHAnsi" w:hAnsiTheme="minorHAnsi"/>
          <w:b/>
          <w:color w:val="06357A"/>
        </w:rPr>
        <w:t>fee waivers or bursaries</w:t>
      </w:r>
      <w:r w:rsidRPr="0078056B">
        <w:t xml:space="preserve"> provided by </w:t>
      </w:r>
      <w:bookmarkStart w:id="516" w:name="_Ref146539683"/>
      <w:r w:rsidRPr="0078056B">
        <w:t>the University of Birmingham</w:t>
      </w:r>
      <w:r w:rsidRPr="0078056B">
        <w:rPr>
          <w:rStyle w:val="FootnoteReference"/>
        </w:rPr>
        <w:footnoteReference w:id="133"/>
      </w:r>
      <w:bookmarkEnd w:id="516"/>
      <w:r w:rsidRPr="0078056B">
        <w:t xml:space="preserve">. In this respect, the student benefit associated with </w:t>
      </w:r>
      <w:r w:rsidR="007F2A6E" w:rsidRPr="0078056B">
        <w:t xml:space="preserve">a </w:t>
      </w:r>
      <w:r w:rsidRPr="0078056B">
        <w:t xml:space="preserve">tuition fee loan or maintenance loan support equals the </w:t>
      </w:r>
      <w:r w:rsidRPr="0078056B">
        <w:rPr>
          <w:rFonts w:asciiTheme="minorHAnsi" w:hAnsiTheme="minorHAnsi"/>
          <w:b/>
          <w:color w:val="06357A"/>
        </w:rPr>
        <w:t>Resource Accounting and Budgeting charge</w:t>
      </w:r>
      <w:r w:rsidRPr="0078056B">
        <w:t xml:space="preserve"> (RAB charge)</w:t>
      </w:r>
      <w:r w:rsidR="003428FF" w:rsidRPr="0078056B">
        <w:rPr>
          <w:rStyle w:val="FootnoteReference"/>
        </w:rPr>
        <w:footnoteReference w:id="134"/>
      </w:r>
      <w:r w:rsidRPr="0078056B">
        <w:t xml:space="preserve">, capturing the proportion of the loan that is not repaid. Given the differing approach to </w:t>
      </w:r>
      <w:r w:rsidRPr="0078056B">
        <w:lastRenderedPageBreak/>
        <w:t>public support funding for students from each of the UK Home Nations, the direct costs incurred by students were assessed separately for students from England, Wales, Scotland, and Northern Ireland</w:t>
      </w:r>
      <w:r w:rsidRPr="0078056B">
        <w:rPr>
          <w:rStyle w:val="FootnoteReference"/>
        </w:rPr>
        <w:footnoteReference w:id="135"/>
      </w:r>
      <w:r w:rsidRPr="0078056B">
        <w:t>.</w:t>
      </w:r>
    </w:p>
    <w:p w14:paraId="74BCF19B" w14:textId="77777777" w:rsidR="003A6119" w:rsidRPr="0078056B" w:rsidRDefault="003A6119" w:rsidP="003A6119">
      <w:r w:rsidRPr="0078056B">
        <w:t xml:space="preserve">The </w:t>
      </w:r>
      <w:r w:rsidRPr="0078056B">
        <w:rPr>
          <w:rFonts w:asciiTheme="minorHAnsi" w:hAnsiTheme="minorHAnsi"/>
          <w:b/>
          <w:color w:val="06357A"/>
        </w:rPr>
        <w:t>direct</w:t>
      </w:r>
      <w:r w:rsidRPr="0078056B">
        <w:t xml:space="preserve"> </w:t>
      </w:r>
      <w:r w:rsidRPr="0078056B">
        <w:rPr>
          <w:rFonts w:asciiTheme="minorHAnsi" w:hAnsiTheme="minorHAnsi"/>
          <w:b/>
          <w:color w:val="06357A"/>
        </w:rPr>
        <w:t>costs</w:t>
      </w:r>
      <w:r w:rsidRPr="0078056B">
        <w:rPr>
          <w:rStyle w:val="FootnoteReference"/>
        </w:rPr>
        <w:footnoteReference w:id="136"/>
      </w:r>
      <w:r w:rsidRPr="0078056B">
        <w:t xml:space="preserve"> </w:t>
      </w:r>
      <w:r w:rsidRPr="0078056B">
        <w:rPr>
          <w:rFonts w:asciiTheme="minorHAnsi" w:hAnsiTheme="minorHAnsi"/>
          <w:b/>
          <w:color w:val="06357A"/>
        </w:rPr>
        <w:t>to the public purse</w:t>
      </w:r>
      <w:r w:rsidRPr="0078056B">
        <w:t xml:space="preserve"> include the </w:t>
      </w:r>
      <w:r w:rsidRPr="0078056B">
        <w:rPr>
          <w:rFonts w:asciiTheme="minorHAnsi" w:hAnsiTheme="minorHAnsi"/>
          <w:b/>
          <w:color w:val="06357A"/>
        </w:rPr>
        <w:t>teaching</w:t>
      </w:r>
      <w:r w:rsidRPr="0078056B">
        <w:t xml:space="preserve"> </w:t>
      </w:r>
      <w:r w:rsidRPr="0078056B">
        <w:rPr>
          <w:rFonts w:asciiTheme="minorHAnsi" w:hAnsiTheme="minorHAnsi"/>
          <w:b/>
          <w:color w:val="06357A"/>
        </w:rPr>
        <w:t>grant</w:t>
      </w:r>
      <w:r w:rsidRPr="0078056B">
        <w:t xml:space="preserve"> </w:t>
      </w:r>
      <w:r w:rsidRPr="0078056B">
        <w:rPr>
          <w:rFonts w:asciiTheme="minorHAnsi" w:hAnsiTheme="minorHAnsi"/>
          <w:b/>
          <w:color w:val="06357A"/>
        </w:rPr>
        <w:t>funding</w:t>
      </w:r>
      <w:r w:rsidRPr="0078056B">
        <w:t xml:space="preserve"> administered by the Office for Students</w:t>
      </w:r>
      <w:r w:rsidRPr="0078056B">
        <w:rPr>
          <w:rStyle w:val="FootnoteReference"/>
        </w:rPr>
        <w:footnoteReference w:id="137"/>
      </w:r>
      <w:r w:rsidRPr="0078056B">
        <w:t xml:space="preserve">, the </w:t>
      </w:r>
      <w:r w:rsidRPr="0078056B">
        <w:rPr>
          <w:rFonts w:asciiTheme="minorHAnsi" w:hAnsiTheme="minorHAnsi"/>
          <w:b/>
          <w:color w:val="06357A"/>
        </w:rPr>
        <w:t>student</w:t>
      </w:r>
      <w:r w:rsidRPr="0078056B">
        <w:t xml:space="preserve"> </w:t>
      </w:r>
      <w:r w:rsidRPr="0078056B">
        <w:rPr>
          <w:rFonts w:asciiTheme="minorHAnsi" w:hAnsiTheme="minorHAnsi"/>
          <w:b/>
          <w:color w:val="06357A"/>
        </w:rPr>
        <w:t>support</w:t>
      </w:r>
      <w:r w:rsidRPr="0078056B">
        <w:t xml:space="preserve"> provided in the form of fee and maintenance loans/grants (where applicable), and the </w:t>
      </w:r>
      <w:r w:rsidRPr="0078056B">
        <w:rPr>
          <w:rFonts w:asciiTheme="minorHAnsi" w:hAnsiTheme="minorHAnsi"/>
          <w:b/>
          <w:color w:val="06357A"/>
        </w:rPr>
        <w:t>interest rate or write-off subsidies</w:t>
      </w:r>
      <w:r w:rsidRPr="0078056B">
        <w:t xml:space="preserve"> that are associated with maintenance and tuition fee loans (i.e. the RAB charge). Again, the analysis tailors the cost of student support to the student’s specific Home Nation of domicile. </w:t>
      </w:r>
    </w:p>
    <w:p w14:paraId="0F8DB83B" w14:textId="77777777" w:rsidR="003A6119" w:rsidRPr="0078056B" w:rsidRDefault="003A6119" w:rsidP="003A6119">
      <w:r w:rsidRPr="0078056B">
        <w:t xml:space="preserve">These direct costs associated with qualification attainment to both students and the Exchequer (by qualification level, study mode and Home Nation domicile) are calculated from start to completion of a student’s learning aim. Throughout the analysis, to ensure that the economic impacts are computed in </w:t>
      </w:r>
      <w:r w:rsidRPr="0078056B">
        <w:rPr>
          <w:rFonts w:asciiTheme="minorHAnsi" w:hAnsiTheme="minorHAnsi"/>
          <w:b/>
          <w:color w:val="06357A"/>
        </w:rPr>
        <w:t>present</w:t>
      </w:r>
      <w:r w:rsidRPr="0078056B">
        <w:t xml:space="preserve"> </w:t>
      </w:r>
      <w:r w:rsidRPr="0078056B">
        <w:rPr>
          <w:rFonts w:asciiTheme="minorHAnsi" w:hAnsiTheme="minorHAnsi"/>
          <w:b/>
          <w:color w:val="06357A"/>
        </w:rPr>
        <w:t>value</w:t>
      </w:r>
      <w:r w:rsidRPr="0078056B">
        <w:t xml:space="preserve"> terms (i.e. in 2021-22 money terms), all benefits and costs occurring at points in the future were </w:t>
      </w:r>
      <w:r w:rsidRPr="0078056B">
        <w:rPr>
          <w:rFonts w:asciiTheme="minorHAnsi" w:hAnsiTheme="minorHAnsi"/>
          <w:b/>
          <w:color w:val="06357A"/>
        </w:rPr>
        <w:t>discounted</w:t>
      </w:r>
      <w:r w:rsidRPr="0078056B">
        <w:t xml:space="preserve"> using the standard HM Treasury Green Book real discount rate of </w:t>
      </w:r>
      <w:r w:rsidRPr="0078056B">
        <w:rPr>
          <w:rFonts w:asciiTheme="minorHAnsi" w:hAnsiTheme="minorHAnsi"/>
          <w:b/>
          <w:color w:val="06357A"/>
        </w:rPr>
        <w:t>3.5%</w:t>
      </w:r>
      <w:r w:rsidRPr="0078056B">
        <w:t xml:space="preserve"> (see HM Treasury, 2022).</w:t>
      </w:r>
    </w:p>
    <w:p w14:paraId="4AE158B8" w14:textId="562A5DD0" w:rsidR="003A6119" w:rsidRPr="0078056B" w:rsidRDefault="003A6119" w:rsidP="003A6119">
      <w:r w:rsidRPr="0078056B">
        <w:t xml:space="preserve">Deducting the resulting individual and Exchequer costs from the estimated gross graduate premium and gross public purse benefit, respectively, we arrive at the estimated </w:t>
      </w:r>
      <w:r w:rsidRPr="0078056B">
        <w:rPr>
          <w:rFonts w:asciiTheme="minorHAnsi" w:hAnsiTheme="minorHAnsi"/>
          <w:b/>
          <w:color w:val="06357A"/>
        </w:rPr>
        <w:t>net</w:t>
      </w:r>
      <w:r w:rsidRPr="0078056B">
        <w:t xml:space="preserve"> </w:t>
      </w:r>
      <w:r w:rsidRPr="0078056B">
        <w:rPr>
          <w:rFonts w:asciiTheme="minorHAnsi" w:hAnsiTheme="minorHAnsi"/>
          <w:b/>
          <w:color w:val="06357A"/>
        </w:rPr>
        <w:t>graduate</w:t>
      </w:r>
      <w:r w:rsidRPr="0078056B">
        <w:t xml:space="preserve"> </w:t>
      </w:r>
      <w:r w:rsidRPr="0078056B">
        <w:rPr>
          <w:rFonts w:asciiTheme="minorHAnsi" w:hAnsiTheme="minorHAnsi"/>
          <w:b/>
          <w:color w:val="06357A"/>
        </w:rPr>
        <w:t>premium</w:t>
      </w:r>
      <w:r w:rsidRPr="0078056B">
        <w:t xml:space="preserve"> and </w:t>
      </w:r>
      <w:r w:rsidRPr="0078056B">
        <w:rPr>
          <w:rFonts w:asciiTheme="minorHAnsi" w:hAnsiTheme="minorHAnsi"/>
          <w:b/>
          <w:color w:val="06357A"/>
        </w:rPr>
        <w:t>net public purse benefit</w:t>
      </w:r>
      <w:r w:rsidRPr="0078056B">
        <w:t xml:space="preserve"> per student</w:t>
      </w:r>
      <w:r w:rsidR="003428FF" w:rsidRPr="0078056B">
        <w:t xml:space="preserve"> (see Annex </w:t>
      </w:r>
      <w:r w:rsidR="003428FF" w:rsidRPr="0078056B">
        <w:fldChar w:fldCharType="begin"/>
      </w:r>
      <w:r w:rsidR="003428FF" w:rsidRPr="0078056B">
        <w:instrText xml:space="preserve"> REF _Ref160528468 \r \h </w:instrText>
      </w:r>
      <w:r w:rsidR="0078056B">
        <w:instrText xml:space="preserve"> \* MERGEFORMAT </w:instrText>
      </w:r>
      <w:r w:rsidR="003428FF" w:rsidRPr="0078056B">
        <w:fldChar w:fldCharType="separate"/>
      </w:r>
      <w:r w:rsidR="00E33157">
        <w:t>A2.3.8</w:t>
      </w:r>
      <w:r w:rsidR="003428FF" w:rsidRPr="0078056B">
        <w:fldChar w:fldCharType="end"/>
      </w:r>
      <w:r w:rsidR="003428FF" w:rsidRPr="0078056B">
        <w:t>)</w:t>
      </w:r>
      <w:r w:rsidRPr="0078056B">
        <w:t>.</w:t>
      </w:r>
    </w:p>
    <w:p w14:paraId="421567E8" w14:textId="77777777" w:rsidR="003A6119" w:rsidRPr="0078056B" w:rsidRDefault="003A6119" w:rsidP="003A6119">
      <w:pPr>
        <w:pStyle w:val="AnnexHeading3"/>
      </w:pPr>
      <w:bookmarkStart w:id="517" w:name="_Ref143873700"/>
      <w:bookmarkStart w:id="518" w:name="_Ref160528468"/>
      <w:r w:rsidRPr="0078056B">
        <w:t>Estimated graduate premiums and public purse benefit</w:t>
      </w:r>
      <w:bookmarkEnd w:id="517"/>
      <w:r w:rsidRPr="0078056B">
        <w:t>s</w:t>
      </w:r>
      <w:bookmarkEnd w:id="518"/>
    </w:p>
    <w:p w14:paraId="16CF8BF3" w14:textId="791D6A94" w:rsidR="003428FF" w:rsidRPr="0078056B" w:rsidRDefault="003428FF" w:rsidP="003428FF">
      <w:pPr>
        <w:sectPr w:rsidR="003428FF" w:rsidRPr="0078056B" w:rsidSect="003428FF">
          <w:headerReference w:type="even" r:id="rId241"/>
          <w:headerReference w:type="default" r:id="rId242"/>
          <w:footerReference w:type="even" r:id="rId243"/>
          <w:footerReference w:type="default" r:id="rId244"/>
          <w:headerReference w:type="first" r:id="rId245"/>
          <w:footerReference w:type="first" r:id="rId246"/>
          <w:pgSz w:w="11906" w:h="16838"/>
          <w:pgMar w:top="1418" w:right="1531" w:bottom="1418" w:left="1531" w:header="709" w:footer="850" w:gutter="0"/>
          <w:cols w:space="708"/>
          <w:docGrid w:linePitch="360"/>
        </w:sectPr>
      </w:pPr>
      <w:r w:rsidRPr="0078056B">
        <w:fldChar w:fldCharType="begin"/>
      </w:r>
      <w:r w:rsidRPr="0078056B">
        <w:instrText xml:space="preserve"> REF _Ref161750969 \r \h </w:instrText>
      </w:r>
      <w:r w:rsidR="0078056B">
        <w:instrText xml:space="preserve"> \* MERGEFORMAT </w:instrText>
      </w:r>
      <w:r w:rsidRPr="0078056B">
        <w:fldChar w:fldCharType="separate"/>
      </w:r>
      <w:r w:rsidR="00E33157">
        <w:t>Table 21</w:t>
      </w:r>
      <w:r w:rsidRPr="0078056B">
        <w:fldChar w:fldCharType="end"/>
      </w:r>
      <w:r w:rsidRPr="0078056B">
        <w:t xml:space="preserve"> presents the gross graduate premiums and gross public purse benefits per student associated with higher education qualifications offered by the University of Birmingham (based on the 2021-22 cohort, and broken down by study mode, level of study, gender</w:t>
      </w:r>
      <w:r w:rsidRPr="0078056B">
        <w:rPr>
          <w:vertAlign w:val="superscript"/>
        </w:rPr>
        <w:footnoteReference w:id="138"/>
      </w:r>
      <w:r w:rsidRPr="0078056B">
        <w:t xml:space="preserve">, and prior attainment) resulting from the above-outlined analysis. </w:t>
      </w:r>
      <w:r w:rsidRPr="0078056B">
        <w:fldChar w:fldCharType="begin"/>
      </w:r>
      <w:r w:rsidRPr="0078056B">
        <w:instrText xml:space="preserve"> REF _Ref161750971 \r \h </w:instrText>
      </w:r>
      <w:r w:rsidR="0078056B">
        <w:instrText xml:space="preserve"> \* MERGEFORMAT </w:instrText>
      </w:r>
      <w:r w:rsidRPr="0078056B">
        <w:fldChar w:fldCharType="separate"/>
      </w:r>
      <w:r w:rsidR="00E33157">
        <w:t>Table 22</w:t>
      </w:r>
      <w:r w:rsidRPr="0078056B">
        <w:fldChar w:fldCharType="end"/>
      </w:r>
      <w:r w:rsidRPr="0078056B">
        <w:t xml:space="preserve"> provides corresponding information on the associated net graduate premiums and net public benefits per student.</w:t>
      </w:r>
    </w:p>
    <w:p w14:paraId="0BA68317" w14:textId="77777777" w:rsidR="003A6119" w:rsidRPr="0078056B" w:rsidRDefault="003A6119" w:rsidP="00CD54E1">
      <w:pPr>
        <w:pStyle w:val="TableTitle"/>
      </w:pPr>
      <w:bookmarkStart w:id="519" w:name="_Ref161750969"/>
      <w:bookmarkStart w:id="520" w:name="_Toc168652176"/>
      <w:r w:rsidRPr="0078056B">
        <w:lastRenderedPageBreak/>
        <w:t>Gross graduate premiums and Exchequer benefits per student associated with HE qualification attainment at the University of Birmingham, by study mode, level, gender, and prior attainment</w:t>
      </w:r>
      <w:bookmarkEnd w:id="519"/>
      <w:bookmarkEnd w:id="520"/>
    </w:p>
    <w:tbl>
      <w:tblPr>
        <w:tblW w:w="5000" w:type="pct"/>
        <w:tblBorders>
          <w:top w:val="single" w:sz="4" w:space="0" w:color="BFBFBF"/>
          <w:bottom w:val="single" w:sz="4" w:space="0" w:color="BFBFBF"/>
          <w:insideH w:val="single" w:sz="4" w:space="0" w:color="BFBFBF"/>
          <w:insideV w:val="single" w:sz="4" w:space="0" w:color="BFBFBF"/>
        </w:tblBorders>
        <w:tblLayout w:type="fixed"/>
        <w:tblCellMar>
          <w:left w:w="0" w:type="dxa"/>
          <w:right w:w="0" w:type="dxa"/>
        </w:tblCellMar>
        <w:tblLook w:val="0000" w:firstRow="0" w:lastRow="0" w:firstColumn="0" w:lastColumn="0" w:noHBand="0" w:noVBand="0"/>
      </w:tblPr>
      <w:tblGrid>
        <w:gridCol w:w="2125"/>
        <w:gridCol w:w="848"/>
        <w:gridCol w:w="848"/>
        <w:gridCol w:w="848"/>
        <w:gridCol w:w="848"/>
        <w:gridCol w:w="849"/>
        <w:gridCol w:w="849"/>
        <w:gridCol w:w="849"/>
        <w:gridCol w:w="849"/>
        <w:gridCol w:w="849"/>
        <w:gridCol w:w="849"/>
        <w:gridCol w:w="849"/>
        <w:gridCol w:w="849"/>
        <w:gridCol w:w="849"/>
        <w:gridCol w:w="846"/>
      </w:tblGrid>
      <w:tr w:rsidR="003A6119" w:rsidRPr="0078056B" w14:paraId="45BFAABC" w14:textId="77777777" w:rsidTr="000A186C">
        <w:trPr>
          <w:trHeight w:val="20"/>
        </w:trPr>
        <w:tc>
          <w:tcPr>
            <w:tcW w:w="759" w:type="pct"/>
            <w:vMerge w:val="restart"/>
            <w:tcBorders>
              <w:top w:val="single" w:sz="4" w:space="0" w:color="06357A"/>
              <w:bottom w:val="single" w:sz="4" w:space="0" w:color="06357A"/>
            </w:tcBorders>
            <w:shd w:val="clear" w:color="auto" w:fill="auto"/>
            <w:vAlign w:val="center"/>
          </w:tcPr>
          <w:p w14:paraId="0DFFB63E" w14:textId="77777777" w:rsidR="003A6119" w:rsidRPr="0078056B" w:rsidRDefault="003A6119" w:rsidP="000A186C">
            <w:pPr>
              <w:spacing w:before="0" w:after="0"/>
              <w:ind w:left="28" w:right="28"/>
              <w:jc w:val="left"/>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Level of study</w:t>
            </w:r>
          </w:p>
        </w:tc>
        <w:tc>
          <w:tcPr>
            <w:tcW w:w="4241" w:type="pct"/>
            <w:gridSpan w:val="14"/>
            <w:tcBorders>
              <w:top w:val="single" w:sz="4" w:space="0" w:color="06357A"/>
              <w:bottom w:val="single" w:sz="4" w:space="0" w:color="06357A"/>
            </w:tcBorders>
            <w:shd w:val="clear" w:color="auto" w:fill="auto"/>
            <w:vAlign w:val="center"/>
          </w:tcPr>
          <w:p w14:paraId="25FF146F"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Previous qualification and gender</w:t>
            </w:r>
          </w:p>
        </w:tc>
      </w:tr>
      <w:tr w:rsidR="003A6119" w:rsidRPr="0078056B" w14:paraId="29290C14" w14:textId="77777777" w:rsidTr="000A186C">
        <w:trPr>
          <w:trHeight w:val="20"/>
        </w:trPr>
        <w:tc>
          <w:tcPr>
            <w:tcW w:w="759" w:type="pct"/>
            <w:vMerge/>
            <w:tcBorders>
              <w:top w:val="single" w:sz="4" w:space="0" w:color="06357A"/>
              <w:bottom w:val="single" w:sz="4" w:space="0" w:color="06357A"/>
            </w:tcBorders>
            <w:shd w:val="clear" w:color="auto" w:fill="auto"/>
            <w:vAlign w:val="center"/>
          </w:tcPr>
          <w:p w14:paraId="6505C1EA" w14:textId="77777777" w:rsidR="003A6119" w:rsidRPr="0078056B" w:rsidRDefault="003A6119" w:rsidP="000A186C">
            <w:pPr>
              <w:spacing w:before="0" w:after="0"/>
              <w:ind w:left="28" w:right="28"/>
              <w:jc w:val="left"/>
              <w:rPr>
                <w:rFonts w:asciiTheme="minorHAnsi" w:hAnsiTheme="minorHAnsi" w:cstheme="minorHAnsi"/>
                <w:b/>
                <w:color w:val="06357A"/>
                <w:sz w:val="18"/>
                <w:szCs w:val="18"/>
              </w:rPr>
            </w:pPr>
          </w:p>
        </w:tc>
        <w:tc>
          <w:tcPr>
            <w:tcW w:w="606" w:type="pct"/>
            <w:gridSpan w:val="2"/>
            <w:tcBorders>
              <w:top w:val="single" w:sz="4" w:space="0" w:color="06357A"/>
              <w:bottom w:val="single" w:sz="4" w:space="0" w:color="06357A"/>
            </w:tcBorders>
            <w:shd w:val="clear" w:color="auto" w:fill="auto"/>
            <w:vAlign w:val="center"/>
          </w:tcPr>
          <w:p w14:paraId="28ED231F" w14:textId="77777777" w:rsidR="003A6119" w:rsidRPr="0078056B" w:rsidRDefault="003A6119" w:rsidP="000A186C">
            <w:pPr>
              <w:spacing w:before="0" w:after="0"/>
              <w:ind w:left="28" w:right="28"/>
              <w:jc w:val="center"/>
              <w:rPr>
                <w:rFonts w:asciiTheme="minorHAnsi" w:hAnsiTheme="minorHAnsi" w:cstheme="minorHAnsi"/>
                <w:b/>
                <w:color w:val="06357A"/>
                <w:sz w:val="18"/>
                <w:szCs w:val="18"/>
                <w:vertAlign w:val="superscript"/>
              </w:rPr>
            </w:pPr>
            <w:r w:rsidRPr="0078056B">
              <w:rPr>
                <w:rFonts w:asciiTheme="minorHAnsi" w:hAnsiTheme="minorHAnsi" w:cstheme="minorHAnsi"/>
                <w:b/>
                <w:color w:val="06357A"/>
                <w:sz w:val="18"/>
                <w:szCs w:val="18"/>
              </w:rPr>
              <w:t>GCSE</w:t>
            </w:r>
          </w:p>
        </w:tc>
        <w:tc>
          <w:tcPr>
            <w:tcW w:w="606" w:type="pct"/>
            <w:gridSpan w:val="2"/>
            <w:tcBorders>
              <w:top w:val="single" w:sz="4" w:space="0" w:color="06357A"/>
              <w:bottom w:val="single" w:sz="4" w:space="0" w:color="06357A"/>
            </w:tcBorders>
            <w:shd w:val="clear" w:color="auto" w:fill="auto"/>
            <w:vAlign w:val="center"/>
          </w:tcPr>
          <w:p w14:paraId="2C69326E" w14:textId="77777777" w:rsidR="003A6119" w:rsidRPr="0078056B" w:rsidRDefault="003A6119" w:rsidP="000A186C">
            <w:pPr>
              <w:spacing w:before="0" w:after="0"/>
              <w:ind w:left="28" w:right="28"/>
              <w:jc w:val="center"/>
              <w:rPr>
                <w:rFonts w:asciiTheme="minorHAnsi" w:hAnsiTheme="minorHAnsi" w:cstheme="minorHAnsi"/>
                <w:b/>
                <w:color w:val="06357A"/>
                <w:sz w:val="18"/>
                <w:szCs w:val="18"/>
                <w:vertAlign w:val="superscript"/>
              </w:rPr>
            </w:pPr>
            <w:r w:rsidRPr="0078056B">
              <w:rPr>
                <w:rFonts w:asciiTheme="minorHAnsi" w:hAnsiTheme="minorHAnsi" w:cstheme="minorHAnsi"/>
                <w:b/>
                <w:color w:val="06357A"/>
                <w:sz w:val="18"/>
                <w:szCs w:val="18"/>
              </w:rPr>
              <w:t>Level 3</w:t>
            </w:r>
          </w:p>
        </w:tc>
        <w:tc>
          <w:tcPr>
            <w:tcW w:w="606" w:type="pct"/>
            <w:gridSpan w:val="2"/>
            <w:tcBorders>
              <w:top w:val="single" w:sz="4" w:space="0" w:color="06357A"/>
              <w:bottom w:val="single" w:sz="4" w:space="0" w:color="06357A"/>
            </w:tcBorders>
            <w:shd w:val="clear" w:color="auto" w:fill="auto"/>
            <w:vAlign w:val="center"/>
          </w:tcPr>
          <w:p w14:paraId="5AC07B74"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 xml:space="preserve">Other </w:t>
            </w:r>
          </w:p>
          <w:p w14:paraId="254CF4A6"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undergraduate</w:t>
            </w:r>
          </w:p>
        </w:tc>
        <w:tc>
          <w:tcPr>
            <w:tcW w:w="606" w:type="pct"/>
            <w:gridSpan w:val="2"/>
            <w:tcBorders>
              <w:top w:val="single" w:sz="4" w:space="0" w:color="06357A"/>
              <w:bottom w:val="single" w:sz="4" w:space="0" w:color="06357A"/>
            </w:tcBorders>
            <w:shd w:val="clear" w:color="auto" w:fill="auto"/>
            <w:vAlign w:val="center"/>
          </w:tcPr>
          <w:p w14:paraId="1452402D"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First degree</w:t>
            </w:r>
          </w:p>
        </w:tc>
        <w:tc>
          <w:tcPr>
            <w:tcW w:w="606" w:type="pct"/>
            <w:gridSpan w:val="2"/>
            <w:tcBorders>
              <w:top w:val="single" w:sz="4" w:space="0" w:color="06357A"/>
              <w:bottom w:val="single" w:sz="4" w:space="0" w:color="06357A"/>
            </w:tcBorders>
            <w:shd w:val="clear" w:color="auto" w:fill="auto"/>
            <w:vAlign w:val="center"/>
          </w:tcPr>
          <w:p w14:paraId="3274B6D8"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 xml:space="preserve">Other </w:t>
            </w:r>
          </w:p>
          <w:p w14:paraId="429754A9" w14:textId="77777777" w:rsidR="003A6119" w:rsidRPr="0078056B" w:rsidRDefault="003A6119" w:rsidP="000A186C">
            <w:pPr>
              <w:spacing w:before="0" w:after="0"/>
              <w:ind w:left="28" w:right="28"/>
              <w:jc w:val="center"/>
              <w:rPr>
                <w:rFonts w:asciiTheme="minorHAnsi" w:hAnsiTheme="minorHAnsi" w:cstheme="minorHAnsi"/>
                <w:b/>
                <w:color w:val="06357A"/>
                <w:sz w:val="18"/>
                <w:szCs w:val="18"/>
                <w:vertAlign w:val="superscript"/>
              </w:rPr>
            </w:pPr>
            <w:r w:rsidRPr="0078056B">
              <w:rPr>
                <w:rFonts w:asciiTheme="minorHAnsi" w:hAnsiTheme="minorHAnsi" w:cstheme="minorHAnsi"/>
                <w:b/>
                <w:color w:val="06357A"/>
                <w:sz w:val="18"/>
                <w:szCs w:val="18"/>
              </w:rPr>
              <w:t>postgraduate</w:t>
            </w:r>
          </w:p>
        </w:tc>
        <w:tc>
          <w:tcPr>
            <w:tcW w:w="606" w:type="pct"/>
            <w:gridSpan w:val="2"/>
            <w:tcBorders>
              <w:top w:val="single" w:sz="4" w:space="0" w:color="06357A"/>
              <w:bottom w:val="single" w:sz="4" w:space="0" w:color="06357A"/>
            </w:tcBorders>
            <w:vAlign w:val="center"/>
          </w:tcPr>
          <w:p w14:paraId="4297A937"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 xml:space="preserve">Higher degree </w:t>
            </w:r>
          </w:p>
          <w:p w14:paraId="4F438A4E"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(taught)</w:t>
            </w:r>
          </w:p>
        </w:tc>
        <w:tc>
          <w:tcPr>
            <w:tcW w:w="605" w:type="pct"/>
            <w:gridSpan w:val="2"/>
            <w:tcBorders>
              <w:top w:val="single" w:sz="4" w:space="0" w:color="06357A"/>
              <w:bottom w:val="single" w:sz="4" w:space="0" w:color="06357A"/>
            </w:tcBorders>
            <w:vAlign w:val="center"/>
          </w:tcPr>
          <w:p w14:paraId="6D1DBEAE"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Higher degree (research)</w:t>
            </w:r>
          </w:p>
        </w:tc>
      </w:tr>
      <w:tr w:rsidR="003A6119" w:rsidRPr="0078056B" w14:paraId="0A581220" w14:textId="77777777" w:rsidTr="000A186C">
        <w:trPr>
          <w:trHeight w:val="20"/>
        </w:trPr>
        <w:tc>
          <w:tcPr>
            <w:tcW w:w="759" w:type="pct"/>
            <w:vMerge/>
            <w:tcBorders>
              <w:top w:val="single" w:sz="4" w:space="0" w:color="06357A"/>
              <w:bottom w:val="single" w:sz="4" w:space="0" w:color="06357A"/>
            </w:tcBorders>
            <w:shd w:val="clear" w:color="auto" w:fill="auto"/>
            <w:vAlign w:val="center"/>
          </w:tcPr>
          <w:p w14:paraId="26C12047" w14:textId="77777777" w:rsidR="003A6119" w:rsidRPr="0078056B" w:rsidRDefault="003A6119" w:rsidP="000A186C">
            <w:pPr>
              <w:spacing w:before="0" w:after="0"/>
              <w:ind w:left="28" w:right="28"/>
              <w:jc w:val="left"/>
              <w:rPr>
                <w:rFonts w:asciiTheme="minorHAnsi" w:hAnsiTheme="minorHAnsi" w:cstheme="minorHAnsi"/>
                <w:b/>
                <w:color w:val="06357A"/>
                <w:sz w:val="18"/>
                <w:szCs w:val="18"/>
              </w:rPr>
            </w:pPr>
          </w:p>
        </w:tc>
        <w:tc>
          <w:tcPr>
            <w:tcW w:w="303" w:type="pct"/>
            <w:tcBorders>
              <w:top w:val="single" w:sz="4" w:space="0" w:color="06357A"/>
              <w:bottom w:val="single" w:sz="4" w:space="0" w:color="06357A"/>
            </w:tcBorders>
            <w:shd w:val="clear" w:color="auto" w:fill="auto"/>
            <w:vAlign w:val="center"/>
          </w:tcPr>
          <w:p w14:paraId="5A00026F"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Men</w:t>
            </w:r>
          </w:p>
        </w:tc>
        <w:tc>
          <w:tcPr>
            <w:tcW w:w="303" w:type="pct"/>
            <w:tcBorders>
              <w:top w:val="single" w:sz="4" w:space="0" w:color="06357A"/>
              <w:bottom w:val="single" w:sz="4" w:space="0" w:color="06357A"/>
            </w:tcBorders>
            <w:shd w:val="clear" w:color="auto" w:fill="auto"/>
            <w:vAlign w:val="center"/>
          </w:tcPr>
          <w:p w14:paraId="4D6A3078"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Women</w:t>
            </w:r>
          </w:p>
        </w:tc>
        <w:tc>
          <w:tcPr>
            <w:tcW w:w="303" w:type="pct"/>
            <w:tcBorders>
              <w:top w:val="single" w:sz="4" w:space="0" w:color="06357A"/>
              <w:bottom w:val="single" w:sz="4" w:space="0" w:color="06357A"/>
            </w:tcBorders>
            <w:shd w:val="clear" w:color="auto" w:fill="auto"/>
            <w:vAlign w:val="center"/>
          </w:tcPr>
          <w:p w14:paraId="7DD244C1"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Men</w:t>
            </w:r>
          </w:p>
        </w:tc>
        <w:tc>
          <w:tcPr>
            <w:tcW w:w="303" w:type="pct"/>
            <w:tcBorders>
              <w:top w:val="single" w:sz="4" w:space="0" w:color="06357A"/>
              <w:bottom w:val="single" w:sz="4" w:space="0" w:color="06357A"/>
            </w:tcBorders>
            <w:shd w:val="clear" w:color="auto" w:fill="auto"/>
            <w:vAlign w:val="center"/>
          </w:tcPr>
          <w:p w14:paraId="06A4A62A"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Women</w:t>
            </w:r>
          </w:p>
        </w:tc>
        <w:tc>
          <w:tcPr>
            <w:tcW w:w="303" w:type="pct"/>
            <w:tcBorders>
              <w:top w:val="single" w:sz="4" w:space="0" w:color="06357A"/>
              <w:bottom w:val="single" w:sz="4" w:space="0" w:color="06357A"/>
            </w:tcBorders>
            <w:shd w:val="clear" w:color="auto" w:fill="auto"/>
            <w:vAlign w:val="center"/>
          </w:tcPr>
          <w:p w14:paraId="75874B15"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Men</w:t>
            </w:r>
          </w:p>
        </w:tc>
        <w:tc>
          <w:tcPr>
            <w:tcW w:w="303" w:type="pct"/>
            <w:tcBorders>
              <w:top w:val="single" w:sz="4" w:space="0" w:color="06357A"/>
              <w:bottom w:val="single" w:sz="4" w:space="0" w:color="06357A"/>
            </w:tcBorders>
            <w:shd w:val="clear" w:color="auto" w:fill="auto"/>
            <w:vAlign w:val="center"/>
          </w:tcPr>
          <w:p w14:paraId="62585CD0"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Women</w:t>
            </w:r>
          </w:p>
        </w:tc>
        <w:tc>
          <w:tcPr>
            <w:tcW w:w="303" w:type="pct"/>
            <w:tcBorders>
              <w:top w:val="single" w:sz="4" w:space="0" w:color="06357A"/>
              <w:bottom w:val="single" w:sz="4" w:space="0" w:color="06357A"/>
            </w:tcBorders>
            <w:shd w:val="clear" w:color="auto" w:fill="auto"/>
            <w:vAlign w:val="center"/>
          </w:tcPr>
          <w:p w14:paraId="72ED7EE3"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Men</w:t>
            </w:r>
          </w:p>
        </w:tc>
        <w:tc>
          <w:tcPr>
            <w:tcW w:w="303" w:type="pct"/>
            <w:tcBorders>
              <w:top w:val="single" w:sz="4" w:space="0" w:color="06357A"/>
              <w:bottom w:val="single" w:sz="4" w:space="0" w:color="06357A"/>
            </w:tcBorders>
            <w:shd w:val="clear" w:color="auto" w:fill="auto"/>
            <w:vAlign w:val="center"/>
          </w:tcPr>
          <w:p w14:paraId="1C29B6D0"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Women</w:t>
            </w:r>
          </w:p>
        </w:tc>
        <w:tc>
          <w:tcPr>
            <w:tcW w:w="303" w:type="pct"/>
            <w:tcBorders>
              <w:top w:val="single" w:sz="4" w:space="0" w:color="06357A"/>
              <w:bottom w:val="single" w:sz="4" w:space="0" w:color="06357A"/>
            </w:tcBorders>
            <w:shd w:val="clear" w:color="auto" w:fill="auto"/>
            <w:vAlign w:val="center"/>
          </w:tcPr>
          <w:p w14:paraId="07571638"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Men</w:t>
            </w:r>
          </w:p>
        </w:tc>
        <w:tc>
          <w:tcPr>
            <w:tcW w:w="303" w:type="pct"/>
            <w:tcBorders>
              <w:top w:val="single" w:sz="4" w:space="0" w:color="06357A"/>
              <w:bottom w:val="single" w:sz="4" w:space="0" w:color="06357A"/>
            </w:tcBorders>
            <w:shd w:val="clear" w:color="auto" w:fill="auto"/>
            <w:vAlign w:val="center"/>
          </w:tcPr>
          <w:p w14:paraId="32FC0EDA"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Women</w:t>
            </w:r>
          </w:p>
        </w:tc>
        <w:tc>
          <w:tcPr>
            <w:tcW w:w="303" w:type="pct"/>
            <w:tcBorders>
              <w:top w:val="single" w:sz="4" w:space="0" w:color="06357A"/>
              <w:bottom w:val="single" w:sz="4" w:space="0" w:color="06357A"/>
            </w:tcBorders>
            <w:vAlign w:val="center"/>
          </w:tcPr>
          <w:p w14:paraId="0AD296FE"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Men</w:t>
            </w:r>
          </w:p>
        </w:tc>
        <w:tc>
          <w:tcPr>
            <w:tcW w:w="303" w:type="pct"/>
            <w:tcBorders>
              <w:top w:val="single" w:sz="4" w:space="0" w:color="06357A"/>
              <w:bottom w:val="single" w:sz="4" w:space="0" w:color="06357A"/>
            </w:tcBorders>
            <w:vAlign w:val="center"/>
          </w:tcPr>
          <w:p w14:paraId="4BF740ED"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Women</w:t>
            </w:r>
          </w:p>
        </w:tc>
        <w:tc>
          <w:tcPr>
            <w:tcW w:w="303" w:type="pct"/>
            <w:tcBorders>
              <w:top w:val="single" w:sz="4" w:space="0" w:color="06357A"/>
              <w:bottom w:val="single" w:sz="4" w:space="0" w:color="06357A"/>
            </w:tcBorders>
            <w:vAlign w:val="center"/>
          </w:tcPr>
          <w:p w14:paraId="678295D8"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Men</w:t>
            </w:r>
          </w:p>
        </w:tc>
        <w:tc>
          <w:tcPr>
            <w:tcW w:w="302" w:type="pct"/>
            <w:tcBorders>
              <w:top w:val="single" w:sz="4" w:space="0" w:color="06357A"/>
              <w:bottom w:val="single" w:sz="4" w:space="0" w:color="06357A"/>
            </w:tcBorders>
            <w:vAlign w:val="center"/>
          </w:tcPr>
          <w:p w14:paraId="17BB5FD4"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Women</w:t>
            </w:r>
          </w:p>
        </w:tc>
      </w:tr>
      <w:tr w:rsidR="003A6119" w:rsidRPr="0078056B" w14:paraId="19A7F3C9" w14:textId="77777777" w:rsidTr="000A186C">
        <w:trPr>
          <w:trHeight w:val="20"/>
        </w:trPr>
        <w:tc>
          <w:tcPr>
            <w:tcW w:w="5000" w:type="pct"/>
            <w:gridSpan w:val="15"/>
            <w:tcBorders>
              <w:top w:val="single" w:sz="4" w:space="0" w:color="06357A"/>
            </w:tcBorders>
            <w:shd w:val="clear" w:color="auto" w:fill="auto"/>
            <w:vAlign w:val="center"/>
          </w:tcPr>
          <w:p w14:paraId="6FBBFB63" w14:textId="77777777" w:rsidR="003A6119" w:rsidRPr="0078056B" w:rsidRDefault="003A6119" w:rsidP="000A186C">
            <w:pPr>
              <w:spacing w:before="0" w:after="0"/>
              <w:ind w:left="28" w:right="28"/>
              <w:jc w:val="left"/>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Gross graduate premiums</w:t>
            </w:r>
          </w:p>
        </w:tc>
      </w:tr>
      <w:tr w:rsidR="003A6119" w:rsidRPr="0078056B" w14:paraId="48D943DF" w14:textId="77777777" w:rsidTr="000A186C">
        <w:trPr>
          <w:trHeight w:val="20"/>
        </w:trPr>
        <w:tc>
          <w:tcPr>
            <w:tcW w:w="5000" w:type="pct"/>
            <w:gridSpan w:val="15"/>
            <w:tcBorders>
              <w:top w:val="single" w:sz="4" w:space="0" w:color="06357A"/>
            </w:tcBorders>
            <w:shd w:val="clear" w:color="auto" w:fill="0B5ED7" w:themeFill="accent2"/>
            <w:vAlign w:val="center"/>
          </w:tcPr>
          <w:p w14:paraId="5B40325F" w14:textId="77777777" w:rsidR="003A6119" w:rsidRPr="0078056B" w:rsidRDefault="003A6119" w:rsidP="000A186C">
            <w:pPr>
              <w:spacing w:before="0" w:after="0"/>
              <w:ind w:left="28" w:right="28"/>
              <w:jc w:val="left"/>
              <w:rPr>
                <w:rFonts w:asciiTheme="minorHAnsi" w:hAnsiTheme="minorHAnsi" w:cstheme="minorHAnsi"/>
                <w:b/>
                <w:color w:val="FFFFFF" w:themeColor="background1"/>
                <w:sz w:val="18"/>
                <w:szCs w:val="18"/>
              </w:rPr>
            </w:pPr>
            <w:r w:rsidRPr="0078056B">
              <w:rPr>
                <w:rFonts w:asciiTheme="minorHAnsi" w:hAnsiTheme="minorHAnsi" w:cstheme="minorHAnsi"/>
                <w:b/>
                <w:color w:val="FFFFFF" w:themeColor="background1"/>
                <w:sz w:val="18"/>
                <w:szCs w:val="18"/>
              </w:rPr>
              <w:t>Full-time students</w:t>
            </w:r>
          </w:p>
        </w:tc>
      </w:tr>
      <w:tr w:rsidR="003A6119" w:rsidRPr="0078056B" w14:paraId="6AA231AB" w14:textId="77777777" w:rsidTr="000A186C">
        <w:trPr>
          <w:trHeight w:val="20"/>
        </w:trPr>
        <w:tc>
          <w:tcPr>
            <w:tcW w:w="759" w:type="pct"/>
            <w:tcBorders>
              <w:top w:val="single" w:sz="4" w:space="0" w:color="06357A"/>
            </w:tcBorders>
            <w:shd w:val="clear" w:color="auto" w:fill="auto"/>
            <w:vAlign w:val="center"/>
          </w:tcPr>
          <w:p w14:paraId="520DA84A"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Other undergraduate</w:t>
            </w:r>
          </w:p>
        </w:tc>
        <w:tc>
          <w:tcPr>
            <w:tcW w:w="303" w:type="pct"/>
            <w:tcBorders>
              <w:top w:val="single" w:sz="4" w:space="0" w:color="06357A"/>
            </w:tcBorders>
            <w:shd w:val="clear" w:color="auto" w:fill="auto"/>
          </w:tcPr>
          <w:p w14:paraId="70FDF665"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£155,000</w:t>
            </w:r>
          </w:p>
        </w:tc>
        <w:tc>
          <w:tcPr>
            <w:tcW w:w="303" w:type="pct"/>
            <w:tcBorders>
              <w:top w:val="single" w:sz="4" w:space="0" w:color="06357A"/>
            </w:tcBorders>
            <w:shd w:val="clear" w:color="auto" w:fill="auto"/>
          </w:tcPr>
          <w:p w14:paraId="59E286E3"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£87,000</w:t>
            </w:r>
          </w:p>
        </w:tc>
        <w:tc>
          <w:tcPr>
            <w:tcW w:w="303" w:type="pct"/>
            <w:tcBorders>
              <w:top w:val="single" w:sz="4" w:space="0" w:color="06357A"/>
            </w:tcBorders>
            <w:shd w:val="clear" w:color="auto" w:fill="auto"/>
          </w:tcPr>
          <w:p w14:paraId="625D9897"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£92,000</w:t>
            </w:r>
          </w:p>
        </w:tc>
        <w:tc>
          <w:tcPr>
            <w:tcW w:w="303" w:type="pct"/>
            <w:tcBorders>
              <w:top w:val="single" w:sz="4" w:space="0" w:color="06357A"/>
            </w:tcBorders>
            <w:shd w:val="clear" w:color="auto" w:fill="auto"/>
          </w:tcPr>
          <w:p w14:paraId="3BB3C8CD"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£57,000</w:t>
            </w:r>
          </w:p>
        </w:tc>
        <w:tc>
          <w:tcPr>
            <w:tcW w:w="303" w:type="pct"/>
            <w:tcBorders>
              <w:top w:val="single" w:sz="4" w:space="0" w:color="06357A"/>
            </w:tcBorders>
            <w:shd w:val="clear" w:color="auto" w:fill="D9D9D9" w:themeFill="background1" w:themeFillShade="D9"/>
          </w:tcPr>
          <w:p w14:paraId="7B2B222E"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r w:rsidRPr="0078056B">
              <w:rPr>
                <w:rFonts w:asciiTheme="minorHAnsi" w:hAnsiTheme="minorHAnsi" w:cstheme="minorHAnsi"/>
                <w:color w:val="FF0000"/>
                <w:sz w:val="18"/>
                <w:szCs w:val="18"/>
              </w:rPr>
              <w:t>-£6,000</w:t>
            </w:r>
          </w:p>
        </w:tc>
        <w:tc>
          <w:tcPr>
            <w:tcW w:w="303" w:type="pct"/>
            <w:tcBorders>
              <w:top w:val="single" w:sz="4" w:space="0" w:color="06357A"/>
            </w:tcBorders>
            <w:shd w:val="clear" w:color="auto" w:fill="D9D9D9" w:themeFill="background1" w:themeFillShade="D9"/>
          </w:tcPr>
          <w:p w14:paraId="40CB4A61"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r w:rsidRPr="0078056B">
              <w:rPr>
                <w:rFonts w:asciiTheme="minorHAnsi" w:hAnsiTheme="minorHAnsi" w:cstheme="minorHAnsi"/>
                <w:color w:val="FF0000"/>
                <w:sz w:val="18"/>
                <w:szCs w:val="18"/>
              </w:rPr>
              <w:t>-£5,000</w:t>
            </w:r>
          </w:p>
        </w:tc>
        <w:tc>
          <w:tcPr>
            <w:tcW w:w="303" w:type="pct"/>
            <w:tcBorders>
              <w:top w:val="single" w:sz="4" w:space="0" w:color="06357A"/>
            </w:tcBorders>
            <w:shd w:val="clear" w:color="auto" w:fill="D9D9D9" w:themeFill="background1" w:themeFillShade="D9"/>
          </w:tcPr>
          <w:p w14:paraId="51F134E4"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r w:rsidRPr="0078056B">
              <w:rPr>
                <w:rFonts w:asciiTheme="minorHAnsi" w:hAnsiTheme="minorHAnsi" w:cstheme="minorHAnsi"/>
                <w:color w:val="FF0000"/>
                <w:sz w:val="18"/>
                <w:szCs w:val="18"/>
              </w:rPr>
              <w:t>-£8,000</w:t>
            </w:r>
          </w:p>
        </w:tc>
        <w:tc>
          <w:tcPr>
            <w:tcW w:w="303" w:type="pct"/>
            <w:tcBorders>
              <w:top w:val="single" w:sz="4" w:space="0" w:color="06357A"/>
            </w:tcBorders>
            <w:shd w:val="clear" w:color="auto" w:fill="D9D9D9" w:themeFill="background1" w:themeFillShade="D9"/>
          </w:tcPr>
          <w:p w14:paraId="2D86FDE0"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r w:rsidRPr="0078056B">
              <w:rPr>
                <w:rFonts w:asciiTheme="minorHAnsi" w:hAnsiTheme="minorHAnsi" w:cstheme="minorHAnsi"/>
                <w:color w:val="FF0000"/>
                <w:sz w:val="18"/>
                <w:szCs w:val="18"/>
              </w:rPr>
              <w:t>-£9,000</w:t>
            </w:r>
          </w:p>
        </w:tc>
        <w:tc>
          <w:tcPr>
            <w:tcW w:w="303" w:type="pct"/>
            <w:tcBorders>
              <w:top w:val="single" w:sz="4" w:space="0" w:color="06357A"/>
            </w:tcBorders>
            <w:shd w:val="clear" w:color="auto" w:fill="D9D9D9" w:themeFill="background1" w:themeFillShade="D9"/>
          </w:tcPr>
          <w:p w14:paraId="2EC63532"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p>
        </w:tc>
        <w:tc>
          <w:tcPr>
            <w:tcW w:w="303" w:type="pct"/>
            <w:tcBorders>
              <w:top w:val="single" w:sz="4" w:space="0" w:color="06357A"/>
            </w:tcBorders>
            <w:shd w:val="clear" w:color="auto" w:fill="D9D9D9" w:themeFill="background1" w:themeFillShade="D9"/>
          </w:tcPr>
          <w:p w14:paraId="04F38932"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p>
        </w:tc>
        <w:tc>
          <w:tcPr>
            <w:tcW w:w="303" w:type="pct"/>
            <w:tcBorders>
              <w:top w:val="single" w:sz="4" w:space="0" w:color="06357A"/>
            </w:tcBorders>
            <w:shd w:val="clear" w:color="auto" w:fill="D9D9D9" w:themeFill="background1" w:themeFillShade="D9"/>
          </w:tcPr>
          <w:p w14:paraId="0DE30854"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r w:rsidRPr="0078056B">
              <w:rPr>
                <w:rFonts w:asciiTheme="minorHAnsi" w:hAnsiTheme="minorHAnsi" w:cstheme="minorHAnsi"/>
                <w:color w:val="FF0000"/>
                <w:sz w:val="18"/>
                <w:szCs w:val="18"/>
              </w:rPr>
              <w:t>-£8,000</w:t>
            </w:r>
          </w:p>
        </w:tc>
        <w:tc>
          <w:tcPr>
            <w:tcW w:w="303" w:type="pct"/>
            <w:tcBorders>
              <w:top w:val="single" w:sz="4" w:space="0" w:color="06357A"/>
            </w:tcBorders>
            <w:shd w:val="clear" w:color="auto" w:fill="D9D9D9" w:themeFill="background1" w:themeFillShade="D9"/>
          </w:tcPr>
          <w:p w14:paraId="59C324BA"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r w:rsidRPr="0078056B">
              <w:rPr>
                <w:rFonts w:asciiTheme="minorHAnsi" w:hAnsiTheme="minorHAnsi" w:cstheme="minorHAnsi"/>
                <w:color w:val="FF0000"/>
                <w:sz w:val="18"/>
                <w:szCs w:val="18"/>
              </w:rPr>
              <w:t>-£9,000</w:t>
            </w:r>
          </w:p>
        </w:tc>
        <w:tc>
          <w:tcPr>
            <w:tcW w:w="303" w:type="pct"/>
            <w:tcBorders>
              <w:top w:val="single" w:sz="4" w:space="0" w:color="06357A"/>
            </w:tcBorders>
            <w:shd w:val="clear" w:color="auto" w:fill="D9D9D9" w:themeFill="background1" w:themeFillShade="D9"/>
          </w:tcPr>
          <w:p w14:paraId="2E64E5D6"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p>
        </w:tc>
        <w:tc>
          <w:tcPr>
            <w:tcW w:w="302" w:type="pct"/>
            <w:tcBorders>
              <w:top w:val="single" w:sz="4" w:space="0" w:color="06357A"/>
            </w:tcBorders>
            <w:shd w:val="clear" w:color="auto" w:fill="D9D9D9" w:themeFill="background1" w:themeFillShade="D9"/>
          </w:tcPr>
          <w:p w14:paraId="6FD21CA7"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p>
        </w:tc>
      </w:tr>
      <w:tr w:rsidR="003A6119" w:rsidRPr="0078056B" w14:paraId="1FDB84A8" w14:textId="77777777" w:rsidTr="000A186C">
        <w:trPr>
          <w:trHeight w:val="20"/>
        </w:trPr>
        <w:tc>
          <w:tcPr>
            <w:tcW w:w="759" w:type="pct"/>
            <w:shd w:val="clear" w:color="auto" w:fill="auto"/>
            <w:vAlign w:val="center"/>
          </w:tcPr>
          <w:p w14:paraId="6B5868D3"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First degree</w:t>
            </w:r>
          </w:p>
        </w:tc>
        <w:tc>
          <w:tcPr>
            <w:tcW w:w="303" w:type="pct"/>
            <w:shd w:val="clear" w:color="auto" w:fill="auto"/>
          </w:tcPr>
          <w:p w14:paraId="39BA6296"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£174,000</w:t>
            </w:r>
          </w:p>
        </w:tc>
        <w:tc>
          <w:tcPr>
            <w:tcW w:w="303" w:type="pct"/>
            <w:shd w:val="clear" w:color="auto" w:fill="auto"/>
          </w:tcPr>
          <w:p w14:paraId="3E64D8C1"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£106,000</w:t>
            </w:r>
          </w:p>
        </w:tc>
        <w:tc>
          <w:tcPr>
            <w:tcW w:w="303" w:type="pct"/>
            <w:shd w:val="clear" w:color="auto" w:fill="auto"/>
          </w:tcPr>
          <w:p w14:paraId="3DDC29CC"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£113,000</w:t>
            </w:r>
          </w:p>
        </w:tc>
        <w:tc>
          <w:tcPr>
            <w:tcW w:w="303" w:type="pct"/>
            <w:shd w:val="clear" w:color="auto" w:fill="auto"/>
          </w:tcPr>
          <w:p w14:paraId="423C4E1A"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£76,000</w:t>
            </w:r>
          </w:p>
        </w:tc>
        <w:tc>
          <w:tcPr>
            <w:tcW w:w="303" w:type="pct"/>
            <w:shd w:val="clear" w:color="auto" w:fill="auto"/>
          </w:tcPr>
          <w:p w14:paraId="1E8D10DE" w14:textId="77777777" w:rsidR="003A6119" w:rsidRPr="0078056B" w:rsidRDefault="003A6119" w:rsidP="000A186C">
            <w:pPr>
              <w:spacing w:before="0" w:after="0"/>
              <w:ind w:left="28" w:right="28"/>
              <w:jc w:val="center"/>
              <w:rPr>
                <w:rFonts w:asciiTheme="minorHAnsi" w:hAnsiTheme="minorHAnsi" w:cstheme="minorHAnsi"/>
                <w:i/>
                <w:iCs/>
                <w:color w:val="000000"/>
                <w:sz w:val="18"/>
                <w:szCs w:val="18"/>
              </w:rPr>
            </w:pPr>
            <w:r w:rsidRPr="0078056B">
              <w:rPr>
                <w:rFonts w:asciiTheme="minorHAnsi" w:hAnsiTheme="minorHAnsi" w:cstheme="minorHAnsi"/>
                <w:sz w:val="18"/>
                <w:szCs w:val="18"/>
              </w:rPr>
              <w:t>£16,000</w:t>
            </w:r>
          </w:p>
        </w:tc>
        <w:tc>
          <w:tcPr>
            <w:tcW w:w="303" w:type="pct"/>
            <w:shd w:val="clear" w:color="auto" w:fill="auto"/>
          </w:tcPr>
          <w:p w14:paraId="24CCCAD3"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£13,000</w:t>
            </w:r>
          </w:p>
        </w:tc>
        <w:tc>
          <w:tcPr>
            <w:tcW w:w="303" w:type="pct"/>
            <w:shd w:val="clear" w:color="auto" w:fill="D9D9D9" w:themeFill="background1" w:themeFillShade="D9"/>
          </w:tcPr>
          <w:p w14:paraId="5F8DC0A4"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-£23,000</w:t>
            </w:r>
          </w:p>
        </w:tc>
        <w:tc>
          <w:tcPr>
            <w:tcW w:w="303" w:type="pct"/>
            <w:shd w:val="clear" w:color="auto" w:fill="D9D9D9" w:themeFill="background1" w:themeFillShade="D9"/>
          </w:tcPr>
          <w:p w14:paraId="5C243210"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-£28,000</w:t>
            </w:r>
          </w:p>
        </w:tc>
        <w:tc>
          <w:tcPr>
            <w:tcW w:w="303" w:type="pct"/>
            <w:shd w:val="clear" w:color="auto" w:fill="D9D9D9" w:themeFill="background1" w:themeFillShade="D9"/>
          </w:tcPr>
          <w:p w14:paraId="73A16B86"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-£23,000</w:t>
            </w:r>
          </w:p>
        </w:tc>
        <w:tc>
          <w:tcPr>
            <w:tcW w:w="303" w:type="pct"/>
            <w:shd w:val="clear" w:color="auto" w:fill="D9D9D9" w:themeFill="background1" w:themeFillShade="D9"/>
          </w:tcPr>
          <w:p w14:paraId="12A6DA1C"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r w:rsidRPr="0078056B">
              <w:rPr>
                <w:rFonts w:asciiTheme="minorHAnsi" w:hAnsiTheme="minorHAnsi" w:cstheme="minorHAnsi"/>
                <w:color w:val="FF0000"/>
                <w:sz w:val="18"/>
                <w:szCs w:val="18"/>
              </w:rPr>
              <w:t>-£28,000</w:t>
            </w:r>
          </w:p>
        </w:tc>
        <w:tc>
          <w:tcPr>
            <w:tcW w:w="303" w:type="pct"/>
            <w:shd w:val="clear" w:color="auto" w:fill="D9D9D9" w:themeFill="background1" w:themeFillShade="D9"/>
          </w:tcPr>
          <w:p w14:paraId="260A2357"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-£23,000</w:t>
            </w:r>
          </w:p>
        </w:tc>
        <w:tc>
          <w:tcPr>
            <w:tcW w:w="303" w:type="pct"/>
            <w:shd w:val="clear" w:color="auto" w:fill="D9D9D9" w:themeFill="background1" w:themeFillShade="D9"/>
          </w:tcPr>
          <w:p w14:paraId="6DFA78CD"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-£28,000</w:t>
            </w:r>
          </w:p>
        </w:tc>
        <w:tc>
          <w:tcPr>
            <w:tcW w:w="303" w:type="pct"/>
            <w:shd w:val="clear" w:color="auto" w:fill="D9D9D9" w:themeFill="background1" w:themeFillShade="D9"/>
          </w:tcPr>
          <w:p w14:paraId="3CF93327"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p>
        </w:tc>
        <w:tc>
          <w:tcPr>
            <w:tcW w:w="302" w:type="pct"/>
            <w:shd w:val="clear" w:color="auto" w:fill="D9D9D9" w:themeFill="background1" w:themeFillShade="D9"/>
          </w:tcPr>
          <w:p w14:paraId="3F2C418D"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r w:rsidRPr="0078056B">
              <w:rPr>
                <w:rFonts w:asciiTheme="minorHAnsi" w:hAnsiTheme="minorHAnsi" w:cstheme="minorHAnsi"/>
                <w:color w:val="FF0000"/>
                <w:sz w:val="18"/>
                <w:szCs w:val="18"/>
              </w:rPr>
              <w:t>-£28,000</w:t>
            </w:r>
          </w:p>
        </w:tc>
      </w:tr>
      <w:tr w:rsidR="003A6119" w:rsidRPr="0078056B" w14:paraId="2A6AFB26" w14:textId="77777777" w:rsidTr="000A186C">
        <w:trPr>
          <w:trHeight w:val="20"/>
        </w:trPr>
        <w:tc>
          <w:tcPr>
            <w:tcW w:w="759" w:type="pct"/>
            <w:shd w:val="clear" w:color="auto" w:fill="auto"/>
            <w:vAlign w:val="center"/>
          </w:tcPr>
          <w:p w14:paraId="437CF0FB"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Other postgraduate</w:t>
            </w:r>
          </w:p>
        </w:tc>
        <w:tc>
          <w:tcPr>
            <w:tcW w:w="303" w:type="pct"/>
            <w:shd w:val="clear" w:color="auto" w:fill="auto"/>
          </w:tcPr>
          <w:p w14:paraId="2B359FC2"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433E8F65"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520FFF31"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4ABDCB0C"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£142,000</w:t>
            </w:r>
          </w:p>
        </w:tc>
        <w:tc>
          <w:tcPr>
            <w:tcW w:w="303" w:type="pct"/>
            <w:shd w:val="clear" w:color="auto" w:fill="auto"/>
          </w:tcPr>
          <w:p w14:paraId="6E2379CD"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£36,000</w:t>
            </w:r>
          </w:p>
        </w:tc>
        <w:tc>
          <w:tcPr>
            <w:tcW w:w="303" w:type="pct"/>
            <w:shd w:val="clear" w:color="auto" w:fill="auto"/>
          </w:tcPr>
          <w:p w14:paraId="6204A3A2"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£81,000</w:t>
            </w:r>
          </w:p>
        </w:tc>
        <w:tc>
          <w:tcPr>
            <w:tcW w:w="303" w:type="pct"/>
            <w:shd w:val="clear" w:color="auto" w:fill="auto"/>
          </w:tcPr>
          <w:p w14:paraId="670668EC"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r w:rsidRPr="0078056B">
              <w:rPr>
                <w:rFonts w:asciiTheme="minorHAnsi" w:hAnsiTheme="minorHAnsi" w:cstheme="minorHAnsi"/>
                <w:color w:val="FF0000"/>
                <w:sz w:val="18"/>
                <w:szCs w:val="18"/>
              </w:rPr>
              <w:t>-£2,000</w:t>
            </w:r>
          </w:p>
        </w:tc>
        <w:tc>
          <w:tcPr>
            <w:tcW w:w="303" w:type="pct"/>
            <w:shd w:val="clear" w:color="auto" w:fill="auto"/>
          </w:tcPr>
          <w:p w14:paraId="7BF41539"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£41,000</w:t>
            </w:r>
          </w:p>
        </w:tc>
        <w:tc>
          <w:tcPr>
            <w:tcW w:w="303" w:type="pct"/>
            <w:shd w:val="clear" w:color="auto" w:fill="D9D9D9" w:themeFill="background1" w:themeFillShade="D9"/>
          </w:tcPr>
          <w:p w14:paraId="5DDF36B3"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r w:rsidRPr="0078056B">
              <w:rPr>
                <w:rFonts w:asciiTheme="minorHAnsi" w:hAnsiTheme="minorHAnsi" w:cstheme="minorHAnsi"/>
                <w:color w:val="FF0000"/>
                <w:sz w:val="18"/>
                <w:szCs w:val="18"/>
              </w:rPr>
              <w:t>-£22,000</w:t>
            </w:r>
          </w:p>
        </w:tc>
        <w:tc>
          <w:tcPr>
            <w:tcW w:w="303" w:type="pct"/>
            <w:shd w:val="clear" w:color="auto" w:fill="D9D9D9" w:themeFill="background1" w:themeFillShade="D9"/>
          </w:tcPr>
          <w:p w14:paraId="574248C4"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r w:rsidRPr="0078056B">
              <w:rPr>
                <w:rFonts w:asciiTheme="minorHAnsi" w:hAnsiTheme="minorHAnsi" w:cstheme="minorHAnsi"/>
                <w:color w:val="FF0000"/>
                <w:sz w:val="18"/>
                <w:szCs w:val="18"/>
              </w:rPr>
              <w:t>-£19,000</w:t>
            </w:r>
          </w:p>
        </w:tc>
        <w:tc>
          <w:tcPr>
            <w:tcW w:w="303" w:type="pct"/>
            <w:shd w:val="clear" w:color="auto" w:fill="D9D9D9" w:themeFill="background1" w:themeFillShade="D9"/>
          </w:tcPr>
          <w:p w14:paraId="24EE7BF2"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-£22,000</w:t>
            </w:r>
          </w:p>
        </w:tc>
        <w:tc>
          <w:tcPr>
            <w:tcW w:w="303" w:type="pct"/>
            <w:shd w:val="clear" w:color="auto" w:fill="D9D9D9" w:themeFill="background1" w:themeFillShade="D9"/>
          </w:tcPr>
          <w:p w14:paraId="6C15A63D"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-£19,000</w:t>
            </w:r>
          </w:p>
        </w:tc>
        <w:tc>
          <w:tcPr>
            <w:tcW w:w="303" w:type="pct"/>
            <w:shd w:val="clear" w:color="auto" w:fill="D9D9D9" w:themeFill="background1" w:themeFillShade="D9"/>
          </w:tcPr>
          <w:p w14:paraId="15975C43"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r w:rsidRPr="0078056B">
              <w:rPr>
                <w:rFonts w:asciiTheme="minorHAnsi" w:hAnsiTheme="minorHAnsi" w:cstheme="minorHAnsi"/>
                <w:color w:val="FF0000"/>
                <w:sz w:val="18"/>
                <w:szCs w:val="18"/>
              </w:rPr>
              <w:t>-£22,000</w:t>
            </w:r>
          </w:p>
        </w:tc>
        <w:tc>
          <w:tcPr>
            <w:tcW w:w="302" w:type="pct"/>
            <w:shd w:val="clear" w:color="auto" w:fill="D9D9D9" w:themeFill="background1" w:themeFillShade="D9"/>
          </w:tcPr>
          <w:p w14:paraId="6ABB319B"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r w:rsidRPr="0078056B">
              <w:rPr>
                <w:rFonts w:asciiTheme="minorHAnsi" w:hAnsiTheme="minorHAnsi" w:cstheme="minorHAnsi"/>
                <w:color w:val="FF0000"/>
                <w:sz w:val="18"/>
                <w:szCs w:val="18"/>
              </w:rPr>
              <w:t>-£19,000</w:t>
            </w:r>
          </w:p>
        </w:tc>
      </w:tr>
      <w:tr w:rsidR="003A6119" w:rsidRPr="0078056B" w14:paraId="5EAE41BE" w14:textId="77777777" w:rsidTr="000A186C">
        <w:trPr>
          <w:trHeight w:val="20"/>
        </w:trPr>
        <w:tc>
          <w:tcPr>
            <w:tcW w:w="759" w:type="pct"/>
            <w:shd w:val="clear" w:color="auto" w:fill="auto"/>
            <w:vAlign w:val="center"/>
          </w:tcPr>
          <w:p w14:paraId="6531B399"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Higher degree (taught)</w:t>
            </w:r>
          </w:p>
        </w:tc>
        <w:tc>
          <w:tcPr>
            <w:tcW w:w="303" w:type="pct"/>
            <w:shd w:val="clear" w:color="auto" w:fill="auto"/>
          </w:tcPr>
          <w:p w14:paraId="3EC3E9C5"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7CEC07B3"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05F055C4"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7016FDDE"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3D161A4C"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£103,000</w:t>
            </w:r>
          </w:p>
        </w:tc>
        <w:tc>
          <w:tcPr>
            <w:tcW w:w="303" w:type="pct"/>
            <w:shd w:val="clear" w:color="auto" w:fill="auto"/>
          </w:tcPr>
          <w:p w14:paraId="13FB97C6"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£111,000</w:t>
            </w:r>
          </w:p>
        </w:tc>
        <w:tc>
          <w:tcPr>
            <w:tcW w:w="303" w:type="pct"/>
            <w:shd w:val="clear" w:color="auto" w:fill="auto"/>
          </w:tcPr>
          <w:p w14:paraId="35FA4951"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£61,000</w:t>
            </w:r>
          </w:p>
        </w:tc>
        <w:tc>
          <w:tcPr>
            <w:tcW w:w="303" w:type="pct"/>
            <w:shd w:val="clear" w:color="auto" w:fill="auto"/>
          </w:tcPr>
          <w:p w14:paraId="5DDB7FB7"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£71,000</w:t>
            </w:r>
          </w:p>
        </w:tc>
        <w:tc>
          <w:tcPr>
            <w:tcW w:w="303" w:type="pct"/>
            <w:shd w:val="clear" w:color="auto" w:fill="auto"/>
          </w:tcPr>
          <w:p w14:paraId="48BF80C6"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sz w:val="18"/>
                <w:szCs w:val="18"/>
              </w:rPr>
              <w:t>£34,000</w:t>
            </w:r>
          </w:p>
        </w:tc>
        <w:tc>
          <w:tcPr>
            <w:tcW w:w="303" w:type="pct"/>
            <w:shd w:val="clear" w:color="auto" w:fill="auto"/>
          </w:tcPr>
          <w:p w14:paraId="75BBF7FB"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sz w:val="18"/>
                <w:szCs w:val="18"/>
              </w:rPr>
              <w:t>£12,000</w:t>
            </w:r>
          </w:p>
        </w:tc>
        <w:tc>
          <w:tcPr>
            <w:tcW w:w="303" w:type="pct"/>
            <w:shd w:val="clear" w:color="auto" w:fill="D9D9D9" w:themeFill="background1" w:themeFillShade="D9"/>
          </w:tcPr>
          <w:p w14:paraId="47254009"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-£15,000</w:t>
            </w:r>
          </w:p>
        </w:tc>
        <w:tc>
          <w:tcPr>
            <w:tcW w:w="303" w:type="pct"/>
            <w:shd w:val="clear" w:color="auto" w:fill="D9D9D9" w:themeFill="background1" w:themeFillShade="D9"/>
          </w:tcPr>
          <w:p w14:paraId="7B1669D0"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-£14,000</w:t>
            </w:r>
          </w:p>
        </w:tc>
        <w:tc>
          <w:tcPr>
            <w:tcW w:w="303" w:type="pct"/>
            <w:shd w:val="clear" w:color="auto" w:fill="D9D9D9" w:themeFill="background1" w:themeFillShade="D9"/>
          </w:tcPr>
          <w:p w14:paraId="25E65AE2"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r w:rsidRPr="0078056B">
              <w:rPr>
                <w:rFonts w:asciiTheme="minorHAnsi" w:hAnsiTheme="minorHAnsi" w:cstheme="minorHAnsi"/>
                <w:color w:val="FF0000"/>
                <w:sz w:val="18"/>
                <w:szCs w:val="18"/>
              </w:rPr>
              <w:t>-£15,000</w:t>
            </w:r>
          </w:p>
        </w:tc>
        <w:tc>
          <w:tcPr>
            <w:tcW w:w="302" w:type="pct"/>
            <w:shd w:val="clear" w:color="auto" w:fill="D9D9D9" w:themeFill="background1" w:themeFillShade="D9"/>
          </w:tcPr>
          <w:p w14:paraId="11394F92"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p>
        </w:tc>
      </w:tr>
      <w:tr w:rsidR="003A6119" w:rsidRPr="0078056B" w14:paraId="2D54BA2A" w14:textId="77777777" w:rsidTr="000A186C">
        <w:trPr>
          <w:trHeight w:val="20"/>
        </w:trPr>
        <w:tc>
          <w:tcPr>
            <w:tcW w:w="759" w:type="pct"/>
            <w:tcBorders>
              <w:bottom w:val="single" w:sz="4" w:space="0" w:color="06357A"/>
            </w:tcBorders>
            <w:shd w:val="clear" w:color="auto" w:fill="auto"/>
            <w:vAlign w:val="center"/>
          </w:tcPr>
          <w:p w14:paraId="5E1D0E95"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Higher degree (research)</w:t>
            </w:r>
          </w:p>
        </w:tc>
        <w:tc>
          <w:tcPr>
            <w:tcW w:w="303" w:type="pct"/>
            <w:tcBorders>
              <w:bottom w:val="single" w:sz="4" w:space="0" w:color="06357A"/>
            </w:tcBorders>
            <w:shd w:val="clear" w:color="auto" w:fill="auto"/>
          </w:tcPr>
          <w:p w14:paraId="1BC54DF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bottom w:val="single" w:sz="4" w:space="0" w:color="06357A"/>
            </w:tcBorders>
            <w:shd w:val="clear" w:color="auto" w:fill="auto"/>
          </w:tcPr>
          <w:p w14:paraId="7B4BA19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bottom w:val="single" w:sz="4" w:space="0" w:color="06357A"/>
            </w:tcBorders>
            <w:shd w:val="clear" w:color="auto" w:fill="auto"/>
          </w:tcPr>
          <w:p w14:paraId="1F82060E"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bottom w:val="single" w:sz="4" w:space="0" w:color="06357A"/>
            </w:tcBorders>
            <w:shd w:val="clear" w:color="auto" w:fill="auto"/>
          </w:tcPr>
          <w:p w14:paraId="5A2EFA8F"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£199,000</w:t>
            </w:r>
          </w:p>
        </w:tc>
        <w:tc>
          <w:tcPr>
            <w:tcW w:w="303" w:type="pct"/>
            <w:tcBorders>
              <w:bottom w:val="single" w:sz="4" w:space="0" w:color="06357A"/>
            </w:tcBorders>
            <w:shd w:val="clear" w:color="auto" w:fill="auto"/>
          </w:tcPr>
          <w:p w14:paraId="574F37FC"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bottom w:val="single" w:sz="4" w:space="0" w:color="06357A"/>
            </w:tcBorders>
            <w:shd w:val="clear" w:color="auto" w:fill="auto"/>
          </w:tcPr>
          <w:p w14:paraId="152397F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bottom w:val="single" w:sz="4" w:space="0" w:color="06357A"/>
            </w:tcBorders>
            <w:shd w:val="clear" w:color="auto" w:fill="auto"/>
          </w:tcPr>
          <w:p w14:paraId="1188A06A"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£69,000</w:t>
            </w:r>
          </w:p>
        </w:tc>
        <w:tc>
          <w:tcPr>
            <w:tcW w:w="303" w:type="pct"/>
            <w:tcBorders>
              <w:bottom w:val="single" w:sz="4" w:space="0" w:color="06357A"/>
            </w:tcBorders>
            <w:shd w:val="clear" w:color="auto" w:fill="auto"/>
          </w:tcPr>
          <w:p w14:paraId="417ECE43"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£92,000</w:t>
            </w:r>
          </w:p>
        </w:tc>
        <w:tc>
          <w:tcPr>
            <w:tcW w:w="303" w:type="pct"/>
            <w:tcBorders>
              <w:bottom w:val="single" w:sz="4" w:space="0" w:color="06357A"/>
            </w:tcBorders>
            <w:shd w:val="clear" w:color="auto" w:fill="auto"/>
          </w:tcPr>
          <w:p w14:paraId="38BBAC51"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£56,000</w:t>
            </w:r>
          </w:p>
        </w:tc>
        <w:tc>
          <w:tcPr>
            <w:tcW w:w="303" w:type="pct"/>
            <w:tcBorders>
              <w:bottom w:val="single" w:sz="4" w:space="0" w:color="06357A"/>
            </w:tcBorders>
            <w:shd w:val="clear" w:color="auto" w:fill="auto"/>
          </w:tcPr>
          <w:p w14:paraId="12CE805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£37,000</w:t>
            </w:r>
          </w:p>
        </w:tc>
        <w:tc>
          <w:tcPr>
            <w:tcW w:w="303" w:type="pct"/>
            <w:tcBorders>
              <w:bottom w:val="single" w:sz="4" w:space="0" w:color="06357A"/>
            </w:tcBorders>
            <w:shd w:val="clear" w:color="auto" w:fill="auto"/>
          </w:tcPr>
          <w:p w14:paraId="171D2B39"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r w:rsidRPr="0078056B">
              <w:rPr>
                <w:rFonts w:asciiTheme="minorHAnsi" w:hAnsiTheme="minorHAnsi" w:cstheme="minorHAnsi"/>
                <w:color w:val="FF0000"/>
                <w:sz w:val="18"/>
                <w:szCs w:val="18"/>
              </w:rPr>
              <w:t>-£1,000</w:t>
            </w:r>
          </w:p>
        </w:tc>
        <w:tc>
          <w:tcPr>
            <w:tcW w:w="303" w:type="pct"/>
            <w:tcBorders>
              <w:bottom w:val="single" w:sz="4" w:space="0" w:color="06357A"/>
            </w:tcBorders>
            <w:shd w:val="clear" w:color="auto" w:fill="auto"/>
          </w:tcPr>
          <w:p w14:paraId="550FD8FC" w14:textId="77777777" w:rsidR="003A6119" w:rsidRPr="0078056B" w:rsidRDefault="003A6119" w:rsidP="000A186C">
            <w:pPr>
              <w:spacing w:before="0" w:after="0"/>
              <w:ind w:left="28" w:right="28"/>
              <w:jc w:val="center"/>
              <w:rPr>
                <w:rFonts w:asciiTheme="minorHAnsi" w:hAnsiTheme="minorHAnsi" w:cstheme="minorHAnsi"/>
                <w:i/>
                <w:iCs/>
                <w:sz w:val="18"/>
                <w:szCs w:val="18"/>
              </w:rPr>
            </w:pPr>
            <w:r w:rsidRPr="0078056B">
              <w:rPr>
                <w:rFonts w:asciiTheme="minorHAnsi" w:hAnsiTheme="minorHAnsi" w:cstheme="minorHAnsi"/>
                <w:sz w:val="18"/>
                <w:szCs w:val="18"/>
              </w:rPr>
              <w:t>£11,000</w:t>
            </w:r>
          </w:p>
        </w:tc>
        <w:tc>
          <w:tcPr>
            <w:tcW w:w="303" w:type="pct"/>
            <w:tcBorders>
              <w:bottom w:val="single" w:sz="4" w:space="0" w:color="06357A"/>
            </w:tcBorders>
            <w:shd w:val="clear" w:color="auto" w:fill="D9D9D9" w:themeFill="background1" w:themeFillShade="D9"/>
          </w:tcPr>
          <w:p w14:paraId="5C042CFD" w14:textId="77777777" w:rsidR="003A6119" w:rsidRPr="0078056B" w:rsidRDefault="003A6119" w:rsidP="000A186C">
            <w:pPr>
              <w:spacing w:before="0" w:after="0"/>
              <w:ind w:left="28" w:right="28"/>
              <w:jc w:val="center"/>
              <w:rPr>
                <w:rFonts w:asciiTheme="minorHAnsi" w:hAnsiTheme="minorHAnsi" w:cstheme="minorHAnsi"/>
                <w:i/>
                <w:iCs/>
                <w:sz w:val="18"/>
                <w:szCs w:val="18"/>
              </w:rPr>
            </w:pPr>
          </w:p>
        </w:tc>
        <w:tc>
          <w:tcPr>
            <w:tcW w:w="302" w:type="pct"/>
            <w:tcBorders>
              <w:bottom w:val="single" w:sz="4" w:space="0" w:color="06357A"/>
            </w:tcBorders>
            <w:shd w:val="clear" w:color="auto" w:fill="D9D9D9" w:themeFill="background1" w:themeFillShade="D9"/>
          </w:tcPr>
          <w:p w14:paraId="273EBFE7"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-£78,000</w:t>
            </w:r>
          </w:p>
        </w:tc>
      </w:tr>
      <w:tr w:rsidR="003A6119" w:rsidRPr="0078056B" w14:paraId="320D9AC2" w14:textId="77777777" w:rsidTr="000A186C">
        <w:trPr>
          <w:trHeight w:val="20"/>
        </w:trPr>
        <w:tc>
          <w:tcPr>
            <w:tcW w:w="5000" w:type="pct"/>
            <w:gridSpan w:val="15"/>
            <w:tcBorders>
              <w:top w:val="single" w:sz="4" w:space="0" w:color="06357A"/>
            </w:tcBorders>
            <w:shd w:val="clear" w:color="auto" w:fill="0B5ED7" w:themeFill="accent2"/>
            <w:vAlign w:val="center"/>
          </w:tcPr>
          <w:p w14:paraId="2676AE68" w14:textId="77777777" w:rsidR="003A6119" w:rsidRPr="0078056B" w:rsidRDefault="003A6119" w:rsidP="000A186C">
            <w:pPr>
              <w:spacing w:before="0" w:after="0"/>
              <w:ind w:left="28" w:right="28"/>
              <w:jc w:val="left"/>
              <w:rPr>
                <w:rFonts w:asciiTheme="minorHAnsi" w:hAnsiTheme="minorHAnsi" w:cstheme="minorHAnsi"/>
                <w:b/>
                <w:color w:val="FFFFFF" w:themeColor="background1"/>
                <w:sz w:val="18"/>
                <w:szCs w:val="18"/>
              </w:rPr>
            </w:pPr>
            <w:r w:rsidRPr="0078056B">
              <w:rPr>
                <w:rFonts w:asciiTheme="minorHAnsi" w:hAnsiTheme="minorHAnsi" w:cstheme="minorHAnsi"/>
                <w:b/>
                <w:color w:val="FFFFFF" w:themeColor="background1"/>
                <w:sz w:val="18"/>
                <w:szCs w:val="18"/>
              </w:rPr>
              <w:t>Part-time students</w:t>
            </w:r>
          </w:p>
        </w:tc>
      </w:tr>
      <w:tr w:rsidR="003A6119" w:rsidRPr="0078056B" w14:paraId="5583BDC5" w14:textId="77777777" w:rsidTr="000A186C">
        <w:trPr>
          <w:trHeight w:val="20"/>
        </w:trPr>
        <w:tc>
          <w:tcPr>
            <w:tcW w:w="759" w:type="pct"/>
            <w:tcBorders>
              <w:top w:val="single" w:sz="4" w:space="0" w:color="06357A"/>
            </w:tcBorders>
            <w:shd w:val="clear" w:color="auto" w:fill="auto"/>
            <w:vAlign w:val="center"/>
          </w:tcPr>
          <w:p w14:paraId="4EF6C92F"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Other undergraduate</w:t>
            </w:r>
          </w:p>
        </w:tc>
        <w:tc>
          <w:tcPr>
            <w:tcW w:w="303" w:type="pct"/>
            <w:tcBorders>
              <w:top w:val="single" w:sz="4" w:space="0" w:color="06357A"/>
            </w:tcBorders>
            <w:shd w:val="clear" w:color="auto" w:fill="auto"/>
          </w:tcPr>
          <w:p w14:paraId="6C90FF91"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£149,000</w:t>
            </w:r>
          </w:p>
        </w:tc>
        <w:tc>
          <w:tcPr>
            <w:tcW w:w="303" w:type="pct"/>
            <w:tcBorders>
              <w:top w:val="single" w:sz="4" w:space="0" w:color="06357A"/>
            </w:tcBorders>
            <w:shd w:val="clear" w:color="auto" w:fill="auto"/>
          </w:tcPr>
          <w:p w14:paraId="11A9424F"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£78,000</w:t>
            </w:r>
          </w:p>
        </w:tc>
        <w:tc>
          <w:tcPr>
            <w:tcW w:w="303" w:type="pct"/>
            <w:tcBorders>
              <w:top w:val="single" w:sz="4" w:space="0" w:color="06357A"/>
            </w:tcBorders>
            <w:shd w:val="clear" w:color="auto" w:fill="auto"/>
          </w:tcPr>
          <w:p w14:paraId="25618214"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£96,000</w:t>
            </w:r>
          </w:p>
        </w:tc>
        <w:tc>
          <w:tcPr>
            <w:tcW w:w="303" w:type="pct"/>
            <w:tcBorders>
              <w:top w:val="single" w:sz="4" w:space="0" w:color="06357A"/>
            </w:tcBorders>
            <w:shd w:val="clear" w:color="auto" w:fill="auto"/>
          </w:tcPr>
          <w:p w14:paraId="28C807A4"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£56,000</w:t>
            </w:r>
          </w:p>
        </w:tc>
        <w:tc>
          <w:tcPr>
            <w:tcW w:w="303" w:type="pct"/>
            <w:tcBorders>
              <w:top w:val="single" w:sz="4" w:space="0" w:color="06357A"/>
            </w:tcBorders>
            <w:shd w:val="clear" w:color="auto" w:fill="D9D9D9" w:themeFill="background1" w:themeFillShade="D9"/>
          </w:tcPr>
          <w:p w14:paraId="1CD9F845"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3" w:type="pct"/>
            <w:tcBorders>
              <w:top w:val="single" w:sz="4" w:space="0" w:color="06357A"/>
            </w:tcBorders>
            <w:shd w:val="clear" w:color="auto" w:fill="D9D9D9" w:themeFill="background1" w:themeFillShade="D9"/>
          </w:tcPr>
          <w:p w14:paraId="711632CD"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3" w:type="pct"/>
            <w:tcBorders>
              <w:top w:val="single" w:sz="4" w:space="0" w:color="06357A"/>
            </w:tcBorders>
            <w:shd w:val="clear" w:color="auto" w:fill="D9D9D9" w:themeFill="background1" w:themeFillShade="D9"/>
          </w:tcPr>
          <w:p w14:paraId="7BA7C41A"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3" w:type="pct"/>
            <w:tcBorders>
              <w:top w:val="single" w:sz="4" w:space="0" w:color="06357A"/>
            </w:tcBorders>
            <w:shd w:val="clear" w:color="auto" w:fill="D9D9D9" w:themeFill="background1" w:themeFillShade="D9"/>
          </w:tcPr>
          <w:p w14:paraId="6E1B0D5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3" w:type="pct"/>
            <w:tcBorders>
              <w:top w:val="single" w:sz="4" w:space="0" w:color="06357A"/>
            </w:tcBorders>
            <w:shd w:val="clear" w:color="auto" w:fill="D9D9D9" w:themeFill="background1" w:themeFillShade="D9"/>
          </w:tcPr>
          <w:p w14:paraId="1EDC5C43"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3" w:type="pct"/>
            <w:tcBorders>
              <w:top w:val="single" w:sz="4" w:space="0" w:color="06357A"/>
            </w:tcBorders>
            <w:shd w:val="clear" w:color="auto" w:fill="D9D9D9" w:themeFill="background1" w:themeFillShade="D9"/>
          </w:tcPr>
          <w:p w14:paraId="06CC4817"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top w:val="single" w:sz="4" w:space="0" w:color="06357A"/>
            </w:tcBorders>
            <w:shd w:val="clear" w:color="auto" w:fill="D9D9D9" w:themeFill="background1" w:themeFillShade="D9"/>
          </w:tcPr>
          <w:p w14:paraId="65F65459"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3" w:type="pct"/>
            <w:tcBorders>
              <w:top w:val="single" w:sz="4" w:space="0" w:color="06357A"/>
            </w:tcBorders>
            <w:shd w:val="clear" w:color="auto" w:fill="D9D9D9" w:themeFill="background1" w:themeFillShade="D9"/>
          </w:tcPr>
          <w:p w14:paraId="360ECACD"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top w:val="single" w:sz="4" w:space="0" w:color="06357A"/>
            </w:tcBorders>
            <w:shd w:val="clear" w:color="auto" w:fill="D9D9D9" w:themeFill="background1" w:themeFillShade="D9"/>
          </w:tcPr>
          <w:p w14:paraId="7086E699"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2" w:type="pct"/>
            <w:tcBorders>
              <w:top w:val="single" w:sz="4" w:space="0" w:color="06357A"/>
            </w:tcBorders>
            <w:shd w:val="clear" w:color="auto" w:fill="D9D9D9" w:themeFill="background1" w:themeFillShade="D9"/>
          </w:tcPr>
          <w:p w14:paraId="02496A68"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r>
      <w:tr w:rsidR="003A6119" w:rsidRPr="0078056B" w14:paraId="339AD1CF" w14:textId="77777777" w:rsidTr="000A186C">
        <w:trPr>
          <w:trHeight w:val="20"/>
        </w:trPr>
        <w:tc>
          <w:tcPr>
            <w:tcW w:w="759" w:type="pct"/>
            <w:shd w:val="clear" w:color="auto" w:fill="auto"/>
            <w:vAlign w:val="center"/>
          </w:tcPr>
          <w:p w14:paraId="3A140BEE"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First degree</w:t>
            </w:r>
          </w:p>
        </w:tc>
        <w:tc>
          <w:tcPr>
            <w:tcW w:w="303" w:type="pct"/>
            <w:shd w:val="clear" w:color="auto" w:fill="auto"/>
          </w:tcPr>
          <w:p w14:paraId="2E1A8061"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49BBD7B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464E5B98"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471CBC32"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346CAC2C"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4815DDF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D9D9D9" w:themeFill="background1" w:themeFillShade="D9"/>
          </w:tcPr>
          <w:p w14:paraId="09F024BF"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D9D9D9" w:themeFill="background1" w:themeFillShade="D9"/>
          </w:tcPr>
          <w:p w14:paraId="5CBE5DB8"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D9D9D9" w:themeFill="background1" w:themeFillShade="D9"/>
          </w:tcPr>
          <w:p w14:paraId="0E1E4DBD"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D9D9D9" w:themeFill="background1" w:themeFillShade="D9"/>
          </w:tcPr>
          <w:p w14:paraId="3B9902BC"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D9D9D9" w:themeFill="background1" w:themeFillShade="D9"/>
          </w:tcPr>
          <w:p w14:paraId="780AAD2D"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D9D9D9" w:themeFill="background1" w:themeFillShade="D9"/>
          </w:tcPr>
          <w:p w14:paraId="4CA2911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D9D9D9" w:themeFill="background1" w:themeFillShade="D9"/>
          </w:tcPr>
          <w:p w14:paraId="13A59918"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2" w:type="pct"/>
            <w:shd w:val="clear" w:color="auto" w:fill="D9D9D9" w:themeFill="background1" w:themeFillShade="D9"/>
          </w:tcPr>
          <w:p w14:paraId="52EEF0D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r>
      <w:tr w:rsidR="003A6119" w:rsidRPr="0078056B" w14:paraId="031B0914" w14:textId="77777777" w:rsidTr="000A186C">
        <w:trPr>
          <w:trHeight w:val="20"/>
        </w:trPr>
        <w:tc>
          <w:tcPr>
            <w:tcW w:w="759" w:type="pct"/>
            <w:shd w:val="clear" w:color="auto" w:fill="auto"/>
            <w:vAlign w:val="center"/>
          </w:tcPr>
          <w:p w14:paraId="556FBA47"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Other postgraduate</w:t>
            </w:r>
          </w:p>
        </w:tc>
        <w:tc>
          <w:tcPr>
            <w:tcW w:w="303" w:type="pct"/>
            <w:shd w:val="clear" w:color="auto" w:fill="auto"/>
          </w:tcPr>
          <w:p w14:paraId="3A4A2BF5"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£128,000</w:t>
            </w:r>
          </w:p>
        </w:tc>
        <w:tc>
          <w:tcPr>
            <w:tcW w:w="303" w:type="pct"/>
            <w:shd w:val="clear" w:color="auto" w:fill="auto"/>
          </w:tcPr>
          <w:p w14:paraId="4A851AA3"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£119,000</w:t>
            </w:r>
          </w:p>
        </w:tc>
        <w:tc>
          <w:tcPr>
            <w:tcW w:w="303" w:type="pct"/>
            <w:shd w:val="clear" w:color="auto" w:fill="auto"/>
          </w:tcPr>
          <w:p w14:paraId="6F5BC7BD"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£92,000</w:t>
            </w:r>
          </w:p>
        </w:tc>
        <w:tc>
          <w:tcPr>
            <w:tcW w:w="303" w:type="pct"/>
            <w:shd w:val="clear" w:color="auto" w:fill="auto"/>
          </w:tcPr>
          <w:p w14:paraId="2F0A8669"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41D34196"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£19,000</w:t>
            </w:r>
          </w:p>
        </w:tc>
        <w:tc>
          <w:tcPr>
            <w:tcW w:w="303" w:type="pct"/>
            <w:shd w:val="clear" w:color="auto" w:fill="auto"/>
          </w:tcPr>
          <w:p w14:paraId="6087F05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£60,000</w:t>
            </w:r>
          </w:p>
        </w:tc>
        <w:tc>
          <w:tcPr>
            <w:tcW w:w="303" w:type="pct"/>
            <w:shd w:val="clear" w:color="auto" w:fill="auto"/>
          </w:tcPr>
          <w:p w14:paraId="5A1CBD3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£4,000</w:t>
            </w:r>
          </w:p>
        </w:tc>
        <w:tc>
          <w:tcPr>
            <w:tcW w:w="303" w:type="pct"/>
            <w:shd w:val="clear" w:color="auto" w:fill="auto"/>
          </w:tcPr>
          <w:p w14:paraId="1B946909"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£42,000</w:t>
            </w:r>
          </w:p>
        </w:tc>
        <w:tc>
          <w:tcPr>
            <w:tcW w:w="303" w:type="pct"/>
            <w:shd w:val="clear" w:color="auto" w:fill="D9D9D9" w:themeFill="background1" w:themeFillShade="D9"/>
          </w:tcPr>
          <w:p w14:paraId="278E47A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3" w:type="pct"/>
            <w:shd w:val="clear" w:color="auto" w:fill="D9D9D9" w:themeFill="background1" w:themeFillShade="D9"/>
          </w:tcPr>
          <w:p w14:paraId="185E984C"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3" w:type="pct"/>
            <w:shd w:val="clear" w:color="auto" w:fill="D9D9D9" w:themeFill="background1" w:themeFillShade="D9"/>
          </w:tcPr>
          <w:p w14:paraId="000566E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3" w:type="pct"/>
            <w:shd w:val="clear" w:color="auto" w:fill="D9D9D9" w:themeFill="background1" w:themeFillShade="D9"/>
          </w:tcPr>
          <w:p w14:paraId="6A49E789"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3" w:type="pct"/>
            <w:shd w:val="clear" w:color="auto" w:fill="D9D9D9" w:themeFill="background1" w:themeFillShade="D9"/>
          </w:tcPr>
          <w:p w14:paraId="30446C61"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2" w:type="pct"/>
            <w:shd w:val="clear" w:color="auto" w:fill="D9D9D9" w:themeFill="background1" w:themeFillShade="D9"/>
          </w:tcPr>
          <w:p w14:paraId="4BFEA55F"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r>
      <w:tr w:rsidR="003A6119" w:rsidRPr="0078056B" w14:paraId="6D9B6DE1" w14:textId="77777777" w:rsidTr="000A186C">
        <w:trPr>
          <w:trHeight w:val="20"/>
        </w:trPr>
        <w:tc>
          <w:tcPr>
            <w:tcW w:w="759" w:type="pct"/>
            <w:shd w:val="clear" w:color="auto" w:fill="auto"/>
            <w:vAlign w:val="center"/>
          </w:tcPr>
          <w:p w14:paraId="3F37F665"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Higher degree (taught)</w:t>
            </w:r>
          </w:p>
        </w:tc>
        <w:tc>
          <w:tcPr>
            <w:tcW w:w="303" w:type="pct"/>
            <w:shd w:val="clear" w:color="auto" w:fill="auto"/>
          </w:tcPr>
          <w:p w14:paraId="60F44806"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167BFC07"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2D8056F6"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£124,000</w:t>
            </w:r>
          </w:p>
        </w:tc>
        <w:tc>
          <w:tcPr>
            <w:tcW w:w="303" w:type="pct"/>
            <w:shd w:val="clear" w:color="auto" w:fill="auto"/>
          </w:tcPr>
          <w:p w14:paraId="2F94DA9C"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7C9351D5"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£61,000</w:t>
            </w:r>
          </w:p>
        </w:tc>
        <w:tc>
          <w:tcPr>
            <w:tcW w:w="303" w:type="pct"/>
            <w:shd w:val="clear" w:color="auto" w:fill="auto"/>
          </w:tcPr>
          <w:p w14:paraId="3AB75D4D"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£73,000</w:t>
            </w:r>
          </w:p>
        </w:tc>
        <w:tc>
          <w:tcPr>
            <w:tcW w:w="303" w:type="pct"/>
            <w:shd w:val="clear" w:color="auto" w:fill="auto"/>
          </w:tcPr>
          <w:p w14:paraId="278335CE"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£49,000</w:t>
            </w:r>
          </w:p>
        </w:tc>
        <w:tc>
          <w:tcPr>
            <w:tcW w:w="303" w:type="pct"/>
            <w:shd w:val="clear" w:color="auto" w:fill="auto"/>
          </w:tcPr>
          <w:p w14:paraId="6FB3E9B6"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£58,000</w:t>
            </w:r>
          </w:p>
        </w:tc>
        <w:tc>
          <w:tcPr>
            <w:tcW w:w="303" w:type="pct"/>
            <w:shd w:val="clear" w:color="auto" w:fill="auto"/>
          </w:tcPr>
          <w:p w14:paraId="6419EF1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£45,000</w:t>
            </w:r>
          </w:p>
        </w:tc>
        <w:tc>
          <w:tcPr>
            <w:tcW w:w="303" w:type="pct"/>
            <w:shd w:val="clear" w:color="auto" w:fill="auto"/>
          </w:tcPr>
          <w:p w14:paraId="51F53412"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£20,000</w:t>
            </w:r>
          </w:p>
        </w:tc>
        <w:tc>
          <w:tcPr>
            <w:tcW w:w="303" w:type="pct"/>
            <w:shd w:val="clear" w:color="auto" w:fill="D9D9D9" w:themeFill="background1" w:themeFillShade="D9"/>
          </w:tcPr>
          <w:p w14:paraId="46DB68A9"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3" w:type="pct"/>
            <w:shd w:val="clear" w:color="auto" w:fill="D9D9D9" w:themeFill="background1" w:themeFillShade="D9"/>
          </w:tcPr>
          <w:p w14:paraId="6A4AF83A"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3" w:type="pct"/>
            <w:shd w:val="clear" w:color="auto" w:fill="D9D9D9" w:themeFill="background1" w:themeFillShade="D9"/>
          </w:tcPr>
          <w:p w14:paraId="5921CB4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2" w:type="pct"/>
            <w:shd w:val="clear" w:color="auto" w:fill="D9D9D9" w:themeFill="background1" w:themeFillShade="D9"/>
          </w:tcPr>
          <w:p w14:paraId="0080F09D"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r>
      <w:tr w:rsidR="003A6119" w:rsidRPr="0078056B" w14:paraId="6E90A823" w14:textId="77777777" w:rsidTr="000A186C">
        <w:trPr>
          <w:trHeight w:val="20"/>
        </w:trPr>
        <w:tc>
          <w:tcPr>
            <w:tcW w:w="759" w:type="pct"/>
            <w:tcBorders>
              <w:bottom w:val="single" w:sz="4" w:space="0" w:color="06357A"/>
            </w:tcBorders>
            <w:shd w:val="clear" w:color="auto" w:fill="auto"/>
            <w:vAlign w:val="center"/>
          </w:tcPr>
          <w:p w14:paraId="7ED34F71"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Higher degree (research)</w:t>
            </w:r>
          </w:p>
        </w:tc>
        <w:tc>
          <w:tcPr>
            <w:tcW w:w="303" w:type="pct"/>
            <w:tcBorders>
              <w:bottom w:val="single" w:sz="4" w:space="0" w:color="06357A"/>
            </w:tcBorders>
            <w:shd w:val="clear" w:color="auto" w:fill="auto"/>
          </w:tcPr>
          <w:p w14:paraId="0B9B8D6D"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bottom w:val="single" w:sz="4" w:space="0" w:color="06357A"/>
            </w:tcBorders>
            <w:shd w:val="clear" w:color="auto" w:fill="auto"/>
          </w:tcPr>
          <w:p w14:paraId="698D4D4F"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bottom w:val="single" w:sz="4" w:space="0" w:color="06357A"/>
            </w:tcBorders>
            <w:shd w:val="clear" w:color="auto" w:fill="auto"/>
          </w:tcPr>
          <w:p w14:paraId="6CDBD12C"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bottom w:val="single" w:sz="4" w:space="0" w:color="06357A"/>
            </w:tcBorders>
            <w:shd w:val="clear" w:color="auto" w:fill="auto"/>
          </w:tcPr>
          <w:p w14:paraId="47F48064"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bottom w:val="single" w:sz="4" w:space="0" w:color="06357A"/>
            </w:tcBorders>
            <w:shd w:val="clear" w:color="auto" w:fill="auto"/>
          </w:tcPr>
          <w:p w14:paraId="09EE5C77"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bottom w:val="single" w:sz="4" w:space="0" w:color="06357A"/>
            </w:tcBorders>
            <w:shd w:val="clear" w:color="auto" w:fill="auto"/>
          </w:tcPr>
          <w:p w14:paraId="185DF66F"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bottom w:val="single" w:sz="4" w:space="0" w:color="06357A"/>
            </w:tcBorders>
            <w:shd w:val="clear" w:color="auto" w:fill="auto"/>
          </w:tcPr>
          <w:p w14:paraId="67C3B273"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£75,000</w:t>
            </w:r>
          </w:p>
        </w:tc>
        <w:tc>
          <w:tcPr>
            <w:tcW w:w="303" w:type="pct"/>
            <w:tcBorders>
              <w:bottom w:val="single" w:sz="4" w:space="0" w:color="06357A"/>
            </w:tcBorders>
            <w:shd w:val="clear" w:color="auto" w:fill="auto"/>
          </w:tcPr>
          <w:p w14:paraId="59A1D379"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£67,000</w:t>
            </w:r>
          </w:p>
        </w:tc>
        <w:tc>
          <w:tcPr>
            <w:tcW w:w="303" w:type="pct"/>
            <w:tcBorders>
              <w:bottom w:val="single" w:sz="4" w:space="0" w:color="06357A"/>
            </w:tcBorders>
            <w:shd w:val="clear" w:color="auto" w:fill="auto"/>
          </w:tcPr>
          <w:p w14:paraId="303A9FCD"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bottom w:val="single" w:sz="4" w:space="0" w:color="BFBFBF"/>
            </w:tcBorders>
            <w:shd w:val="clear" w:color="auto" w:fill="auto"/>
          </w:tcPr>
          <w:p w14:paraId="541142F4"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£44,000</w:t>
            </w:r>
          </w:p>
        </w:tc>
        <w:tc>
          <w:tcPr>
            <w:tcW w:w="303" w:type="pct"/>
            <w:tcBorders>
              <w:bottom w:val="single" w:sz="4" w:space="0" w:color="BFBFBF"/>
            </w:tcBorders>
            <w:shd w:val="clear" w:color="auto" w:fill="auto"/>
          </w:tcPr>
          <w:p w14:paraId="35426F6C"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£47,000</w:t>
            </w:r>
          </w:p>
        </w:tc>
        <w:tc>
          <w:tcPr>
            <w:tcW w:w="303" w:type="pct"/>
            <w:tcBorders>
              <w:bottom w:val="single" w:sz="4" w:space="0" w:color="BFBFBF"/>
            </w:tcBorders>
            <w:shd w:val="clear" w:color="auto" w:fill="auto"/>
          </w:tcPr>
          <w:p w14:paraId="50B94179"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£32,000</w:t>
            </w:r>
          </w:p>
        </w:tc>
        <w:tc>
          <w:tcPr>
            <w:tcW w:w="303" w:type="pct"/>
            <w:tcBorders>
              <w:bottom w:val="single" w:sz="4" w:space="0" w:color="BFBFBF"/>
            </w:tcBorders>
            <w:shd w:val="clear" w:color="auto" w:fill="D9D9D9" w:themeFill="background1" w:themeFillShade="D9"/>
          </w:tcPr>
          <w:p w14:paraId="6E11A47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2" w:type="pct"/>
            <w:tcBorders>
              <w:bottom w:val="single" w:sz="4" w:space="0" w:color="BFBFBF"/>
            </w:tcBorders>
            <w:shd w:val="clear" w:color="auto" w:fill="D9D9D9" w:themeFill="background1" w:themeFillShade="D9"/>
          </w:tcPr>
          <w:p w14:paraId="35E0079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r>
      <w:tr w:rsidR="003A6119" w:rsidRPr="0078056B" w14:paraId="173C32BE" w14:textId="77777777" w:rsidTr="000A186C">
        <w:trPr>
          <w:trHeight w:val="120"/>
        </w:trPr>
        <w:tc>
          <w:tcPr>
            <w:tcW w:w="5000" w:type="pct"/>
            <w:gridSpan w:val="15"/>
            <w:tcBorders>
              <w:top w:val="single" w:sz="4" w:space="0" w:color="06357A"/>
              <w:bottom w:val="single" w:sz="4" w:space="0" w:color="06357A"/>
            </w:tcBorders>
            <w:shd w:val="clear" w:color="auto" w:fill="auto"/>
            <w:vAlign w:val="center"/>
          </w:tcPr>
          <w:p w14:paraId="3E8F36F5" w14:textId="77777777" w:rsidR="003A6119" w:rsidRPr="0078056B" w:rsidRDefault="003A6119" w:rsidP="000A186C">
            <w:pPr>
              <w:spacing w:before="0" w:after="0"/>
              <w:jc w:val="left"/>
              <w:rPr>
                <w:rFonts w:asciiTheme="minorHAnsi" w:hAnsiTheme="minorHAnsi" w:cstheme="minorHAnsi"/>
                <w:b/>
                <w:color w:val="0B5ED7" w:themeColor="accent2"/>
                <w:sz w:val="18"/>
                <w:szCs w:val="18"/>
              </w:rPr>
            </w:pPr>
          </w:p>
        </w:tc>
      </w:tr>
      <w:tr w:rsidR="003A6119" w:rsidRPr="0078056B" w14:paraId="14204EC9" w14:textId="77777777" w:rsidTr="000A186C">
        <w:trPr>
          <w:trHeight w:val="20"/>
        </w:trPr>
        <w:tc>
          <w:tcPr>
            <w:tcW w:w="5000" w:type="pct"/>
            <w:gridSpan w:val="15"/>
            <w:tcBorders>
              <w:top w:val="single" w:sz="4" w:space="0" w:color="06357A"/>
              <w:bottom w:val="single" w:sz="4" w:space="0" w:color="06357A"/>
            </w:tcBorders>
            <w:shd w:val="clear" w:color="auto" w:fill="auto"/>
            <w:vAlign w:val="center"/>
          </w:tcPr>
          <w:p w14:paraId="7B735F6A" w14:textId="77777777" w:rsidR="003A6119" w:rsidRPr="0078056B" w:rsidRDefault="003A6119" w:rsidP="000A186C">
            <w:pPr>
              <w:spacing w:before="0" w:after="0"/>
              <w:ind w:left="28" w:right="28"/>
              <w:jc w:val="left"/>
              <w:rPr>
                <w:rFonts w:asciiTheme="minorHAnsi" w:hAnsiTheme="minorHAnsi" w:cstheme="minorHAnsi"/>
                <w:b/>
                <w:color w:val="0B5ED7" w:themeColor="accent2"/>
                <w:sz w:val="18"/>
                <w:szCs w:val="18"/>
              </w:rPr>
            </w:pPr>
            <w:r w:rsidRPr="0078056B">
              <w:rPr>
                <w:rFonts w:asciiTheme="minorHAnsi" w:hAnsiTheme="minorHAnsi" w:cstheme="minorHAnsi"/>
                <w:b/>
                <w:color w:val="06357A"/>
                <w:sz w:val="18"/>
                <w:szCs w:val="18"/>
              </w:rPr>
              <w:t>Gross Exchequer benefits</w:t>
            </w:r>
          </w:p>
        </w:tc>
      </w:tr>
      <w:tr w:rsidR="003A6119" w:rsidRPr="0078056B" w14:paraId="2EFE141A" w14:textId="77777777" w:rsidTr="000A186C">
        <w:trPr>
          <w:trHeight w:val="20"/>
        </w:trPr>
        <w:tc>
          <w:tcPr>
            <w:tcW w:w="5000" w:type="pct"/>
            <w:gridSpan w:val="15"/>
            <w:tcBorders>
              <w:top w:val="single" w:sz="4" w:space="0" w:color="06357A"/>
              <w:bottom w:val="single" w:sz="4" w:space="0" w:color="06357A"/>
            </w:tcBorders>
            <w:shd w:val="clear" w:color="auto" w:fill="06357A" w:themeFill="text2"/>
            <w:vAlign w:val="center"/>
          </w:tcPr>
          <w:p w14:paraId="367B3070" w14:textId="77777777" w:rsidR="003A6119" w:rsidRPr="0078056B" w:rsidRDefault="003A6119" w:rsidP="000A186C">
            <w:pPr>
              <w:spacing w:before="0" w:after="0"/>
              <w:ind w:left="28" w:right="28"/>
              <w:jc w:val="left"/>
              <w:rPr>
                <w:rFonts w:asciiTheme="minorHAnsi" w:hAnsiTheme="minorHAnsi" w:cstheme="minorHAnsi"/>
                <w:color w:val="FFFFFF" w:themeColor="background1"/>
                <w:sz w:val="18"/>
                <w:szCs w:val="18"/>
              </w:rPr>
            </w:pPr>
            <w:r w:rsidRPr="0078056B">
              <w:rPr>
                <w:rFonts w:asciiTheme="minorHAnsi" w:hAnsiTheme="minorHAnsi" w:cstheme="minorHAnsi"/>
                <w:b/>
                <w:color w:val="FFFFFF" w:themeColor="background1"/>
                <w:sz w:val="18"/>
                <w:szCs w:val="18"/>
              </w:rPr>
              <w:t>Full-time students</w:t>
            </w:r>
          </w:p>
        </w:tc>
      </w:tr>
      <w:tr w:rsidR="003A6119" w:rsidRPr="0078056B" w14:paraId="0C8951E0" w14:textId="77777777" w:rsidTr="000A186C">
        <w:trPr>
          <w:trHeight w:val="20"/>
        </w:trPr>
        <w:tc>
          <w:tcPr>
            <w:tcW w:w="759" w:type="pct"/>
            <w:tcBorders>
              <w:top w:val="single" w:sz="4" w:space="0" w:color="06357A"/>
            </w:tcBorders>
            <w:shd w:val="clear" w:color="auto" w:fill="auto"/>
            <w:vAlign w:val="center"/>
          </w:tcPr>
          <w:p w14:paraId="6455F3FF"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Other undergraduate</w:t>
            </w:r>
          </w:p>
        </w:tc>
        <w:tc>
          <w:tcPr>
            <w:tcW w:w="303" w:type="pct"/>
            <w:tcBorders>
              <w:top w:val="single" w:sz="4" w:space="0" w:color="06357A"/>
            </w:tcBorders>
            <w:shd w:val="clear" w:color="auto" w:fill="auto"/>
          </w:tcPr>
          <w:p w14:paraId="507E7393"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£136,000</w:t>
            </w:r>
          </w:p>
        </w:tc>
        <w:tc>
          <w:tcPr>
            <w:tcW w:w="303" w:type="pct"/>
            <w:tcBorders>
              <w:top w:val="single" w:sz="4" w:space="0" w:color="06357A"/>
            </w:tcBorders>
            <w:shd w:val="clear" w:color="auto" w:fill="auto"/>
          </w:tcPr>
          <w:p w14:paraId="1E24A47F"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£71,000</w:t>
            </w:r>
          </w:p>
        </w:tc>
        <w:tc>
          <w:tcPr>
            <w:tcW w:w="303" w:type="pct"/>
            <w:tcBorders>
              <w:top w:val="single" w:sz="4" w:space="0" w:color="06357A"/>
            </w:tcBorders>
            <w:shd w:val="clear" w:color="auto" w:fill="auto"/>
          </w:tcPr>
          <w:p w14:paraId="7EC76AA8"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£82,000</w:t>
            </w:r>
          </w:p>
        </w:tc>
        <w:tc>
          <w:tcPr>
            <w:tcW w:w="303" w:type="pct"/>
            <w:tcBorders>
              <w:top w:val="single" w:sz="4" w:space="0" w:color="06357A"/>
            </w:tcBorders>
            <w:shd w:val="clear" w:color="auto" w:fill="auto"/>
          </w:tcPr>
          <w:p w14:paraId="4353BD05"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£50,000</w:t>
            </w:r>
          </w:p>
        </w:tc>
        <w:tc>
          <w:tcPr>
            <w:tcW w:w="303" w:type="pct"/>
            <w:tcBorders>
              <w:top w:val="single" w:sz="4" w:space="0" w:color="06357A"/>
            </w:tcBorders>
            <w:shd w:val="clear" w:color="auto" w:fill="D9D9D9" w:themeFill="background1" w:themeFillShade="D9"/>
          </w:tcPr>
          <w:p w14:paraId="7E874ABF"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-£1,000</w:t>
            </w:r>
          </w:p>
        </w:tc>
        <w:tc>
          <w:tcPr>
            <w:tcW w:w="303" w:type="pct"/>
            <w:tcBorders>
              <w:top w:val="single" w:sz="4" w:space="0" w:color="06357A"/>
            </w:tcBorders>
            <w:shd w:val="clear" w:color="auto" w:fill="D9D9D9" w:themeFill="background1" w:themeFillShade="D9"/>
          </w:tcPr>
          <w:p w14:paraId="274B6ABD"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-£1,000</w:t>
            </w:r>
          </w:p>
        </w:tc>
        <w:tc>
          <w:tcPr>
            <w:tcW w:w="303" w:type="pct"/>
            <w:tcBorders>
              <w:top w:val="single" w:sz="4" w:space="0" w:color="06357A"/>
            </w:tcBorders>
            <w:shd w:val="clear" w:color="auto" w:fill="D9D9D9" w:themeFill="background1" w:themeFillShade="D9"/>
          </w:tcPr>
          <w:p w14:paraId="134A9720"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-£1,000</w:t>
            </w:r>
          </w:p>
        </w:tc>
        <w:tc>
          <w:tcPr>
            <w:tcW w:w="303" w:type="pct"/>
            <w:tcBorders>
              <w:top w:val="single" w:sz="4" w:space="0" w:color="06357A"/>
            </w:tcBorders>
            <w:shd w:val="clear" w:color="auto" w:fill="D9D9D9" w:themeFill="background1" w:themeFillShade="D9"/>
          </w:tcPr>
          <w:p w14:paraId="2F945E86"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-£1,000</w:t>
            </w:r>
          </w:p>
        </w:tc>
        <w:tc>
          <w:tcPr>
            <w:tcW w:w="303" w:type="pct"/>
            <w:tcBorders>
              <w:top w:val="single" w:sz="4" w:space="0" w:color="06357A"/>
            </w:tcBorders>
            <w:shd w:val="clear" w:color="auto" w:fill="D9D9D9" w:themeFill="background1" w:themeFillShade="D9"/>
          </w:tcPr>
          <w:p w14:paraId="69FB017C"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p>
        </w:tc>
        <w:tc>
          <w:tcPr>
            <w:tcW w:w="303" w:type="pct"/>
            <w:tcBorders>
              <w:top w:val="single" w:sz="4" w:space="0" w:color="06357A"/>
            </w:tcBorders>
            <w:shd w:val="clear" w:color="auto" w:fill="D9D9D9" w:themeFill="background1" w:themeFillShade="D9"/>
          </w:tcPr>
          <w:p w14:paraId="5D74E4D6"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p>
        </w:tc>
        <w:tc>
          <w:tcPr>
            <w:tcW w:w="303" w:type="pct"/>
            <w:tcBorders>
              <w:top w:val="single" w:sz="4" w:space="0" w:color="06357A"/>
            </w:tcBorders>
            <w:shd w:val="clear" w:color="auto" w:fill="D9D9D9" w:themeFill="background1" w:themeFillShade="D9"/>
          </w:tcPr>
          <w:p w14:paraId="687BCA12"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r w:rsidRPr="0078056B">
              <w:rPr>
                <w:rFonts w:asciiTheme="minorHAnsi" w:hAnsiTheme="minorHAnsi" w:cstheme="minorHAnsi"/>
                <w:color w:val="FF0000"/>
                <w:sz w:val="18"/>
                <w:szCs w:val="18"/>
              </w:rPr>
              <w:t>-£1,000</w:t>
            </w:r>
          </w:p>
        </w:tc>
        <w:tc>
          <w:tcPr>
            <w:tcW w:w="303" w:type="pct"/>
            <w:tcBorders>
              <w:top w:val="single" w:sz="4" w:space="0" w:color="06357A"/>
            </w:tcBorders>
            <w:shd w:val="clear" w:color="auto" w:fill="D9D9D9" w:themeFill="background1" w:themeFillShade="D9"/>
          </w:tcPr>
          <w:p w14:paraId="7003F6B1"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-£1,000</w:t>
            </w:r>
          </w:p>
        </w:tc>
        <w:tc>
          <w:tcPr>
            <w:tcW w:w="303" w:type="pct"/>
            <w:tcBorders>
              <w:top w:val="single" w:sz="4" w:space="0" w:color="06357A"/>
            </w:tcBorders>
            <w:shd w:val="clear" w:color="auto" w:fill="D9D9D9" w:themeFill="background1" w:themeFillShade="D9"/>
          </w:tcPr>
          <w:p w14:paraId="631BE28E"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p>
        </w:tc>
        <w:tc>
          <w:tcPr>
            <w:tcW w:w="302" w:type="pct"/>
            <w:tcBorders>
              <w:top w:val="single" w:sz="4" w:space="0" w:color="06357A"/>
            </w:tcBorders>
            <w:shd w:val="clear" w:color="auto" w:fill="D9D9D9" w:themeFill="background1" w:themeFillShade="D9"/>
          </w:tcPr>
          <w:p w14:paraId="3FCF3DF9"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p>
        </w:tc>
      </w:tr>
      <w:tr w:rsidR="003A6119" w:rsidRPr="0078056B" w14:paraId="5D4A71BD" w14:textId="77777777" w:rsidTr="000A186C">
        <w:trPr>
          <w:trHeight w:val="20"/>
        </w:trPr>
        <w:tc>
          <w:tcPr>
            <w:tcW w:w="759" w:type="pct"/>
            <w:shd w:val="clear" w:color="auto" w:fill="auto"/>
            <w:vAlign w:val="center"/>
          </w:tcPr>
          <w:p w14:paraId="0B16BEBE"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First degree</w:t>
            </w:r>
          </w:p>
        </w:tc>
        <w:tc>
          <w:tcPr>
            <w:tcW w:w="303" w:type="pct"/>
            <w:shd w:val="clear" w:color="auto" w:fill="auto"/>
          </w:tcPr>
          <w:p w14:paraId="02A033A1"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£167,000</w:t>
            </w:r>
          </w:p>
        </w:tc>
        <w:tc>
          <w:tcPr>
            <w:tcW w:w="303" w:type="pct"/>
            <w:shd w:val="clear" w:color="auto" w:fill="auto"/>
          </w:tcPr>
          <w:p w14:paraId="56E9483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£99,000</w:t>
            </w:r>
          </w:p>
        </w:tc>
        <w:tc>
          <w:tcPr>
            <w:tcW w:w="303" w:type="pct"/>
            <w:shd w:val="clear" w:color="auto" w:fill="auto"/>
          </w:tcPr>
          <w:p w14:paraId="4E84E7BC"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£114,000</w:t>
            </w:r>
          </w:p>
        </w:tc>
        <w:tc>
          <w:tcPr>
            <w:tcW w:w="303" w:type="pct"/>
            <w:shd w:val="clear" w:color="auto" w:fill="auto"/>
          </w:tcPr>
          <w:p w14:paraId="5BBB0225"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£78,000</w:t>
            </w:r>
          </w:p>
        </w:tc>
        <w:tc>
          <w:tcPr>
            <w:tcW w:w="303" w:type="pct"/>
            <w:shd w:val="clear" w:color="auto" w:fill="auto"/>
          </w:tcPr>
          <w:p w14:paraId="304E2008" w14:textId="77777777" w:rsidR="003A6119" w:rsidRPr="0078056B" w:rsidRDefault="003A6119" w:rsidP="000A186C">
            <w:pPr>
              <w:spacing w:before="0" w:after="0"/>
              <w:ind w:left="28" w:right="28"/>
              <w:jc w:val="center"/>
              <w:rPr>
                <w:rFonts w:asciiTheme="minorHAnsi" w:hAnsiTheme="minorHAnsi" w:cstheme="minorHAnsi"/>
                <w:i/>
                <w:iCs/>
                <w:color w:val="000000"/>
                <w:sz w:val="18"/>
                <w:szCs w:val="18"/>
              </w:rPr>
            </w:pPr>
            <w:r w:rsidRPr="0078056B">
              <w:rPr>
                <w:rFonts w:asciiTheme="minorHAnsi" w:hAnsiTheme="minorHAnsi" w:cstheme="minorHAnsi"/>
                <w:sz w:val="18"/>
                <w:szCs w:val="18"/>
              </w:rPr>
              <w:t>£32,000</w:t>
            </w:r>
          </w:p>
        </w:tc>
        <w:tc>
          <w:tcPr>
            <w:tcW w:w="303" w:type="pct"/>
            <w:shd w:val="clear" w:color="auto" w:fill="auto"/>
          </w:tcPr>
          <w:p w14:paraId="402F9D89"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£27,000</w:t>
            </w:r>
          </w:p>
        </w:tc>
        <w:tc>
          <w:tcPr>
            <w:tcW w:w="303" w:type="pct"/>
            <w:shd w:val="clear" w:color="auto" w:fill="D9D9D9" w:themeFill="background1" w:themeFillShade="D9"/>
          </w:tcPr>
          <w:p w14:paraId="7DBB674F"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-£2,000</w:t>
            </w:r>
          </w:p>
        </w:tc>
        <w:tc>
          <w:tcPr>
            <w:tcW w:w="303" w:type="pct"/>
            <w:shd w:val="clear" w:color="auto" w:fill="D9D9D9" w:themeFill="background1" w:themeFillShade="D9"/>
          </w:tcPr>
          <w:p w14:paraId="19773A09"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-£4,000</w:t>
            </w:r>
          </w:p>
        </w:tc>
        <w:tc>
          <w:tcPr>
            <w:tcW w:w="303" w:type="pct"/>
            <w:shd w:val="clear" w:color="auto" w:fill="D9D9D9" w:themeFill="background1" w:themeFillShade="D9"/>
          </w:tcPr>
          <w:p w14:paraId="0DFA3A52"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-£2,000</w:t>
            </w:r>
          </w:p>
        </w:tc>
        <w:tc>
          <w:tcPr>
            <w:tcW w:w="303" w:type="pct"/>
            <w:shd w:val="clear" w:color="auto" w:fill="D9D9D9" w:themeFill="background1" w:themeFillShade="D9"/>
          </w:tcPr>
          <w:p w14:paraId="539C2777"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r w:rsidRPr="0078056B">
              <w:rPr>
                <w:rFonts w:asciiTheme="minorHAnsi" w:hAnsiTheme="minorHAnsi" w:cstheme="minorHAnsi"/>
                <w:color w:val="FF0000"/>
                <w:sz w:val="18"/>
                <w:szCs w:val="18"/>
              </w:rPr>
              <w:t>-£4,000</w:t>
            </w:r>
          </w:p>
        </w:tc>
        <w:tc>
          <w:tcPr>
            <w:tcW w:w="303" w:type="pct"/>
            <w:shd w:val="clear" w:color="auto" w:fill="D9D9D9" w:themeFill="background1" w:themeFillShade="D9"/>
          </w:tcPr>
          <w:p w14:paraId="28A2EB9B"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-£2,000</w:t>
            </w:r>
          </w:p>
        </w:tc>
        <w:tc>
          <w:tcPr>
            <w:tcW w:w="303" w:type="pct"/>
            <w:shd w:val="clear" w:color="auto" w:fill="D9D9D9" w:themeFill="background1" w:themeFillShade="D9"/>
          </w:tcPr>
          <w:p w14:paraId="0D3557F4"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-£4,000</w:t>
            </w:r>
          </w:p>
        </w:tc>
        <w:tc>
          <w:tcPr>
            <w:tcW w:w="303" w:type="pct"/>
            <w:shd w:val="clear" w:color="auto" w:fill="D9D9D9" w:themeFill="background1" w:themeFillShade="D9"/>
          </w:tcPr>
          <w:p w14:paraId="527BD96C"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p>
        </w:tc>
        <w:tc>
          <w:tcPr>
            <w:tcW w:w="302" w:type="pct"/>
            <w:shd w:val="clear" w:color="auto" w:fill="D9D9D9" w:themeFill="background1" w:themeFillShade="D9"/>
          </w:tcPr>
          <w:p w14:paraId="7450DD65" w14:textId="77777777" w:rsidR="003A6119" w:rsidRPr="0078056B" w:rsidRDefault="003A6119" w:rsidP="000A186C">
            <w:pPr>
              <w:spacing w:before="0" w:after="0"/>
              <w:ind w:left="28" w:right="28"/>
              <w:jc w:val="center"/>
              <w:rPr>
                <w:rFonts w:asciiTheme="minorHAnsi" w:hAnsiTheme="minorHAnsi" w:cstheme="minorHAnsi"/>
                <w:i/>
                <w:iCs/>
                <w:color w:val="FF0000"/>
                <w:sz w:val="18"/>
                <w:szCs w:val="18"/>
              </w:rPr>
            </w:pPr>
            <w:r w:rsidRPr="0078056B">
              <w:rPr>
                <w:rFonts w:asciiTheme="minorHAnsi" w:hAnsiTheme="minorHAnsi" w:cstheme="minorHAnsi"/>
                <w:color w:val="FF0000"/>
                <w:sz w:val="18"/>
                <w:szCs w:val="18"/>
              </w:rPr>
              <w:t>-£4,000</w:t>
            </w:r>
          </w:p>
        </w:tc>
      </w:tr>
      <w:tr w:rsidR="003A6119" w:rsidRPr="0078056B" w14:paraId="1184707C" w14:textId="77777777" w:rsidTr="000A186C">
        <w:trPr>
          <w:trHeight w:val="20"/>
        </w:trPr>
        <w:tc>
          <w:tcPr>
            <w:tcW w:w="759" w:type="pct"/>
            <w:shd w:val="clear" w:color="auto" w:fill="auto"/>
            <w:vAlign w:val="center"/>
          </w:tcPr>
          <w:p w14:paraId="0BFA37DB"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Other postgraduate</w:t>
            </w:r>
          </w:p>
        </w:tc>
        <w:tc>
          <w:tcPr>
            <w:tcW w:w="303" w:type="pct"/>
            <w:shd w:val="clear" w:color="auto" w:fill="auto"/>
          </w:tcPr>
          <w:p w14:paraId="193D7805"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663218C7"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2AED76A4"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72ED3E14"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£123,000</w:t>
            </w:r>
          </w:p>
        </w:tc>
        <w:tc>
          <w:tcPr>
            <w:tcW w:w="303" w:type="pct"/>
            <w:shd w:val="clear" w:color="auto" w:fill="auto"/>
          </w:tcPr>
          <w:p w14:paraId="12737091"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£42,000</w:t>
            </w:r>
          </w:p>
        </w:tc>
        <w:tc>
          <w:tcPr>
            <w:tcW w:w="303" w:type="pct"/>
            <w:shd w:val="clear" w:color="auto" w:fill="auto"/>
          </w:tcPr>
          <w:p w14:paraId="71B22258"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£75,000</w:t>
            </w:r>
          </w:p>
        </w:tc>
        <w:tc>
          <w:tcPr>
            <w:tcW w:w="303" w:type="pct"/>
            <w:shd w:val="clear" w:color="auto" w:fill="auto"/>
          </w:tcPr>
          <w:p w14:paraId="59DC8899" w14:textId="77777777" w:rsidR="003A6119" w:rsidRPr="0078056B" w:rsidRDefault="003A6119" w:rsidP="000A186C">
            <w:pPr>
              <w:spacing w:before="0" w:after="0"/>
              <w:ind w:left="28" w:right="28"/>
              <w:jc w:val="center"/>
              <w:rPr>
                <w:rFonts w:asciiTheme="minorHAnsi" w:hAnsiTheme="minorHAnsi" w:cstheme="minorHAnsi"/>
                <w:i/>
                <w:iCs/>
                <w:color w:val="000000"/>
                <w:sz w:val="18"/>
                <w:szCs w:val="18"/>
              </w:rPr>
            </w:pPr>
            <w:r w:rsidRPr="0078056B">
              <w:rPr>
                <w:rFonts w:asciiTheme="minorHAnsi" w:hAnsiTheme="minorHAnsi" w:cstheme="minorHAnsi"/>
                <w:sz w:val="18"/>
                <w:szCs w:val="18"/>
              </w:rPr>
              <w:t>£9,000</w:t>
            </w:r>
          </w:p>
        </w:tc>
        <w:tc>
          <w:tcPr>
            <w:tcW w:w="303" w:type="pct"/>
            <w:shd w:val="clear" w:color="auto" w:fill="auto"/>
          </w:tcPr>
          <w:p w14:paraId="7C712E85"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£41,000</w:t>
            </w:r>
          </w:p>
        </w:tc>
        <w:tc>
          <w:tcPr>
            <w:tcW w:w="303" w:type="pct"/>
            <w:shd w:val="clear" w:color="auto" w:fill="D9D9D9" w:themeFill="background1" w:themeFillShade="D9"/>
          </w:tcPr>
          <w:p w14:paraId="1D129576"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-£12,000</w:t>
            </w:r>
          </w:p>
        </w:tc>
        <w:tc>
          <w:tcPr>
            <w:tcW w:w="303" w:type="pct"/>
            <w:shd w:val="clear" w:color="auto" w:fill="D9D9D9" w:themeFill="background1" w:themeFillShade="D9"/>
          </w:tcPr>
          <w:p w14:paraId="6CFC8E21"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-£9,000</w:t>
            </w:r>
          </w:p>
        </w:tc>
        <w:tc>
          <w:tcPr>
            <w:tcW w:w="303" w:type="pct"/>
            <w:shd w:val="clear" w:color="auto" w:fill="D9D9D9" w:themeFill="background1" w:themeFillShade="D9"/>
          </w:tcPr>
          <w:p w14:paraId="2FE58605"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-£12,000</w:t>
            </w:r>
          </w:p>
        </w:tc>
        <w:tc>
          <w:tcPr>
            <w:tcW w:w="303" w:type="pct"/>
            <w:shd w:val="clear" w:color="auto" w:fill="D9D9D9" w:themeFill="background1" w:themeFillShade="D9"/>
          </w:tcPr>
          <w:p w14:paraId="13533560"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-£9,000</w:t>
            </w:r>
          </w:p>
        </w:tc>
        <w:tc>
          <w:tcPr>
            <w:tcW w:w="303" w:type="pct"/>
            <w:shd w:val="clear" w:color="auto" w:fill="D9D9D9" w:themeFill="background1" w:themeFillShade="D9"/>
          </w:tcPr>
          <w:p w14:paraId="7A336941"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-£12,000</w:t>
            </w:r>
          </w:p>
        </w:tc>
        <w:tc>
          <w:tcPr>
            <w:tcW w:w="302" w:type="pct"/>
            <w:shd w:val="clear" w:color="auto" w:fill="D9D9D9" w:themeFill="background1" w:themeFillShade="D9"/>
          </w:tcPr>
          <w:p w14:paraId="2159EA76"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-£9,000</w:t>
            </w:r>
          </w:p>
        </w:tc>
      </w:tr>
      <w:tr w:rsidR="003A6119" w:rsidRPr="0078056B" w14:paraId="766FCB58" w14:textId="77777777" w:rsidTr="000A186C">
        <w:trPr>
          <w:trHeight w:val="20"/>
        </w:trPr>
        <w:tc>
          <w:tcPr>
            <w:tcW w:w="759" w:type="pct"/>
            <w:shd w:val="clear" w:color="auto" w:fill="auto"/>
            <w:vAlign w:val="center"/>
          </w:tcPr>
          <w:p w14:paraId="20DC00B1"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Higher degree (taught)</w:t>
            </w:r>
          </w:p>
        </w:tc>
        <w:tc>
          <w:tcPr>
            <w:tcW w:w="303" w:type="pct"/>
            <w:shd w:val="clear" w:color="auto" w:fill="auto"/>
          </w:tcPr>
          <w:p w14:paraId="33135042"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06FAB22C"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5A91EC51"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2B23D152"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1821EDDD"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£109,000</w:t>
            </w:r>
          </w:p>
        </w:tc>
        <w:tc>
          <w:tcPr>
            <w:tcW w:w="303" w:type="pct"/>
            <w:shd w:val="clear" w:color="auto" w:fill="auto"/>
          </w:tcPr>
          <w:p w14:paraId="68AEFE2A"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£98,000</w:t>
            </w:r>
          </w:p>
        </w:tc>
        <w:tc>
          <w:tcPr>
            <w:tcW w:w="303" w:type="pct"/>
            <w:shd w:val="clear" w:color="auto" w:fill="auto"/>
          </w:tcPr>
          <w:p w14:paraId="1C598B05"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£72,000</w:t>
            </w:r>
          </w:p>
        </w:tc>
        <w:tc>
          <w:tcPr>
            <w:tcW w:w="303" w:type="pct"/>
            <w:shd w:val="clear" w:color="auto" w:fill="auto"/>
          </w:tcPr>
          <w:p w14:paraId="3236F8AA"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£65,000</w:t>
            </w:r>
          </w:p>
        </w:tc>
        <w:tc>
          <w:tcPr>
            <w:tcW w:w="303" w:type="pct"/>
            <w:shd w:val="clear" w:color="auto" w:fill="auto"/>
          </w:tcPr>
          <w:p w14:paraId="01EE4DEE"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sz w:val="18"/>
                <w:szCs w:val="18"/>
              </w:rPr>
              <w:t>£46,000</w:t>
            </w:r>
          </w:p>
        </w:tc>
        <w:tc>
          <w:tcPr>
            <w:tcW w:w="303" w:type="pct"/>
            <w:shd w:val="clear" w:color="auto" w:fill="auto"/>
          </w:tcPr>
          <w:p w14:paraId="2E305178"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sz w:val="18"/>
                <w:szCs w:val="18"/>
              </w:rPr>
              <w:t>£16,000</w:t>
            </w:r>
          </w:p>
        </w:tc>
        <w:tc>
          <w:tcPr>
            <w:tcW w:w="303" w:type="pct"/>
            <w:shd w:val="clear" w:color="auto" w:fill="D9D9D9" w:themeFill="background1" w:themeFillShade="D9"/>
          </w:tcPr>
          <w:p w14:paraId="0EB2304E"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-£6,000</w:t>
            </w:r>
          </w:p>
        </w:tc>
        <w:tc>
          <w:tcPr>
            <w:tcW w:w="303" w:type="pct"/>
            <w:shd w:val="clear" w:color="auto" w:fill="D9D9D9" w:themeFill="background1" w:themeFillShade="D9"/>
          </w:tcPr>
          <w:p w14:paraId="64F3E44B"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-£5,000</w:t>
            </w:r>
          </w:p>
        </w:tc>
        <w:tc>
          <w:tcPr>
            <w:tcW w:w="303" w:type="pct"/>
            <w:shd w:val="clear" w:color="auto" w:fill="D9D9D9" w:themeFill="background1" w:themeFillShade="D9"/>
          </w:tcPr>
          <w:p w14:paraId="7B8A07C8"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-£6,000</w:t>
            </w:r>
          </w:p>
        </w:tc>
        <w:tc>
          <w:tcPr>
            <w:tcW w:w="302" w:type="pct"/>
            <w:shd w:val="clear" w:color="auto" w:fill="D9D9D9" w:themeFill="background1" w:themeFillShade="D9"/>
          </w:tcPr>
          <w:p w14:paraId="79596B21" w14:textId="77777777" w:rsidR="003A6119" w:rsidRPr="0078056B" w:rsidRDefault="003A6119" w:rsidP="000A186C">
            <w:pPr>
              <w:spacing w:before="0" w:after="0"/>
              <w:ind w:left="28" w:right="28"/>
              <w:jc w:val="center"/>
              <w:rPr>
                <w:rFonts w:asciiTheme="minorHAnsi" w:hAnsiTheme="minorHAnsi" w:cstheme="minorHAnsi"/>
                <w:i/>
                <w:iCs/>
                <w:sz w:val="18"/>
                <w:szCs w:val="18"/>
              </w:rPr>
            </w:pPr>
          </w:p>
        </w:tc>
      </w:tr>
      <w:tr w:rsidR="003A6119" w:rsidRPr="0078056B" w14:paraId="5A8E9E55" w14:textId="77777777" w:rsidTr="000A186C">
        <w:trPr>
          <w:trHeight w:val="20"/>
        </w:trPr>
        <w:tc>
          <w:tcPr>
            <w:tcW w:w="759" w:type="pct"/>
            <w:tcBorders>
              <w:bottom w:val="single" w:sz="4" w:space="0" w:color="06357A"/>
            </w:tcBorders>
            <w:shd w:val="clear" w:color="auto" w:fill="auto"/>
            <w:vAlign w:val="center"/>
          </w:tcPr>
          <w:p w14:paraId="39D8E0A3"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Higher degree (research)</w:t>
            </w:r>
          </w:p>
        </w:tc>
        <w:tc>
          <w:tcPr>
            <w:tcW w:w="303" w:type="pct"/>
            <w:tcBorders>
              <w:bottom w:val="single" w:sz="4" w:space="0" w:color="06357A"/>
            </w:tcBorders>
            <w:shd w:val="clear" w:color="auto" w:fill="auto"/>
          </w:tcPr>
          <w:p w14:paraId="502E95D2"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bottom w:val="single" w:sz="4" w:space="0" w:color="06357A"/>
            </w:tcBorders>
            <w:shd w:val="clear" w:color="auto" w:fill="auto"/>
          </w:tcPr>
          <w:p w14:paraId="26367381"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bottom w:val="single" w:sz="4" w:space="0" w:color="06357A"/>
            </w:tcBorders>
            <w:shd w:val="clear" w:color="auto" w:fill="auto"/>
          </w:tcPr>
          <w:p w14:paraId="11F9EA04"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bottom w:val="single" w:sz="4" w:space="0" w:color="06357A"/>
            </w:tcBorders>
            <w:shd w:val="clear" w:color="auto" w:fill="auto"/>
          </w:tcPr>
          <w:p w14:paraId="3B93603D"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£190,000</w:t>
            </w:r>
          </w:p>
        </w:tc>
        <w:tc>
          <w:tcPr>
            <w:tcW w:w="303" w:type="pct"/>
            <w:tcBorders>
              <w:bottom w:val="single" w:sz="4" w:space="0" w:color="06357A"/>
            </w:tcBorders>
            <w:shd w:val="clear" w:color="auto" w:fill="auto"/>
          </w:tcPr>
          <w:p w14:paraId="1FDFD443"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bottom w:val="single" w:sz="4" w:space="0" w:color="06357A"/>
            </w:tcBorders>
            <w:shd w:val="clear" w:color="auto" w:fill="auto"/>
          </w:tcPr>
          <w:p w14:paraId="68DEC87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bottom w:val="single" w:sz="4" w:space="0" w:color="06357A"/>
            </w:tcBorders>
            <w:shd w:val="clear" w:color="auto" w:fill="auto"/>
          </w:tcPr>
          <w:p w14:paraId="45BE1516"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£120,000</w:t>
            </w:r>
          </w:p>
        </w:tc>
        <w:tc>
          <w:tcPr>
            <w:tcW w:w="303" w:type="pct"/>
            <w:tcBorders>
              <w:bottom w:val="single" w:sz="4" w:space="0" w:color="06357A"/>
            </w:tcBorders>
            <w:shd w:val="clear" w:color="auto" w:fill="auto"/>
          </w:tcPr>
          <w:p w14:paraId="283BD73E"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£102,000</w:t>
            </w:r>
          </w:p>
        </w:tc>
        <w:tc>
          <w:tcPr>
            <w:tcW w:w="303" w:type="pct"/>
            <w:tcBorders>
              <w:bottom w:val="single" w:sz="4" w:space="0" w:color="06357A"/>
            </w:tcBorders>
            <w:shd w:val="clear" w:color="auto" w:fill="auto"/>
          </w:tcPr>
          <w:p w14:paraId="1ABD2EB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£106,000</w:t>
            </w:r>
          </w:p>
        </w:tc>
        <w:tc>
          <w:tcPr>
            <w:tcW w:w="303" w:type="pct"/>
            <w:tcBorders>
              <w:bottom w:val="single" w:sz="4" w:space="0" w:color="06357A"/>
            </w:tcBorders>
            <w:shd w:val="clear" w:color="auto" w:fill="auto"/>
          </w:tcPr>
          <w:p w14:paraId="66B6812A"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£56,000</w:t>
            </w:r>
          </w:p>
        </w:tc>
        <w:tc>
          <w:tcPr>
            <w:tcW w:w="303" w:type="pct"/>
            <w:tcBorders>
              <w:bottom w:val="single" w:sz="4" w:space="0" w:color="06357A"/>
            </w:tcBorders>
            <w:shd w:val="clear" w:color="auto" w:fill="auto"/>
          </w:tcPr>
          <w:p w14:paraId="0286222C"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£49,000</w:t>
            </w:r>
          </w:p>
        </w:tc>
        <w:tc>
          <w:tcPr>
            <w:tcW w:w="303" w:type="pct"/>
            <w:tcBorders>
              <w:bottom w:val="single" w:sz="4" w:space="0" w:color="06357A"/>
            </w:tcBorders>
            <w:shd w:val="clear" w:color="auto" w:fill="auto"/>
          </w:tcPr>
          <w:p w14:paraId="6ED99366"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£35,000</w:t>
            </w:r>
          </w:p>
        </w:tc>
        <w:tc>
          <w:tcPr>
            <w:tcW w:w="303" w:type="pct"/>
            <w:tcBorders>
              <w:bottom w:val="single" w:sz="4" w:space="0" w:color="06357A"/>
            </w:tcBorders>
            <w:shd w:val="clear" w:color="auto" w:fill="D9D9D9" w:themeFill="background1" w:themeFillShade="D9"/>
          </w:tcPr>
          <w:p w14:paraId="2BF8B0B6" w14:textId="77777777" w:rsidR="003A6119" w:rsidRPr="0078056B" w:rsidRDefault="003A6119" w:rsidP="000A186C">
            <w:pPr>
              <w:spacing w:before="0" w:after="0"/>
              <w:ind w:left="28" w:right="28"/>
              <w:jc w:val="center"/>
              <w:rPr>
                <w:rFonts w:asciiTheme="minorHAnsi" w:hAnsiTheme="minorHAnsi" w:cstheme="minorHAnsi"/>
                <w:i/>
                <w:iCs/>
                <w:sz w:val="18"/>
                <w:szCs w:val="18"/>
              </w:rPr>
            </w:pPr>
          </w:p>
        </w:tc>
        <w:tc>
          <w:tcPr>
            <w:tcW w:w="302" w:type="pct"/>
            <w:tcBorders>
              <w:bottom w:val="single" w:sz="4" w:space="0" w:color="06357A"/>
            </w:tcBorders>
            <w:shd w:val="clear" w:color="auto" w:fill="D9D9D9" w:themeFill="background1" w:themeFillShade="D9"/>
          </w:tcPr>
          <w:p w14:paraId="7E9FFBDF"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-£37,000</w:t>
            </w:r>
          </w:p>
        </w:tc>
      </w:tr>
      <w:tr w:rsidR="003A6119" w:rsidRPr="0078056B" w14:paraId="0AD5BCCA" w14:textId="77777777" w:rsidTr="000A186C">
        <w:trPr>
          <w:trHeight w:val="20"/>
        </w:trPr>
        <w:tc>
          <w:tcPr>
            <w:tcW w:w="5000" w:type="pct"/>
            <w:gridSpan w:val="15"/>
            <w:tcBorders>
              <w:top w:val="single" w:sz="4" w:space="0" w:color="06357A"/>
              <w:bottom w:val="single" w:sz="4" w:space="0" w:color="06357A"/>
            </w:tcBorders>
            <w:shd w:val="clear" w:color="auto" w:fill="06357A" w:themeFill="text2"/>
            <w:vAlign w:val="center"/>
          </w:tcPr>
          <w:p w14:paraId="2C5D1AB1" w14:textId="77777777" w:rsidR="003A6119" w:rsidRPr="0078056B" w:rsidRDefault="003A6119" w:rsidP="000A186C">
            <w:pPr>
              <w:spacing w:before="0" w:after="0"/>
              <w:ind w:left="28" w:right="28"/>
              <w:jc w:val="left"/>
              <w:rPr>
                <w:rFonts w:asciiTheme="minorHAnsi" w:hAnsiTheme="minorHAnsi" w:cstheme="minorHAnsi"/>
                <w:b/>
                <w:bCs/>
                <w:color w:val="FFFFFF" w:themeColor="background1"/>
                <w:sz w:val="18"/>
                <w:szCs w:val="18"/>
              </w:rPr>
            </w:pPr>
            <w:r w:rsidRPr="0078056B">
              <w:rPr>
                <w:rFonts w:asciiTheme="minorHAnsi" w:hAnsiTheme="minorHAnsi" w:cstheme="minorHAnsi"/>
                <w:b/>
                <w:color w:val="FFFFFF" w:themeColor="background1"/>
                <w:sz w:val="18"/>
                <w:szCs w:val="18"/>
              </w:rPr>
              <w:t>Part-</w:t>
            </w:r>
            <w:r w:rsidRPr="0078056B">
              <w:rPr>
                <w:rFonts w:asciiTheme="minorHAnsi" w:hAnsiTheme="minorHAnsi" w:cstheme="minorHAnsi"/>
                <w:b/>
                <w:color w:val="FFFFFF" w:themeColor="background1"/>
                <w:sz w:val="18"/>
                <w:szCs w:val="18"/>
                <w:shd w:val="clear" w:color="auto" w:fill="06357A" w:themeFill="text2"/>
              </w:rPr>
              <w:t>time students</w:t>
            </w:r>
          </w:p>
        </w:tc>
      </w:tr>
      <w:tr w:rsidR="003A6119" w:rsidRPr="0078056B" w14:paraId="695F6716" w14:textId="77777777" w:rsidTr="000A186C">
        <w:trPr>
          <w:trHeight w:val="20"/>
        </w:trPr>
        <w:tc>
          <w:tcPr>
            <w:tcW w:w="759" w:type="pct"/>
            <w:tcBorders>
              <w:top w:val="single" w:sz="4" w:space="0" w:color="06357A"/>
            </w:tcBorders>
            <w:shd w:val="clear" w:color="auto" w:fill="auto"/>
            <w:vAlign w:val="center"/>
          </w:tcPr>
          <w:p w14:paraId="44B8459C"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Other undergraduate</w:t>
            </w:r>
          </w:p>
        </w:tc>
        <w:tc>
          <w:tcPr>
            <w:tcW w:w="303" w:type="pct"/>
            <w:tcBorders>
              <w:top w:val="single" w:sz="4" w:space="0" w:color="06357A"/>
            </w:tcBorders>
            <w:shd w:val="clear" w:color="auto" w:fill="auto"/>
          </w:tcPr>
          <w:p w14:paraId="6C533C4C"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£125,000</w:t>
            </w:r>
          </w:p>
        </w:tc>
        <w:tc>
          <w:tcPr>
            <w:tcW w:w="303" w:type="pct"/>
            <w:tcBorders>
              <w:top w:val="single" w:sz="4" w:space="0" w:color="06357A"/>
            </w:tcBorders>
            <w:shd w:val="clear" w:color="auto" w:fill="auto"/>
          </w:tcPr>
          <w:p w14:paraId="503D2C84"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£62,000</w:t>
            </w:r>
          </w:p>
        </w:tc>
        <w:tc>
          <w:tcPr>
            <w:tcW w:w="303" w:type="pct"/>
            <w:tcBorders>
              <w:top w:val="single" w:sz="4" w:space="0" w:color="06357A"/>
            </w:tcBorders>
            <w:shd w:val="clear" w:color="auto" w:fill="auto"/>
          </w:tcPr>
          <w:p w14:paraId="55E1960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£80,000</w:t>
            </w:r>
          </w:p>
        </w:tc>
        <w:tc>
          <w:tcPr>
            <w:tcW w:w="303" w:type="pct"/>
            <w:tcBorders>
              <w:top w:val="single" w:sz="4" w:space="0" w:color="06357A"/>
            </w:tcBorders>
            <w:shd w:val="clear" w:color="auto" w:fill="auto"/>
          </w:tcPr>
          <w:p w14:paraId="4A4453DE"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£45,000</w:t>
            </w:r>
          </w:p>
        </w:tc>
        <w:tc>
          <w:tcPr>
            <w:tcW w:w="303" w:type="pct"/>
            <w:tcBorders>
              <w:top w:val="single" w:sz="4" w:space="0" w:color="06357A"/>
            </w:tcBorders>
            <w:shd w:val="clear" w:color="auto" w:fill="D9D9D9" w:themeFill="background1" w:themeFillShade="D9"/>
          </w:tcPr>
          <w:p w14:paraId="3A524BA2"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3" w:type="pct"/>
            <w:tcBorders>
              <w:top w:val="single" w:sz="4" w:space="0" w:color="06357A"/>
            </w:tcBorders>
            <w:shd w:val="clear" w:color="auto" w:fill="D9D9D9" w:themeFill="background1" w:themeFillShade="D9"/>
          </w:tcPr>
          <w:p w14:paraId="022C537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3" w:type="pct"/>
            <w:tcBorders>
              <w:top w:val="single" w:sz="4" w:space="0" w:color="06357A"/>
            </w:tcBorders>
            <w:shd w:val="clear" w:color="auto" w:fill="D9D9D9" w:themeFill="background1" w:themeFillShade="D9"/>
          </w:tcPr>
          <w:p w14:paraId="798B500D"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3" w:type="pct"/>
            <w:tcBorders>
              <w:top w:val="single" w:sz="4" w:space="0" w:color="06357A"/>
            </w:tcBorders>
            <w:shd w:val="clear" w:color="auto" w:fill="D9D9D9" w:themeFill="background1" w:themeFillShade="D9"/>
          </w:tcPr>
          <w:p w14:paraId="708AEFA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3" w:type="pct"/>
            <w:tcBorders>
              <w:top w:val="single" w:sz="4" w:space="0" w:color="06357A"/>
            </w:tcBorders>
            <w:shd w:val="clear" w:color="auto" w:fill="D9D9D9" w:themeFill="background1" w:themeFillShade="D9"/>
          </w:tcPr>
          <w:p w14:paraId="1D196816"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3" w:type="pct"/>
            <w:tcBorders>
              <w:top w:val="single" w:sz="4" w:space="0" w:color="06357A"/>
            </w:tcBorders>
            <w:shd w:val="clear" w:color="auto" w:fill="D9D9D9" w:themeFill="background1" w:themeFillShade="D9"/>
          </w:tcPr>
          <w:p w14:paraId="72BADC4C"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top w:val="single" w:sz="4" w:space="0" w:color="06357A"/>
            </w:tcBorders>
            <w:shd w:val="clear" w:color="auto" w:fill="D9D9D9" w:themeFill="background1" w:themeFillShade="D9"/>
          </w:tcPr>
          <w:p w14:paraId="05A23451"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3" w:type="pct"/>
            <w:tcBorders>
              <w:top w:val="single" w:sz="4" w:space="0" w:color="06357A"/>
            </w:tcBorders>
            <w:shd w:val="clear" w:color="auto" w:fill="D9D9D9" w:themeFill="background1" w:themeFillShade="D9"/>
          </w:tcPr>
          <w:p w14:paraId="3ABDBFB3"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top w:val="single" w:sz="4" w:space="0" w:color="06357A"/>
            </w:tcBorders>
            <w:shd w:val="clear" w:color="auto" w:fill="D9D9D9" w:themeFill="background1" w:themeFillShade="D9"/>
          </w:tcPr>
          <w:p w14:paraId="1C6FF951"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2" w:type="pct"/>
            <w:tcBorders>
              <w:top w:val="single" w:sz="4" w:space="0" w:color="06357A"/>
            </w:tcBorders>
            <w:shd w:val="clear" w:color="auto" w:fill="D9D9D9" w:themeFill="background1" w:themeFillShade="D9"/>
          </w:tcPr>
          <w:p w14:paraId="0EBC504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r>
      <w:tr w:rsidR="003A6119" w:rsidRPr="0078056B" w14:paraId="0FD8F35D" w14:textId="77777777" w:rsidTr="000A186C">
        <w:trPr>
          <w:trHeight w:val="20"/>
        </w:trPr>
        <w:tc>
          <w:tcPr>
            <w:tcW w:w="759" w:type="pct"/>
            <w:shd w:val="clear" w:color="auto" w:fill="auto"/>
            <w:vAlign w:val="center"/>
          </w:tcPr>
          <w:p w14:paraId="0C02ADE8"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First degree</w:t>
            </w:r>
          </w:p>
        </w:tc>
        <w:tc>
          <w:tcPr>
            <w:tcW w:w="303" w:type="pct"/>
            <w:shd w:val="clear" w:color="auto" w:fill="auto"/>
          </w:tcPr>
          <w:p w14:paraId="5DD65ADF"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036902B2"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6E99066E"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7F98AAC2"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1EDBDDF9"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73DF58E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D9D9D9" w:themeFill="background1" w:themeFillShade="D9"/>
          </w:tcPr>
          <w:p w14:paraId="5A6329CD"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D9D9D9" w:themeFill="background1" w:themeFillShade="D9"/>
          </w:tcPr>
          <w:p w14:paraId="2947962F"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D9D9D9" w:themeFill="background1" w:themeFillShade="D9"/>
          </w:tcPr>
          <w:p w14:paraId="3A595474"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D9D9D9" w:themeFill="background1" w:themeFillShade="D9"/>
          </w:tcPr>
          <w:p w14:paraId="1009B5A5"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D9D9D9" w:themeFill="background1" w:themeFillShade="D9"/>
          </w:tcPr>
          <w:p w14:paraId="5F8A23B3"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D9D9D9" w:themeFill="background1" w:themeFillShade="D9"/>
          </w:tcPr>
          <w:p w14:paraId="51888309"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D9D9D9" w:themeFill="background1" w:themeFillShade="D9"/>
          </w:tcPr>
          <w:p w14:paraId="7D17D784"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2" w:type="pct"/>
            <w:shd w:val="clear" w:color="auto" w:fill="D9D9D9" w:themeFill="background1" w:themeFillShade="D9"/>
          </w:tcPr>
          <w:p w14:paraId="16B3EEB2"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r>
      <w:tr w:rsidR="003A6119" w:rsidRPr="0078056B" w14:paraId="686F89D2" w14:textId="77777777" w:rsidTr="000A186C">
        <w:trPr>
          <w:trHeight w:val="20"/>
        </w:trPr>
        <w:tc>
          <w:tcPr>
            <w:tcW w:w="759" w:type="pct"/>
            <w:shd w:val="clear" w:color="auto" w:fill="auto"/>
            <w:vAlign w:val="center"/>
          </w:tcPr>
          <w:p w14:paraId="10FD0251"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Other postgraduate</w:t>
            </w:r>
          </w:p>
        </w:tc>
        <w:tc>
          <w:tcPr>
            <w:tcW w:w="303" w:type="pct"/>
            <w:shd w:val="clear" w:color="auto" w:fill="auto"/>
          </w:tcPr>
          <w:p w14:paraId="554E947F"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£110,000</w:t>
            </w:r>
          </w:p>
        </w:tc>
        <w:tc>
          <w:tcPr>
            <w:tcW w:w="303" w:type="pct"/>
            <w:shd w:val="clear" w:color="auto" w:fill="auto"/>
          </w:tcPr>
          <w:p w14:paraId="42A3B962"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£95,000</w:t>
            </w:r>
          </w:p>
        </w:tc>
        <w:tc>
          <w:tcPr>
            <w:tcW w:w="303" w:type="pct"/>
            <w:shd w:val="clear" w:color="auto" w:fill="auto"/>
          </w:tcPr>
          <w:p w14:paraId="1E0BB80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£80,000</w:t>
            </w:r>
          </w:p>
        </w:tc>
        <w:tc>
          <w:tcPr>
            <w:tcW w:w="303" w:type="pct"/>
            <w:shd w:val="clear" w:color="auto" w:fill="auto"/>
          </w:tcPr>
          <w:p w14:paraId="429E91D8"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584DEE0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£19,000</w:t>
            </w:r>
          </w:p>
        </w:tc>
        <w:tc>
          <w:tcPr>
            <w:tcW w:w="303" w:type="pct"/>
            <w:shd w:val="clear" w:color="auto" w:fill="auto"/>
          </w:tcPr>
          <w:p w14:paraId="40B04A5F"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£49,000</w:t>
            </w:r>
          </w:p>
        </w:tc>
        <w:tc>
          <w:tcPr>
            <w:tcW w:w="303" w:type="pct"/>
            <w:shd w:val="clear" w:color="auto" w:fill="auto"/>
          </w:tcPr>
          <w:p w14:paraId="4621E638"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£6,000</w:t>
            </w:r>
          </w:p>
        </w:tc>
        <w:tc>
          <w:tcPr>
            <w:tcW w:w="303" w:type="pct"/>
            <w:shd w:val="clear" w:color="auto" w:fill="auto"/>
          </w:tcPr>
          <w:p w14:paraId="1D89C5A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£35,000</w:t>
            </w:r>
          </w:p>
        </w:tc>
        <w:tc>
          <w:tcPr>
            <w:tcW w:w="303" w:type="pct"/>
            <w:shd w:val="clear" w:color="auto" w:fill="D9D9D9" w:themeFill="background1" w:themeFillShade="D9"/>
          </w:tcPr>
          <w:p w14:paraId="4970E3FF"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3" w:type="pct"/>
            <w:shd w:val="clear" w:color="auto" w:fill="D9D9D9" w:themeFill="background1" w:themeFillShade="D9"/>
          </w:tcPr>
          <w:p w14:paraId="0AE7944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3" w:type="pct"/>
            <w:shd w:val="clear" w:color="auto" w:fill="D9D9D9" w:themeFill="background1" w:themeFillShade="D9"/>
          </w:tcPr>
          <w:p w14:paraId="7130AEE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3" w:type="pct"/>
            <w:shd w:val="clear" w:color="auto" w:fill="D9D9D9" w:themeFill="background1" w:themeFillShade="D9"/>
          </w:tcPr>
          <w:p w14:paraId="73B1B8F7"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3" w:type="pct"/>
            <w:shd w:val="clear" w:color="auto" w:fill="D9D9D9" w:themeFill="background1" w:themeFillShade="D9"/>
          </w:tcPr>
          <w:p w14:paraId="0411C3A9"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2" w:type="pct"/>
            <w:shd w:val="clear" w:color="auto" w:fill="D9D9D9" w:themeFill="background1" w:themeFillShade="D9"/>
          </w:tcPr>
          <w:p w14:paraId="388BDB79"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r>
      <w:tr w:rsidR="003A6119" w:rsidRPr="0078056B" w14:paraId="53987705" w14:textId="77777777" w:rsidTr="000A186C">
        <w:trPr>
          <w:trHeight w:val="20"/>
        </w:trPr>
        <w:tc>
          <w:tcPr>
            <w:tcW w:w="759" w:type="pct"/>
            <w:shd w:val="clear" w:color="auto" w:fill="auto"/>
            <w:vAlign w:val="center"/>
          </w:tcPr>
          <w:p w14:paraId="1A072777"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Higher degree (taught)</w:t>
            </w:r>
          </w:p>
        </w:tc>
        <w:tc>
          <w:tcPr>
            <w:tcW w:w="303" w:type="pct"/>
            <w:shd w:val="clear" w:color="auto" w:fill="auto"/>
          </w:tcPr>
          <w:p w14:paraId="1F81C278"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500E3EF3"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4D91C372"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£114,000</w:t>
            </w:r>
          </w:p>
        </w:tc>
        <w:tc>
          <w:tcPr>
            <w:tcW w:w="303" w:type="pct"/>
            <w:shd w:val="clear" w:color="auto" w:fill="auto"/>
          </w:tcPr>
          <w:p w14:paraId="6C03DE14"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shd w:val="clear" w:color="auto" w:fill="auto"/>
          </w:tcPr>
          <w:p w14:paraId="6B6B9428"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£61,000</w:t>
            </w:r>
          </w:p>
        </w:tc>
        <w:tc>
          <w:tcPr>
            <w:tcW w:w="303" w:type="pct"/>
            <w:shd w:val="clear" w:color="auto" w:fill="auto"/>
          </w:tcPr>
          <w:p w14:paraId="191FBC24"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£59,000</w:t>
            </w:r>
          </w:p>
        </w:tc>
        <w:tc>
          <w:tcPr>
            <w:tcW w:w="303" w:type="pct"/>
            <w:shd w:val="clear" w:color="auto" w:fill="auto"/>
          </w:tcPr>
          <w:p w14:paraId="7181836C"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£51,000</w:t>
            </w:r>
          </w:p>
        </w:tc>
        <w:tc>
          <w:tcPr>
            <w:tcW w:w="303" w:type="pct"/>
            <w:shd w:val="clear" w:color="auto" w:fill="auto"/>
          </w:tcPr>
          <w:p w14:paraId="109BB7F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£47,000</w:t>
            </w:r>
          </w:p>
        </w:tc>
        <w:tc>
          <w:tcPr>
            <w:tcW w:w="303" w:type="pct"/>
            <w:shd w:val="clear" w:color="auto" w:fill="auto"/>
          </w:tcPr>
          <w:p w14:paraId="40EDC178"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£46,000</w:t>
            </w:r>
          </w:p>
        </w:tc>
        <w:tc>
          <w:tcPr>
            <w:tcW w:w="303" w:type="pct"/>
            <w:shd w:val="clear" w:color="auto" w:fill="auto"/>
          </w:tcPr>
          <w:p w14:paraId="7C23F5A7"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£16,000</w:t>
            </w:r>
          </w:p>
        </w:tc>
        <w:tc>
          <w:tcPr>
            <w:tcW w:w="303" w:type="pct"/>
            <w:shd w:val="clear" w:color="auto" w:fill="D9D9D9" w:themeFill="background1" w:themeFillShade="D9"/>
          </w:tcPr>
          <w:p w14:paraId="0A93F87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3" w:type="pct"/>
            <w:shd w:val="clear" w:color="auto" w:fill="D9D9D9" w:themeFill="background1" w:themeFillShade="D9"/>
          </w:tcPr>
          <w:p w14:paraId="69AEA266"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3" w:type="pct"/>
            <w:shd w:val="clear" w:color="auto" w:fill="D9D9D9" w:themeFill="background1" w:themeFillShade="D9"/>
          </w:tcPr>
          <w:p w14:paraId="6B99085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2" w:type="pct"/>
            <w:shd w:val="clear" w:color="auto" w:fill="D9D9D9" w:themeFill="background1" w:themeFillShade="D9"/>
          </w:tcPr>
          <w:p w14:paraId="68E27B13"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r>
      <w:tr w:rsidR="003A6119" w:rsidRPr="0078056B" w14:paraId="2E2CDF7B" w14:textId="77777777" w:rsidTr="000A186C">
        <w:trPr>
          <w:trHeight w:val="20"/>
        </w:trPr>
        <w:tc>
          <w:tcPr>
            <w:tcW w:w="759" w:type="pct"/>
            <w:tcBorders>
              <w:bottom w:val="single" w:sz="4" w:space="0" w:color="06357A"/>
            </w:tcBorders>
            <w:shd w:val="clear" w:color="auto" w:fill="auto"/>
            <w:vAlign w:val="center"/>
          </w:tcPr>
          <w:p w14:paraId="1B1AE2F8"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Higher degree (research)</w:t>
            </w:r>
          </w:p>
        </w:tc>
        <w:tc>
          <w:tcPr>
            <w:tcW w:w="303" w:type="pct"/>
            <w:tcBorders>
              <w:bottom w:val="single" w:sz="4" w:space="0" w:color="06357A"/>
            </w:tcBorders>
            <w:shd w:val="clear" w:color="auto" w:fill="auto"/>
          </w:tcPr>
          <w:p w14:paraId="71820A0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bottom w:val="single" w:sz="4" w:space="0" w:color="06357A"/>
            </w:tcBorders>
            <w:shd w:val="clear" w:color="auto" w:fill="auto"/>
          </w:tcPr>
          <w:p w14:paraId="24C68DE6"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bottom w:val="single" w:sz="4" w:space="0" w:color="06357A"/>
            </w:tcBorders>
            <w:shd w:val="clear" w:color="auto" w:fill="auto"/>
          </w:tcPr>
          <w:p w14:paraId="703E799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bottom w:val="single" w:sz="4" w:space="0" w:color="06357A"/>
            </w:tcBorders>
            <w:shd w:val="clear" w:color="auto" w:fill="auto"/>
          </w:tcPr>
          <w:p w14:paraId="27CC3356"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bottom w:val="single" w:sz="4" w:space="0" w:color="06357A"/>
            </w:tcBorders>
            <w:shd w:val="clear" w:color="auto" w:fill="auto"/>
          </w:tcPr>
          <w:p w14:paraId="5FDA1FD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bottom w:val="single" w:sz="4" w:space="0" w:color="06357A"/>
            </w:tcBorders>
            <w:shd w:val="clear" w:color="auto" w:fill="auto"/>
          </w:tcPr>
          <w:p w14:paraId="4E0369E5"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bottom w:val="single" w:sz="4" w:space="0" w:color="06357A"/>
            </w:tcBorders>
            <w:shd w:val="clear" w:color="auto" w:fill="auto"/>
          </w:tcPr>
          <w:p w14:paraId="74024F47"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£77,000</w:t>
            </w:r>
          </w:p>
        </w:tc>
        <w:tc>
          <w:tcPr>
            <w:tcW w:w="303" w:type="pct"/>
            <w:tcBorders>
              <w:bottom w:val="single" w:sz="4" w:space="0" w:color="06357A"/>
            </w:tcBorders>
            <w:shd w:val="clear" w:color="auto" w:fill="auto"/>
          </w:tcPr>
          <w:p w14:paraId="17A855E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£52,000</w:t>
            </w:r>
          </w:p>
        </w:tc>
        <w:tc>
          <w:tcPr>
            <w:tcW w:w="303" w:type="pct"/>
            <w:tcBorders>
              <w:bottom w:val="single" w:sz="4" w:space="0" w:color="06357A"/>
            </w:tcBorders>
            <w:shd w:val="clear" w:color="auto" w:fill="auto"/>
          </w:tcPr>
          <w:p w14:paraId="2FF3284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c>
          <w:tcPr>
            <w:tcW w:w="303" w:type="pct"/>
            <w:tcBorders>
              <w:bottom w:val="single" w:sz="4" w:space="0" w:color="06357A"/>
            </w:tcBorders>
            <w:shd w:val="clear" w:color="auto" w:fill="auto"/>
          </w:tcPr>
          <w:p w14:paraId="1E5BE9B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£34,000</w:t>
            </w:r>
          </w:p>
        </w:tc>
        <w:tc>
          <w:tcPr>
            <w:tcW w:w="303" w:type="pct"/>
            <w:tcBorders>
              <w:bottom w:val="single" w:sz="4" w:space="0" w:color="06357A"/>
            </w:tcBorders>
            <w:shd w:val="clear" w:color="auto" w:fill="auto"/>
          </w:tcPr>
          <w:p w14:paraId="4722738A"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£49,000</w:t>
            </w:r>
          </w:p>
        </w:tc>
        <w:tc>
          <w:tcPr>
            <w:tcW w:w="303" w:type="pct"/>
            <w:tcBorders>
              <w:bottom w:val="single" w:sz="4" w:space="0" w:color="06357A"/>
            </w:tcBorders>
            <w:shd w:val="clear" w:color="auto" w:fill="auto"/>
          </w:tcPr>
          <w:p w14:paraId="0FB74F5A"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£25,000</w:t>
            </w:r>
          </w:p>
        </w:tc>
        <w:tc>
          <w:tcPr>
            <w:tcW w:w="303" w:type="pct"/>
            <w:tcBorders>
              <w:bottom w:val="single" w:sz="4" w:space="0" w:color="06357A"/>
            </w:tcBorders>
            <w:shd w:val="clear" w:color="auto" w:fill="D9D9D9" w:themeFill="background1" w:themeFillShade="D9"/>
          </w:tcPr>
          <w:p w14:paraId="066BD77C"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sz w:val="18"/>
                <w:szCs w:val="18"/>
              </w:rPr>
              <w:t>£0</w:t>
            </w:r>
          </w:p>
        </w:tc>
        <w:tc>
          <w:tcPr>
            <w:tcW w:w="302" w:type="pct"/>
            <w:tcBorders>
              <w:bottom w:val="single" w:sz="4" w:space="0" w:color="06357A"/>
            </w:tcBorders>
            <w:shd w:val="clear" w:color="auto" w:fill="D9D9D9" w:themeFill="background1" w:themeFillShade="D9"/>
          </w:tcPr>
          <w:p w14:paraId="723674D4"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p>
        </w:tc>
      </w:tr>
    </w:tbl>
    <w:p w14:paraId="0A862BE8" w14:textId="77777777" w:rsidR="003A6119" w:rsidRPr="0078056B" w:rsidRDefault="003A6119" w:rsidP="003A6119">
      <w:pPr>
        <w:spacing w:before="0" w:after="0"/>
        <w:jc w:val="left"/>
        <w:rPr>
          <w:sz w:val="16"/>
          <w:szCs w:val="16"/>
        </w:rPr>
      </w:pPr>
      <w:r w:rsidRPr="0078056B">
        <w:rPr>
          <w:sz w:val="16"/>
          <w:szCs w:val="16"/>
        </w:rPr>
        <w:t>Note: All values are rounded to the nearest £1,000. Gaps may arise where there are no students in the 2021-22 University of Birmingham cohort expected to complete the given qualification (with the given characteristics). Grey shading indicates instances where the level of study at the University of Birmingham is equal to or lower than the level of previous attainment. In these instances, the analysis implicitly assumes that all calculated gross returns (</w:t>
      </w:r>
      <w:r w:rsidRPr="0078056B">
        <w:rPr>
          <w:i/>
          <w:sz w:val="16"/>
          <w:szCs w:val="16"/>
        </w:rPr>
        <w:t>before</w:t>
      </w:r>
      <w:r w:rsidRPr="0078056B">
        <w:rPr>
          <w:sz w:val="16"/>
          <w:szCs w:val="16"/>
        </w:rPr>
        <w:t xml:space="preserve"> the deduction of any foregone earnings or other costs) can only be larger than or equal to zero (i.e. there can be no wage or employment penalty associated with any higher education qualification attainment). Hence, each grey-shaded cell displays only the assumed underlying foregone earnings. </w:t>
      </w:r>
      <w:r w:rsidRPr="0078056B">
        <w:rPr>
          <w:b/>
          <w:i/>
          <w:sz w:val="16"/>
        </w:rPr>
        <w:t>Source: London Economics' analysis</w:t>
      </w:r>
    </w:p>
    <w:p w14:paraId="584F1BED" w14:textId="77777777" w:rsidR="003A6119" w:rsidRPr="0078056B" w:rsidRDefault="003A6119" w:rsidP="00CD54E1">
      <w:pPr>
        <w:pStyle w:val="TableTitle"/>
      </w:pPr>
      <w:bookmarkStart w:id="521" w:name="_Ref161750971"/>
      <w:bookmarkStart w:id="522" w:name="_Toc168652177"/>
      <w:r w:rsidRPr="0078056B">
        <w:lastRenderedPageBreak/>
        <w:t>Net graduate premiums and Exchequer benefits per student associated with HE qualification attainment at the University of Birmingham, by study mode, level, gender, and prior attainment</w:t>
      </w:r>
      <w:bookmarkEnd w:id="521"/>
      <w:bookmarkEnd w:id="522"/>
    </w:p>
    <w:tbl>
      <w:tblPr>
        <w:tblW w:w="5000" w:type="pct"/>
        <w:tblBorders>
          <w:top w:val="single" w:sz="4" w:space="0" w:color="BFBFBF"/>
          <w:bottom w:val="single" w:sz="4" w:space="0" w:color="BFBFBF"/>
          <w:insideH w:val="single" w:sz="4" w:space="0" w:color="BFBFBF"/>
          <w:insideV w:val="single" w:sz="4" w:space="0" w:color="BFBFBF"/>
        </w:tblBorders>
        <w:tblLayout w:type="fixed"/>
        <w:tblCellMar>
          <w:left w:w="0" w:type="dxa"/>
          <w:right w:w="0" w:type="dxa"/>
        </w:tblCellMar>
        <w:tblLook w:val="0000" w:firstRow="0" w:lastRow="0" w:firstColumn="0" w:lastColumn="0" w:noHBand="0" w:noVBand="0"/>
      </w:tblPr>
      <w:tblGrid>
        <w:gridCol w:w="2125"/>
        <w:gridCol w:w="848"/>
        <w:gridCol w:w="848"/>
        <w:gridCol w:w="848"/>
        <w:gridCol w:w="848"/>
        <w:gridCol w:w="849"/>
        <w:gridCol w:w="849"/>
        <w:gridCol w:w="849"/>
        <w:gridCol w:w="849"/>
        <w:gridCol w:w="849"/>
        <w:gridCol w:w="849"/>
        <w:gridCol w:w="849"/>
        <w:gridCol w:w="849"/>
        <w:gridCol w:w="849"/>
        <w:gridCol w:w="846"/>
      </w:tblGrid>
      <w:tr w:rsidR="003A6119" w:rsidRPr="0078056B" w14:paraId="16F7DB88" w14:textId="77777777" w:rsidTr="000A186C">
        <w:trPr>
          <w:trHeight w:val="20"/>
        </w:trPr>
        <w:tc>
          <w:tcPr>
            <w:tcW w:w="759" w:type="pct"/>
            <w:vMerge w:val="restart"/>
            <w:tcBorders>
              <w:top w:val="single" w:sz="4" w:space="0" w:color="06357A"/>
              <w:bottom w:val="single" w:sz="4" w:space="0" w:color="06357A"/>
            </w:tcBorders>
            <w:shd w:val="clear" w:color="auto" w:fill="auto"/>
            <w:vAlign w:val="center"/>
          </w:tcPr>
          <w:p w14:paraId="6DEF3939" w14:textId="77777777" w:rsidR="003A6119" w:rsidRPr="0078056B" w:rsidRDefault="003A6119" w:rsidP="000A186C">
            <w:pPr>
              <w:spacing w:before="0" w:after="0"/>
              <w:ind w:left="28" w:right="28"/>
              <w:jc w:val="left"/>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Level of study</w:t>
            </w:r>
          </w:p>
        </w:tc>
        <w:tc>
          <w:tcPr>
            <w:tcW w:w="4241" w:type="pct"/>
            <w:gridSpan w:val="14"/>
            <w:tcBorders>
              <w:top w:val="single" w:sz="4" w:space="0" w:color="06357A"/>
              <w:bottom w:val="single" w:sz="4" w:space="0" w:color="06357A"/>
            </w:tcBorders>
            <w:shd w:val="clear" w:color="auto" w:fill="auto"/>
            <w:vAlign w:val="center"/>
          </w:tcPr>
          <w:p w14:paraId="0D732FA7"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Previous qualification and gender</w:t>
            </w:r>
          </w:p>
        </w:tc>
      </w:tr>
      <w:tr w:rsidR="003A6119" w:rsidRPr="0078056B" w14:paraId="6E56E7C5" w14:textId="77777777" w:rsidTr="000A186C">
        <w:trPr>
          <w:trHeight w:val="20"/>
        </w:trPr>
        <w:tc>
          <w:tcPr>
            <w:tcW w:w="759" w:type="pct"/>
            <w:vMerge/>
            <w:tcBorders>
              <w:top w:val="single" w:sz="4" w:space="0" w:color="06357A"/>
              <w:bottom w:val="single" w:sz="4" w:space="0" w:color="06357A"/>
            </w:tcBorders>
            <w:shd w:val="clear" w:color="auto" w:fill="auto"/>
            <w:vAlign w:val="center"/>
          </w:tcPr>
          <w:p w14:paraId="3DADBD48" w14:textId="77777777" w:rsidR="003A6119" w:rsidRPr="0078056B" w:rsidRDefault="003A6119" w:rsidP="000A186C">
            <w:pPr>
              <w:spacing w:before="0" w:after="0"/>
              <w:ind w:left="28" w:right="28"/>
              <w:jc w:val="left"/>
              <w:rPr>
                <w:rFonts w:asciiTheme="minorHAnsi" w:hAnsiTheme="minorHAnsi" w:cstheme="minorHAnsi"/>
                <w:b/>
                <w:color w:val="06357A"/>
                <w:sz w:val="18"/>
                <w:szCs w:val="18"/>
              </w:rPr>
            </w:pPr>
          </w:p>
        </w:tc>
        <w:tc>
          <w:tcPr>
            <w:tcW w:w="606" w:type="pct"/>
            <w:gridSpan w:val="2"/>
            <w:tcBorders>
              <w:top w:val="single" w:sz="4" w:space="0" w:color="06357A"/>
              <w:bottom w:val="single" w:sz="4" w:space="0" w:color="06357A"/>
            </w:tcBorders>
            <w:shd w:val="clear" w:color="auto" w:fill="auto"/>
            <w:vAlign w:val="center"/>
          </w:tcPr>
          <w:p w14:paraId="4D435AEE" w14:textId="77777777" w:rsidR="003A6119" w:rsidRPr="0078056B" w:rsidRDefault="003A6119" w:rsidP="000A186C">
            <w:pPr>
              <w:spacing w:before="0" w:after="0"/>
              <w:ind w:left="28" w:right="28"/>
              <w:jc w:val="center"/>
              <w:rPr>
                <w:rFonts w:asciiTheme="minorHAnsi" w:hAnsiTheme="minorHAnsi" w:cstheme="minorHAnsi"/>
                <w:b/>
                <w:color w:val="06357A"/>
                <w:sz w:val="18"/>
                <w:szCs w:val="18"/>
                <w:vertAlign w:val="superscript"/>
              </w:rPr>
            </w:pPr>
            <w:r w:rsidRPr="0078056B">
              <w:rPr>
                <w:rFonts w:asciiTheme="minorHAnsi" w:hAnsiTheme="minorHAnsi" w:cstheme="minorHAnsi"/>
                <w:b/>
                <w:color w:val="06357A"/>
                <w:sz w:val="18"/>
                <w:szCs w:val="18"/>
              </w:rPr>
              <w:t>GCSE</w:t>
            </w:r>
          </w:p>
        </w:tc>
        <w:tc>
          <w:tcPr>
            <w:tcW w:w="606" w:type="pct"/>
            <w:gridSpan w:val="2"/>
            <w:tcBorders>
              <w:top w:val="single" w:sz="4" w:space="0" w:color="06357A"/>
              <w:bottom w:val="single" w:sz="4" w:space="0" w:color="06357A"/>
            </w:tcBorders>
            <w:shd w:val="clear" w:color="auto" w:fill="auto"/>
            <w:vAlign w:val="center"/>
          </w:tcPr>
          <w:p w14:paraId="2C044C41" w14:textId="77777777" w:rsidR="003A6119" w:rsidRPr="0078056B" w:rsidRDefault="003A6119" w:rsidP="000A186C">
            <w:pPr>
              <w:spacing w:before="0" w:after="0"/>
              <w:ind w:left="28" w:right="28"/>
              <w:jc w:val="center"/>
              <w:rPr>
                <w:rFonts w:asciiTheme="minorHAnsi" w:hAnsiTheme="minorHAnsi" w:cstheme="minorHAnsi"/>
                <w:b/>
                <w:color w:val="06357A"/>
                <w:sz w:val="18"/>
                <w:szCs w:val="18"/>
                <w:vertAlign w:val="superscript"/>
              </w:rPr>
            </w:pPr>
            <w:r w:rsidRPr="0078056B">
              <w:rPr>
                <w:rFonts w:asciiTheme="minorHAnsi" w:hAnsiTheme="minorHAnsi" w:cstheme="minorHAnsi"/>
                <w:b/>
                <w:color w:val="06357A"/>
                <w:sz w:val="18"/>
                <w:szCs w:val="18"/>
              </w:rPr>
              <w:t>Level 3</w:t>
            </w:r>
          </w:p>
        </w:tc>
        <w:tc>
          <w:tcPr>
            <w:tcW w:w="606" w:type="pct"/>
            <w:gridSpan w:val="2"/>
            <w:tcBorders>
              <w:top w:val="single" w:sz="4" w:space="0" w:color="06357A"/>
              <w:bottom w:val="single" w:sz="4" w:space="0" w:color="06357A"/>
            </w:tcBorders>
            <w:shd w:val="clear" w:color="auto" w:fill="auto"/>
            <w:vAlign w:val="center"/>
          </w:tcPr>
          <w:p w14:paraId="3BEE33C1"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 xml:space="preserve">Other </w:t>
            </w:r>
          </w:p>
          <w:p w14:paraId="3C443A4C"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undergraduate</w:t>
            </w:r>
          </w:p>
        </w:tc>
        <w:tc>
          <w:tcPr>
            <w:tcW w:w="606" w:type="pct"/>
            <w:gridSpan w:val="2"/>
            <w:tcBorders>
              <w:top w:val="single" w:sz="4" w:space="0" w:color="06357A"/>
              <w:bottom w:val="single" w:sz="4" w:space="0" w:color="06357A"/>
            </w:tcBorders>
            <w:shd w:val="clear" w:color="auto" w:fill="auto"/>
            <w:vAlign w:val="center"/>
          </w:tcPr>
          <w:p w14:paraId="207D3E84"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First degree</w:t>
            </w:r>
          </w:p>
        </w:tc>
        <w:tc>
          <w:tcPr>
            <w:tcW w:w="606" w:type="pct"/>
            <w:gridSpan w:val="2"/>
            <w:tcBorders>
              <w:top w:val="single" w:sz="4" w:space="0" w:color="06357A"/>
              <w:bottom w:val="single" w:sz="4" w:space="0" w:color="06357A"/>
            </w:tcBorders>
            <w:shd w:val="clear" w:color="auto" w:fill="auto"/>
            <w:vAlign w:val="center"/>
          </w:tcPr>
          <w:p w14:paraId="7FD41DAC"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 xml:space="preserve">Other </w:t>
            </w:r>
          </w:p>
          <w:p w14:paraId="078359E1" w14:textId="77777777" w:rsidR="003A6119" w:rsidRPr="0078056B" w:rsidRDefault="003A6119" w:rsidP="000A186C">
            <w:pPr>
              <w:spacing w:before="0" w:after="0"/>
              <w:ind w:left="28" w:right="28"/>
              <w:jc w:val="center"/>
              <w:rPr>
                <w:rFonts w:asciiTheme="minorHAnsi" w:hAnsiTheme="minorHAnsi" w:cstheme="minorHAnsi"/>
                <w:b/>
                <w:color w:val="06357A"/>
                <w:sz w:val="18"/>
                <w:szCs w:val="18"/>
                <w:vertAlign w:val="superscript"/>
              </w:rPr>
            </w:pPr>
            <w:r w:rsidRPr="0078056B">
              <w:rPr>
                <w:rFonts w:asciiTheme="minorHAnsi" w:hAnsiTheme="minorHAnsi" w:cstheme="minorHAnsi"/>
                <w:b/>
                <w:color w:val="06357A"/>
                <w:sz w:val="18"/>
                <w:szCs w:val="18"/>
              </w:rPr>
              <w:t>postgraduate</w:t>
            </w:r>
          </w:p>
        </w:tc>
        <w:tc>
          <w:tcPr>
            <w:tcW w:w="606" w:type="pct"/>
            <w:gridSpan w:val="2"/>
            <w:tcBorders>
              <w:top w:val="single" w:sz="4" w:space="0" w:color="06357A"/>
              <w:bottom w:val="single" w:sz="4" w:space="0" w:color="06357A"/>
            </w:tcBorders>
            <w:vAlign w:val="center"/>
          </w:tcPr>
          <w:p w14:paraId="551BD318"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 xml:space="preserve">Higher degree </w:t>
            </w:r>
          </w:p>
          <w:p w14:paraId="277E2F10"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(taught)</w:t>
            </w:r>
          </w:p>
        </w:tc>
        <w:tc>
          <w:tcPr>
            <w:tcW w:w="605" w:type="pct"/>
            <w:gridSpan w:val="2"/>
            <w:tcBorders>
              <w:top w:val="single" w:sz="4" w:space="0" w:color="06357A"/>
              <w:bottom w:val="single" w:sz="4" w:space="0" w:color="06357A"/>
            </w:tcBorders>
            <w:vAlign w:val="center"/>
          </w:tcPr>
          <w:p w14:paraId="2EE04F82"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Higher degree (research)</w:t>
            </w:r>
          </w:p>
        </w:tc>
      </w:tr>
      <w:tr w:rsidR="003A6119" w:rsidRPr="0078056B" w14:paraId="4EF5FB10" w14:textId="77777777" w:rsidTr="000A186C">
        <w:trPr>
          <w:trHeight w:val="20"/>
        </w:trPr>
        <w:tc>
          <w:tcPr>
            <w:tcW w:w="759" w:type="pct"/>
            <w:vMerge/>
            <w:tcBorders>
              <w:top w:val="single" w:sz="4" w:space="0" w:color="06357A"/>
              <w:bottom w:val="single" w:sz="4" w:space="0" w:color="06357A"/>
            </w:tcBorders>
            <w:shd w:val="clear" w:color="auto" w:fill="auto"/>
            <w:vAlign w:val="center"/>
          </w:tcPr>
          <w:p w14:paraId="17065D97" w14:textId="77777777" w:rsidR="003A6119" w:rsidRPr="0078056B" w:rsidRDefault="003A6119" w:rsidP="000A186C">
            <w:pPr>
              <w:spacing w:before="0" w:after="0"/>
              <w:ind w:left="28" w:right="28"/>
              <w:jc w:val="left"/>
              <w:rPr>
                <w:rFonts w:asciiTheme="minorHAnsi" w:hAnsiTheme="minorHAnsi" w:cstheme="minorHAnsi"/>
                <w:b/>
                <w:color w:val="06357A"/>
                <w:sz w:val="18"/>
                <w:szCs w:val="18"/>
              </w:rPr>
            </w:pPr>
          </w:p>
        </w:tc>
        <w:tc>
          <w:tcPr>
            <w:tcW w:w="303" w:type="pct"/>
            <w:tcBorders>
              <w:top w:val="single" w:sz="4" w:space="0" w:color="06357A"/>
              <w:bottom w:val="single" w:sz="4" w:space="0" w:color="06357A"/>
            </w:tcBorders>
            <w:shd w:val="clear" w:color="auto" w:fill="auto"/>
            <w:vAlign w:val="center"/>
          </w:tcPr>
          <w:p w14:paraId="6A41286B"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Men</w:t>
            </w:r>
          </w:p>
        </w:tc>
        <w:tc>
          <w:tcPr>
            <w:tcW w:w="303" w:type="pct"/>
            <w:tcBorders>
              <w:top w:val="single" w:sz="4" w:space="0" w:color="06357A"/>
              <w:bottom w:val="single" w:sz="4" w:space="0" w:color="06357A"/>
            </w:tcBorders>
            <w:shd w:val="clear" w:color="auto" w:fill="auto"/>
            <w:vAlign w:val="center"/>
          </w:tcPr>
          <w:p w14:paraId="60B88469"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Women</w:t>
            </w:r>
          </w:p>
        </w:tc>
        <w:tc>
          <w:tcPr>
            <w:tcW w:w="303" w:type="pct"/>
            <w:tcBorders>
              <w:top w:val="single" w:sz="4" w:space="0" w:color="06357A"/>
              <w:bottom w:val="single" w:sz="4" w:space="0" w:color="06357A"/>
            </w:tcBorders>
            <w:shd w:val="clear" w:color="auto" w:fill="auto"/>
            <w:vAlign w:val="center"/>
          </w:tcPr>
          <w:p w14:paraId="21BC8D6F"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Men</w:t>
            </w:r>
          </w:p>
        </w:tc>
        <w:tc>
          <w:tcPr>
            <w:tcW w:w="303" w:type="pct"/>
            <w:tcBorders>
              <w:top w:val="single" w:sz="4" w:space="0" w:color="06357A"/>
              <w:bottom w:val="single" w:sz="4" w:space="0" w:color="06357A"/>
            </w:tcBorders>
            <w:shd w:val="clear" w:color="auto" w:fill="auto"/>
            <w:vAlign w:val="center"/>
          </w:tcPr>
          <w:p w14:paraId="598A9445"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Women</w:t>
            </w:r>
          </w:p>
        </w:tc>
        <w:tc>
          <w:tcPr>
            <w:tcW w:w="303" w:type="pct"/>
            <w:tcBorders>
              <w:top w:val="single" w:sz="4" w:space="0" w:color="06357A"/>
              <w:bottom w:val="single" w:sz="4" w:space="0" w:color="06357A"/>
            </w:tcBorders>
            <w:shd w:val="clear" w:color="auto" w:fill="auto"/>
            <w:vAlign w:val="center"/>
          </w:tcPr>
          <w:p w14:paraId="3466F6B4"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Men</w:t>
            </w:r>
          </w:p>
        </w:tc>
        <w:tc>
          <w:tcPr>
            <w:tcW w:w="303" w:type="pct"/>
            <w:tcBorders>
              <w:top w:val="single" w:sz="4" w:space="0" w:color="06357A"/>
              <w:bottom w:val="single" w:sz="4" w:space="0" w:color="06357A"/>
            </w:tcBorders>
            <w:shd w:val="clear" w:color="auto" w:fill="auto"/>
            <w:vAlign w:val="center"/>
          </w:tcPr>
          <w:p w14:paraId="6D1336D9"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Women</w:t>
            </w:r>
          </w:p>
        </w:tc>
        <w:tc>
          <w:tcPr>
            <w:tcW w:w="303" w:type="pct"/>
            <w:tcBorders>
              <w:top w:val="single" w:sz="4" w:space="0" w:color="06357A"/>
              <w:bottom w:val="single" w:sz="4" w:space="0" w:color="06357A"/>
            </w:tcBorders>
            <w:shd w:val="clear" w:color="auto" w:fill="auto"/>
            <w:vAlign w:val="center"/>
          </w:tcPr>
          <w:p w14:paraId="152C0C69"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Men</w:t>
            </w:r>
          </w:p>
        </w:tc>
        <w:tc>
          <w:tcPr>
            <w:tcW w:w="303" w:type="pct"/>
            <w:tcBorders>
              <w:top w:val="single" w:sz="4" w:space="0" w:color="06357A"/>
              <w:bottom w:val="single" w:sz="4" w:space="0" w:color="06357A"/>
            </w:tcBorders>
            <w:shd w:val="clear" w:color="auto" w:fill="auto"/>
            <w:vAlign w:val="center"/>
          </w:tcPr>
          <w:p w14:paraId="55E4C912"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Women</w:t>
            </w:r>
          </w:p>
        </w:tc>
        <w:tc>
          <w:tcPr>
            <w:tcW w:w="303" w:type="pct"/>
            <w:tcBorders>
              <w:top w:val="single" w:sz="4" w:space="0" w:color="06357A"/>
              <w:bottom w:val="single" w:sz="4" w:space="0" w:color="06357A"/>
            </w:tcBorders>
            <w:shd w:val="clear" w:color="auto" w:fill="auto"/>
            <w:vAlign w:val="center"/>
          </w:tcPr>
          <w:p w14:paraId="4502A8D5"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Men</w:t>
            </w:r>
          </w:p>
        </w:tc>
        <w:tc>
          <w:tcPr>
            <w:tcW w:w="303" w:type="pct"/>
            <w:tcBorders>
              <w:top w:val="single" w:sz="4" w:space="0" w:color="06357A"/>
              <w:bottom w:val="single" w:sz="4" w:space="0" w:color="06357A"/>
            </w:tcBorders>
            <w:shd w:val="clear" w:color="auto" w:fill="auto"/>
            <w:vAlign w:val="center"/>
          </w:tcPr>
          <w:p w14:paraId="1213BF6F"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Women</w:t>
            </w:r>
          </w:p>
        </w:tc>
        <w:tc>
          <w:tcPr>
            <w:tcW w:w="303" w:type="pct"/>
            <w:tcBorders>
              <w:top w:val="single" w:sz="4" w:space="0" w:color="06357A"/>
              <w:bottom w:val="single" w:sz="4" w:space="0" w:color="06357A"/>
            </w:tcBorders>
            <w:vAlign w:val="center"/>
          </w:tcPr>
          <w:p w14:paraId="1AA3C6D0"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Men</w:t>
            </w:r>
          </w:p>
        </w:tc>
        <w:tc>
          <w:tcPr>
            <w:tcW w:w="303" w:type="pct"/>
            <w:tcBorders>
              <w:top w:val="single" w:sz="4" w:space="0" w:color="06357A"/>
              <w:bottom w:val="single" w:sz="4" w:space="0" w:color="06357A"/>
            </w:tcBorders>
            <w:vAlign w:val="center"/>
          </w:tcPr>
          <w:p w14:paraId="180EE9F7"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Women</w:t>
            </w:r>
          </w:p>
        </w:tc>
        <w:tc>
          <w:tcPr>
            <w:tcW w:w="303" w:type="pct"/>
            <w:tcBorders>
              <w:top w:val="single" w:sz="4" w:space="0" w:color="06357A"/>
              <w:bottom w:val="single" w:sz="4" w:space="0" w:color="06357A"/>
            </w:tcBorders>
            <w:vAlign w:val="center"/>
          </w:tcPr>
          <w:p w14:paraId="0F325863"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Men</w:t>
            </w:r>
          </w:p>
        </w:tc>
        <w:tc>
          <w:tcPr>
            <w:tcW w:w="302" w:type="pct"/>
            <w:tcBorders>
              <w:top w:val="single" w:sz="4" w:space="0" w:color="06357A"/>
              <w:bottom w:val="single" w:sz="4" w:space="0" w:color="06357A"/>
            </w:tcBorders>
            <w:vAlign w:val="center"/>
          </w:tcPr>
          <w:p w14:paraId="19759586" w14:textId="77777777" w:rsidR="003A6119" w:rsidRPr="0078056B" w:rsidRDefault="003A6119" w:rsidP="000A186C">
            <w:pPr>
              <w:spacing w:before="0" w:after="0"/>
              <w:ind w:left="28" w:right="28"/>
              <w:jc w:val="center"/>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Women</w:t>
            </w:r>
          </w:p>
        </w:tc>
      </w:tr>
      <w:tr w:rsidR="003A6119" w:rsidRPr="0078056B" w14:paraId="12A00127" w14:textId="77777777" w:rsidTr="000A186C">
        <w:trPr>
          <w:trHeight w:val="20"/>
        </w:trPr>
        <w:tc>
          <w:tcPr>
            <w:tcW w:w="5000" w:type="pct"/>
            <w:gridSpan w:val="15"/>
            <w:tcBorders>
              <w:top w:val="single" w:sz="4" w:space="0" w:color="06357A"/>
            </w:tcBorders>
            <w:shd w:val="clear" w:color="auto" w:fill="auto"/>
            <w:vAlign w:val="center"/>
          </w:tcPr>
          <w:p w14:paraId="4DAD764B" w14:textId="77777777" w:rsidR="003A6119" w:rsidRPr="0078056B" w:rsidRDefault="003A6119" w:rsidP="000A186C">
            <w:pPr>
              <w:spacing w:before="0" w:after="0"/>
              <w:ind w:left="28" w:right="28"/>
              <w:jc w:val="left"/>
              <w:rPr>
                <w:rFonts w:asciiTheme="minorHAnsi" w:hAnsiTheme="minorHAnsi" w:cstheme="minorHAnsi"/>
                <w:b/>
                <w:color w:val="06357A"/>
                <w:sz w:val="18"/>
                <w:szCs w:val="18"/>
              </w:rPr>
            </w:pPr>
            <w:r w:rsidRPr="0078056B">
              <w:rPr>
                <w:rFonts w:asciiTheme="minorHAnsi" w:hAnsiTheme="minorHAnsi" w:cstheme="minorHAnsi"/>
                <w:b/>
                <w:color w:val="06357A"/>
                <w:sz w:val="18"/>
                <w:szCs w:val="18"/>
              </w:rPr>
              <w:t>Net graduate premiums</w:t>
            </w:r>
          </w:p>
        </w:tc>
      </w:tr>
      <w:tr w:rsidR="003A6119" w:rsidRPr="0078056B" w14:paraId="310FD18C" w14:textId="77777777" w:rsidTr="000A186C">
        <w:trPr>
          <w:trHeight w:val="20"/>
        </w:trPr>
        <w:tc>
          <w:tcPr>
            <w:tcW w:w="5000" w:type="pct"/>
            <w:gridSpan w:val="15"/>
            <w:tcBorders>
              <w:top w:val="single" w:sz="4" w:space="0" w:color="06357A"/>
            </w:tcBorders>
            <w:shd w:val="clear" w:color="auto" w:fill="0B5ED7" w:themeFill="accent2"/>
            <w:vAlign w:val="center"/>
          </w:tcPr>
          <w:p w14:paraId="1F58E9D8" w14:textId="77777777" w:rsidR="003A6119" w:rsidRPr="0078056B" w:rsidRDefault="003A6119" w:rsidP="000A186C">
            <w:pPr>
              <w:spacing w:before="0" w:after="0"/>
              <w:ind w:left="28" w:right="28"/>
              <w:jc w:val="left"/>
              <w:rPr>
                <w:rFonts w:asciiTheme="minorHAnsi" w:hAnsiTheme="minorHAnsi" w:cstheme="minorHAnsi"/>
                <w:b/>
                <w:color w:val="FFFFFF" w:themeColor="background1"/>
                <w:sz w:val="18"/>
                <w:szCs w:val="18"/>
              </w:rPr>
            </w:pPr>
            <w:r w:rsidRPr="0078056B">
              <w:rPr>
                <w:rFonts w:asciiTheme="minorHAnsi" w:hAnsiTheme="minorHAnsi" w:cstheme="minorHAnsi"/>
                <w:b/>
                <w:color w:val="FFFFFF" w:themeColor="background1"/>
                <w:sz w:val="18"/>
                <w:szCs w:val="18"/>
              </w:rPr>
              <w:t>Full-time students</w:t>
            </w:r>
          </w:p>
        </w:tc>
      </w:tr>
      <w:tr w:rsidR="003A6119" w:rsidRPr="0078056B" w14:paraId="7DB9D049" w14:textId="77777777" w:rsidTr="000A186C">
        <w:trPr>
          <w:trHeight w:val="20"/>
        </w:trPr>
        <w:tc>
          <w:tcPr>
            <w:tcW w:w="759" w:type="pct"/>
            <w:tcBorders>
              <w:top w:val="single" w:sz="4" w:space="0" w:color="06357A"/>
            </w:tcBorders>
            <w:shd w:val="clear" w:color="auto" w:fill="auto"/>
            <w:vAlign w:val="center"/>
          </w:tcPr>
          <w:p w14:paraId="46E6A5AD"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Other undergraduate</w:t>
            </w:r>
          </w:p>
        </w:tc>
        <w:tc>
          <w:tcPr>
            <w:tcW w:w="303" w:type="pct"/>
            <w:tcBorders>
              <w:top w:val="single" w:sz="4" w:space="0" w:color="06357A"/>
            </w:tcBorders>
            <w:shd w:val="clear" w:color="auto" w:fill="auto"/>
            <w:vAlign w:val="center"/>
          </w:tcPr>
          <w:p w14:paraId="196EB212"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£151,000</w:t>
            </w:r>
          </w:p>
        </w:tc>
        <w:tc>
          <w:tcPr>
            <w:tcW w:w="303" w:type="pct"/>
            <w:tcBorders>
              <w:top w:val="single" w:sz="4" w:space="0" w:color="06357A"/>
            </w:tcBorders>
            <w:shd w:val="clear" w:color="auto" w:fill="auto"/>
            <w:vAlign w:val="center"/>
          </w:tcPr>
          <w:p w14:paraId="46B2164F"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£83,000</w:t>
            </w:r>
          </w:p>
        </w:tc>
        <w:tc>
          <w:tcPr>
            <w:tcW w:w="303" w:type="pct"/>
            <w:tcBorders>
              <w:top w:val="single" w:sz="4" w:space="0" w:color="06357A"/>
            </w:tcBorders>
            <w:shd w:val="clear" w:color="auto" w:fill="auto"/>
            <w:vAlign w:val="center"/>
          </w:tcPr>
          <w:p w14:paraId="390EB043"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£88,000</w:t>
            </w:r>
          </w:p>
        </w:tc>
        <w:tc>
          <w:tcPr>
            <w:tcW w:w="303" w:type="pct"/>
            <w:tcBorders>
              <w:top w:val="single" w:sz="4" w:space="0" w:color="06357A"/>
            </w:tcBorders>
            <w:shd w:val="clear" w:color="auto" w:fill="auto"/>
            <w:vAlign w:val="center"/>
          </w:tcPr>
          <w:p w14:paraId="038CD2D6"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£53,000</w:t>
            </w:r>
          </w:p>
        </w:tc>
        <w:tc>
          <w:tcPr>
            <w:tcW w:w="303" w:type="pct"/>
            <w:tcBorders>
              <w:top w:val="single" w:sz="4" w:space="0" w:color="06357A"/>
            </w:tcBorders>
            <w:shd w:val="clear" w:color="auto" w:fill="D9D9D9" w:themeFill="background1" w:themeFillShade="D9"/>
            <w:vAlign w:val="center"/>
          </w:tcPr>
          <w:p w14:paraId="4C80FCB6"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-£10,000</w:t>
            </w:r>
          </w:p>
        </w:tc>
        <w:tc>
          <w:tcPr>
            <w:tcW w:w="303" w:type="pct"/>
            <w:tcBorders>
              <w:top w:val="single" w:sz="4" w:space="0" w:color="06357A"/>
            </w:tcBorders>
            <w:shd w:val="clear" w:color="auto" w:fill="D9D9D9" w:themeFill="background1" w:themeFillShade="D9"/>
            <w:vAlign w:val="center"/>
          </w:tcPr>
          <w:p w14:paraId="0B6BA8F6"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-£9,000</w:t>
            </w:r>
          </w:p>
        </w:tc>
        <w:tc>
          <w:tcPr>
            <w:tcW w:w="303" w:type="pct"/>
            <w:tcBorders>
              <w:top w:val="single" w:sz="4" w:space="0" w:color="06357A"/>
            </w:tcBorders>
            <w:shd w:val="clear" w:color="auto" w:fill="D9D9D9" w:themeFill="background1" w:themeFillShade="D9"/>
            <w:vAlign w:val="center"/>
          </w:tcPr>
          <w:p w14:paraId="3C3DACD9"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-£12,000</w:t>
            </w:r>
          </w:p>
        </w:tc>
        <w:tc>
          <w:tcPr>
            <w:tcW w:w="303" w:type="pct"/>
            <w:tcBorders>
              <w:top w:val="single" w:sz="4" w:space="0" w:color="06357A"/>
            </w:tcBorders>
            <w:shd w:val="clear" w:color="auto" w:fill="D9D9D9" w:themeFill="background1" w:themeFillShade="D9"/>
            <w:vAlign w:val="center"/>
          </w:tcPr>
          <w:p w14:paraId="251CE59D"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-£13,000</w:t>
            </w:r>
          </w:p>
        </w:tc>
        <w:tc>
          <w:tcPr>
            <w:tcW w:w="303" w:type="pct"/>
            <w:tcBorders>
              <w:top w:val="single" w:sz="4" w:space="0" w:color="06357A"/>
            </w:tcBorders>
            <w:shd w:val="clear" w:color="auto" w:fill="D9D9D9" w:themeFill="background1" w:themeFillShade="D9"/>
            <w:vAlign w:val="center"/>
          </w:tcPr>
          <w:p w14:paraId="60A17746"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000000"/>
                <w:sz w:val="18"/>
                <w:szCs w:val="18"/>
              </w:rPr>
              <w:t> </w:t>
            </w:r>
          </w:p>
        </w:tc>
        <w:tc>
          <w:tcPr>
            <w:tcW w:w="303" w:type="pct"/>
            <w:tcBorders>
              <w:top w:val="single" w:sz="4" w:space="0" w:color="06357A"/>
            </w:tcBorders>
            <w:shd w:val="clear" w:color="auto" w:fill="D9D9D9" w:themeFill="background1" w:themeFillShade="D9"/>
            <w:vAlign w:val="center"/>
          </w:tcPr>
          <w:p w14:paraId="2D699DF5"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000000"/>
                <w:sz w:val="18"/>
                <w:szCs w:val="18"/>
              </w:rPr>
              <w:t> </w:t>
            </w:r>
          </w:p>
        </w:tc>
        <w:tc>
          <w:tcPr>
            <w:tcW w:w="303" w:type="pct"/>
            <w:tcBorders>
              <w:top w:val="single" w:sz="4" w:space="0" w:color="06357A"/>
            </w:tcBorders>
            <w:shd w:val="clear" w:color="auto" w:fill="D9D9D9" w:themeFill="background1" w:themeFillShade="D9"/>
            <w:vAlign w:val="center"/>
          </w:tcPr>
          <w:p w14:paraId="47DD9E90"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-£12,000</w:t>
            </w:r>
          </w:p>
        </w:tc>
        <w:tc>
          <w:tcPr>
            <w:tcW w:w="303" w:type="pct"/>
            <w:tcBorders>
              <w:top w:val="single" w:sz="4" w:space="0" w:color="06357A"/>
            </w:tcBorders>
            <w:shd w:val="clear" w:color="auto" w:fill="D9D9D9" w:themeFill="background1" w:themeFillShade="D9"/>
            <w:vAlign w:val="center"/>
          </w:tcPr>
          <w:p w14:paraId="1C18DCFF"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-£13,000</w:t>
            </w:r>
          </w:p>
        </w:tc>
        <w:tc>
          <w:tcPr>
            <w:tcW w:w="303" w:type="pct"/>
            <w:tcBorders>
              <w:top w:val="single" w:sz="4" w:space="0" w:color="06357A"/>
            </w:tcBorders>
            <w:shd w:val="clear" w:color="auto" w:fill="D9D9D9" w:themeFill="background1" w:themeFillShade="D9"/>
            <w:vAlign w:val="center"/>
          </w:tcPr>
          <w:p w14:paraId="00E2DE95"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2" w:type="pct"/>
            <w:tcBorders>
              <w:top w:val="single" w:sz="4" w:space="0" w:color="06357A"/>
            </w:tcBorders>
            <w:shd w:val="clear" w:color="auto" w:fill="D9D9D9" w:themeFill="background1" w:themeFillShade="D9"/>
            <w:vAlign w:val="center"/>
          </w:tcPr>
          <w:p w14:paraId="1A81B999"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r>
      <w:tr w:rsidR="003A6119" w:rsidRPr="0078056B" w14:paraId="587DFECD" w14:textId="77777777" w:rsidTr="000A186C">
        <w:trPr>
          <w:trHeight w:val="20"/>
        </w:trPr>
        <w:tc>
          <w:tcPr>
            <w:tcW w:w="759" w:type="pct"/>
            <w:shd w:val="clear" w:color="auto" w:fill="auto"/>
            <w:vAlign w:val="center"/>
          </w:tcPr>
          <w:p w14:paraId="5C788494"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First degree</w:t>
            </w:r>
          </w:p>
        </w:tc>
        <w:tc>
          <w:tcPr>
            <w:tcW w:w="303" w:type="pct"/>
            <w:shd w:val="clear" w:color="auto" w:fill="auto"/>
            <w:vAlign w:val="center"/>
          </w:tcPr>
          <w:p w14:paraId="16831455"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£162,000</w:t>
            </w:r>
          </w:p>
        </w:tc>
        <w:tc>
          <w:tcPr>
            <w:tcW w:w="303" w:type="pct"/>
            <w:shd w:val="clear" w:color="auto" w:fill="auto"/>
            <w:vAlign w:val="center"/>
          </w:tcPr>
          <w:p w14:paraId="3DAFD04E"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£93,000</w:t>
            </w:r>
          </w:p>
        </w:tc>
        <w:tc>
          <w:tcPr>
            <w:tcW w:w="303" w:type="pct"/>
            <w:shd w:val="clear" w:color="auto" w:fill="auto"/>
            <w:vAlign w:val="center"/>
          </w:tcPr>
          <w:p w14:paraId="1CD7087F"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£101,000</w:t>
            </w:r>
          </w:p>
        </w:tc>
        <w:tc>
          <w:tcPr>
            <w:tcW w:w="303" w:type="pct"/>
            <w:shd w:val="clear" w:color="auto" w:fill="auto"/>
            <w:vAlign w:val="center"/>
          </w:tcPr>
          <w:p w14:paraId="006DA08B"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£64,000</w:t>
            </w:r>
          </w:p>
        </w:tc>
        <w:tc>
          <w:tcPr>
            <w:tcW w:w="303" w:type="pct"/>
            <w:shd w:val="clear" w:color="auto" w:fill="auto"/>
            <w:vAlign w:val="center"/>
          </w:tcPr>
          <w:p w14:paraId="08B4B503"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£4,000</w:t>
            </w:r>
          </w:p>
        </w:tc>
        <w:tc>
          <w:tcPr>
            <w:tcW w:w="303" w:type="pct"/>
            <w:shd w:val="clear" w:color="auto" w:fill="auto"/>
            <w:vAlign w:val="center"/>
          </w:tcPr>
          <w:p w14:paraId="1790F6A1"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£2,000</w:t>
            </w:r>
          </w:p>
        </w:tc>
        <w:tc>
          <w:tcPr>
            <w:tcW w:w="303" w:type="pct"/>
            <w:shd w:val="clear" w:color="auto" w:fill="D9D9D9" w:themeFill="background1" w:themeFillShade="D9"/>
            <w:vAlign w:val="center"/>
          </w:tcPr>
          <w:p w14:paraId="2F5248DB"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-£35,000</w:t>
            </w:r>
          </w:p>
        </w:tc>
        <w:tc>
          <w:tcPr>
            <w:tcW w:w="303" w:type="pct"/>
            <w:shd w:val="clear" w:color="auto" w:fill="D9D9D9" w:themeFill="background1" w:themeFillShade="D9"/>
            <w:vAlign w:val="center"/>
          </w:tcPr>
          <w:p w14:paraId="02C1CAE6"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-£40,000</w:t>
            </w:r>
          </w:p>
        </w:tc>
        <w:tc>
          <w:tcPr>
            <w:tcW w:w="303" w:type="pct"/>
            <w:shd w:val="clear" w:color="auto" w:fill="D9D9D9" w:themeFill="background1" w:themeFillShade="D9"/>
            <w:vAlign w:val="center"/>
          </w:tcPr>
          <w:p w14:paraId="5F918067"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-£35,000</w:t>
            </w:r>
          </w:p>
        </w:tc>
        <w:tc>
          <w:tcPr>
            <w:tcW w:w="303" w:type="pct"/>
            <w:shd w:val="clear" w:color="auto" w:fill="D9D9D9" w:themeFill="background1" w:themeFillShade="D9"/>
            <w:vAlign w:val="center"/>
          </w:tcPr>
          <w:p w14:paraId="6BF7E35F"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-£40,000</w:t>
            </w:r>
          </w:p>
        </w:tc>
        <w:tc>
          <w:tcPr>
            <w:tcW w:w="303" w:type="pct"/>
            <w:shd w:val="clear" w:color="auto" w:fill="D9D9D9" w:themeFill="background1" w:themeFillShade="D9"/>
            <w:vAlign w:val="center"/>
          </w:tcPr>
          <w:p w14:paraId="1FDA948C"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-£35,000</w:t>
            </w:r>
          </w:p>
        </w:tc>
        <w:tc>
          <w:tcPr>
            <w:tcW w:w="303" w:type="pct"/>
            <w:shd w:val="clear" w:color="auto" w:fill="D9D9D9" w:themeFill="background1" w:themeFillShade="D9"/>
            <w:vAlign w:val="center"/>
          </w:tcPr>
          <w:p w14:paraId="1F817B07"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-£40,000</w:t>
            </w:r>
          </w:p>
        </w:tc>
        <w:tc>
          <w:tcPr>
            <w:tcW w:w="303" w:type="pct"/>
            <w:shd w:val="clear" w:color="auto" w:fill="D9D9D9" w:themeFill="background1" w:themeFillShade="D9"/>
            <w:vAlign w:val="center"/>
          </w:tcPr>
          <w:p w14:paraId="45598FEA"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000000"/>
                <w:sz w:val="18"/>
                <w:szCs w:val="18"/>
              </w:rPr>
              <w:t> </w:t>
            </w:r>
          </w:p>
        </w:tc>
        <w:tc>
          <w:tcPr>
            <w:tcW w:w="302" w:type="pct"/>
            <w:shd w:val="clear" w:color="auto" w:fill="D9D9D9" w:themeFill="background1" w:themeFillShade="D9"/>
            <w:vAlign w:val="center"/>
          </w:tcPr>
          <w:p w14:paraId="17F2CBB8"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FF0000"/>
                <w:sz w:val="18"/>
                <w:szCs w:val="18"/>
              </w:rPr>
              <w:t>-£40,000</w:t>
            </w:r>
          </w:p>
        </w:tc>
      </w:tr>
      <w:tr w:rsidR="003A6119" w:rsidRPr="0078056B" w14:paraId="2938E347" w14:textId="77777777" w:rsidTr="000A186C">
        <w:trPr>
          <w:trHeight w:val="20"/>
        </w:trPr>
        <w:tc>
          <w:tcPr>
            <w:tcW w:w="759" w:type="pct"/>
            <w:shd w:val="clear" w:color="auto" w:fill="auto"/>
            <w:vAlign w:val="center"/>
          </w:tcPr>
          <w:p w14:paraId="74A4D7B6"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Other postgraduate</w:t>
            </w:r>
          </w:p>
        </w:tc>
        <w:tc>
          <w:tcPr>
            <w:tcW w:w="303" w:type="pct"/>
            <w:shd w:val="clear" w:color="auto" w:fill="auto"/>
            <w:vAlign w:val="center"/>
          </w:tcPr>
          <w:p w14:paraId="72F447C4"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207224B7"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55F7335B"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077A10B7"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£135,000</w:t>
            </w:r>
          </w:p>
        </w:tc>
        <w:tc>
          <w:tcPr>
            <w:tcW w:w="303" w:type="pct"/>
            <w:shd w:val="clear" w:color="auto" w:fill="auto"/>
            <w:vAlign w:val="center"/>
          </w:tcPr>
          <w:p w14:paraId="70DFEA1C"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£29,000</w:t>
            </w:r>
          </w:p>
        </w:tc>
        <w:tc>
          <w:tcPr>
            <w:tcW w:w="303" w:type="pct"/>
            <w:shd w:val="clear" w:color="auto" w:fill="auto"/>
            <w:vAlign w:val="center"/>
          </w:tcPr>
          <w:p w14:paraId="592525C3"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£74,000</w:t>
            </w:r>
          </w:p>
        </w:tc>
        <w:tc>
          <w:tcPr>
            <w:tcW w:w="303" w:type="pct"/>
            <w:shd w:val="clear" w:color="auto" w:fill="auto"/>
            <w:vAlign w:val="center"/>
          </w:tcPr>
          <w:p w14:paraId="012691C5"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FF0000"/>
                <w:sz w:val="18"/>
                <w:szCs w:val="18"/>
              </w:rPr>
              <w:t>-£9,000</w:t>
            </w:r>
          </w:p>
        </w:tc>
        <w:tc>
          <w:tcPr>
            <w:tcW w:w="303" w:type="pct"/>
            <w:shd w:val="clear" w:color="auto" w:fill="auto"/>
            <w:vAlign w:val="center"/>
          </w:tcPr>
          <w:p w14:paraId="3FB2E392"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£34,000</w:t>
            </w:r>
          </w:p>
        </w:tc>
        <w:tc>
          <w:tcPr>
            <w:tcW w:w="303" w:type="pct"/>
            <w:shd w:val="clear" w:color="auto" w:fill="D9D9D9" w:themeFill="background1" w:themeFillShade="D9"/>
            <w:vAlign w:val="center"/>
          </w:tcPr>
          <w:p w14:paraId="4CD129F0"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FF0000"/>
                <w:sz w:val="18"/>
                <w:szCs w:val="18"/>
              </w:rPr>
              <w:t>-£30,000</w:t>
            </w:r>
          </w:p>
        </w:tc>
        <w:tc>
          <w:tcPr>
            <w:tcW w:w="303" w:type="pct"/>
            <w:shd w:val="clear" w:color="auto" w:fill="D9D9D9" w:themeFill="background1" w:themeFillShade="D9"/>
            <w:vAlign w:val="center"/>
          </w:tcPr>
          <w:p w14:paraId="0F42AF96"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FF0000"/>
                <w:sz w:val="18"/>
                <w:szCs w:val="18"/>
              </w:rPr>
              <w:t>-£26,000</w:t>
            </w:r>
          </w:p>
        </w:tc>
        <w:tc>
          <w:tcPr>
            <w:tcW w:w="303" w:type="pct"/>
            <w:shd w:val="clear" w:color="auto" w:fill="D9D9D9" w:themeFill="background1" w:themeFillShade="D9"/>
            <w:vAlign w:val="center"/>
          </w:tcPr>
          <w:p w14:paraId="0C56C757"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-£30,000</w:t>
            </w:r>
          </w:p>
        </w:tc>
        <w:tc>
          <w:tcPr>
            <w:tcW w:w="303" w:type="pct"/>
            <w:shd w:val="clear" w:color="auto" w:fill="D9D9D9" w:themeFill="background1" w:themeFillShade="D9"/>
            <w:vAlign w:val="center"/>
          </w:tcPr>
          <w:p w14:paraId="782A10C5"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-£26,000</w:t>
            </w:r>
          </w:p>
        </w:tc>
        <w:tc>
          <w:tcPr>
            <w:tcW w:w="303" w:type="pct"/>
            <w:shd w:val="clear" w:color="auto" w:fill="D9D9D9" w:themeFill="background1" w:themeFillShade="D9"/>
            <w:vAlign w:val="center"/>
          </w:tcPr>
          <w:p w14:paraId="00D2504E"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FF0000"/>
                <w:sz w:val="18"/>
                <w:szCs w:val="18"/>
              </w:rPr>
              <w:t>-£30,000</w:t>
            </w:r>
          </w:p>
        </w:tc>
        <w:tc>
          <w:tcPr>
            <w:tcW w:w="302" w:type="pct"/>
            <w:shd w:val="clear" w:color="auto" w:fill="D9D9D9" w:themeFill="background1" w:themeFillShade="D9"/>
            <w:vAlign w:val="center"/>
          </w:tcPr>
          <w:p w14:paraId="1F5F61D5"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FF0000"/>
                <w:sz w:val="18"/>
                <w:szCs w:val="18"/>
              </w:rPr>
              <w:t>-£26,000</w:t>
            </w:r>
          </w:p>
        </w:tc>
      </w:tr>
      <w:tr w:rsidR="003A6119" w:rsidRPr="0078056B" w14:paraId="296EF5AD" w14:textId="77777777" w:rsidTr="000A186C">
        <w:trPr>
          <w:trHeight w:val="20"/>
        </w:trPr>
        <w:tc>
          <w:tcPr>
            <w:tcW w:w="759" w:type="pct"/>
            <w:shd w:val="clear" w:color="auto" w:fill="auto"/>
            <w:vAlign w:val="center"/>
          </w:tcPr>
          <w:p w14:paraId="0673D0EF"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Higher degree (taught)</w:t>
            </w:r>
          </w:p>
        </w:tc>
        <w:tc>
          <w:tcPr>
            <w:tcW w:w="303" w:type="pct"/>
            <w:shd w:val="clear" w:color="auto" w:fill="auto"/>
            <w:vAlign w:val="center"/>
          </w:tcPr>
          <w:p w14:paraId="24230A26"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6F49212A"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638A4A25"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4B4B55AB"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24224E00"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£96,000</w:t>
            </w:r>
          </w:p>
        </w:tc>
        <w:tc>
          <w:tcPr>
            <w:tcW w:w="303" w:type="pct"/>
            <w:shd w:val="clear" w:color="auto" w:fill="auto"/>
            <w:vAlign w:val="center"/>
          </w:tcPr>
          <w:p w14:paraId="53171769"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£103,000</w:t>
            </w:r>
          </w:p>
        </w:tc>
        <w:tc>
          <w:tcPr>
            <w:tcW w:w="303" w:type="pct"/>
            <w:shd w:val="clear" w:color="auto" w:fill="auto"/>
            <w:vAlign w:val="center"/>
          </w:tcPr>
          <w:p w14:paraId="37EA06F0"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£54,000</w:t>
            </w:r>
          </w:p>
        </w:tc>
        <w:tc>
          <w:tcPr>
            <w:tcW w:w="303" w:type="pct"/>
            <w:shd w:val="clear" w:color="auto" w:fill="auto"/>
            <w:vAlign w:val="center"/>
          </w:tcPr>
          <w:p w14:paraId="2818FF54"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£64,000</w:t>
            </w:r>
          </w:p>
        </w:tc>
        <w:tc>
          <w:tcPr>
            <w:tcW w:w="303" w:type="pct"/>
            <w:shd w:val="clear" w:color="auto" w:fill="auto"/>
            <w:vAlign w:val="center"/>
          </w:tcPr>
          <w:p w14:paraId="620800B2"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000000"/>
                <w:sz w:val="18"/>
                <w:szCs w:val="18"/>
              </w:rPr>
              <w:t>£27,000</w:t>
            </w:r>
          </w:p>
        </w:tc>
        <w:tc>
          <w:tcPr>
            <w:tcW w:w="303" w:type="pct"/>
            <w:shd w:val="clear" w:color="auto" w:fill="auto"/>
            <w:vAlign w:val="center"/>
          </w:tcPr>
          <w:p w14:paraId="680F9BEE"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000000"/>
                <w:sz w:val="18"/>
                <w:szCs w:val="18"/>
              </w:rPr>
              <w:t>£5,000</w:t>
            </w:r>
          </w:p>
        </w:tc>
        <w:tc>
          <w:tcPr>
            <w:tcW w:w="303" w:type="pct"/>
            <w:shd w:val="clear" w:color="auto" w:fill="D9D9D9" w:themeFill="background1" w:themeFillShade="D9"/>
            <w:vAlign w:val="center"/>
          </w:tcPr>
          <w:p w14:paraId="39DDEF8C"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-£23,000</w:t>
            </w:r>
          </w:p>
        </w:tc>
        <w:tc>
          <w:tcPr>
            <w:tcW w:w="303" w:type="pct"/>
            <w:shd w:val="clear" w:color="auto" w:fill="D9D9D9" w:themeFill="background1" w:themeFillShade="D9"/>
            <w:vAlign w:val="center"/>
          </w:tcPr>
          <w:p w14:paraId="123BB1E4"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-£22,000</w:t>
            </w:r>
          </w:p>
        </w:tc>
        <w:tc>
          <w:tcPr>
            <w:tcW w:w="303" w:type="pct"/>
            <w:shd w:val="clear" w:color="auto" w:fill="D9D9D9" w:themeFill="background1" w:themeFillShade="D9"/>
            <w:vAlign w:val="center"/>
          </w:tcPr>
          <w:p w14:paraId="17243E1D"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FF0000"/>
                <w:sz w:val="18"/>
                <w:szCs w:val="18"/>
              </w:rPr>
              <w:t>-£23,000</w:t>
            </w:r>
          </w:p>
        </w:tc>
        <w:tc>
          <w:tcPr>
            <w:tcW w:w="302" w:type="pct"/>
            <w:shd w:val="clear" w:color="auto" w:fill="D9D9D9" w:themeFill="background1" w:themeFillShade="D9"/>
            <w:vAlign w:val="center"/>
          </w:tcPr>
          <w:p w14:paraId="646FA08C"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r>
      <w:tr w:rsidR="003A6119" w:rsidRPr="0078056B" w14:paraId="021789FE" w14:textId="77777777" w:rsidTr="000A186C">
        <w:trPr>
          <w:trHeight w:val="20"/>
        </w:trPr>
        <w:tc>
          <w:tcPr>
            <w:tcW w:w="759" w:type="pct"/>
            <w:tcBorders>
              <w:bottom w:val="single" w:sz="4" w:space="0" w:color="06357A"/>
            </w:tcBorders>
            <w:shd w:val="clear" w:color="auto" w:fill="auto"/>
            <w:vAlign w:val="center"/>
          </w:tcPr>
          <w:p w14:paraId="20D3A705"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Higher degree (research)</w:t>
            </w:r>
          </w:p>
        </w:tc>
        <w:tc>
          <w:tcPr>
            <w:tcW w:w="303" w:type="pct"/>
            <w:tcBorders>
              <w:bottom w:val="single" w:sz="4" w:space="0" w:color="06357A"/>
            </w:tcBorders>
            <w:shd w:val="clear" w:color="auto" w:fill="auto"/>
            <w:vAlign w:val="center"/>
          </w:tcPr>
          <w:p w14:paraId="72BB34FE"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tcBorders>
              <w:bottom w:val="single" w:sz="4" w:space="0" w:color="06357A"/>
            </w:tcBorders>
            <w:shd w:val="clear" w:color="auto" w:fill="auto"/>
            <w:vAlign w:val="center"/>
          </w:tcPr>
          <w:p w14:paraId="12ECEDBC"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tcBorders>
              <w:bottom w:val="single" w:sz="4" w:space="0" w:color="06357A"/>
            </w:tcBorders>
            <w:shd w:val="clear" w:color="auto" w:fill="auto"/>
            <w:vAlign w:val="center"/>
          </w:tcPr>
          <w:p w14:paraId="266909B5"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tcBorders>
              <w:bottom w:val="single" w:sz="4" w:space="0" w:color="06357A"/>
            </w:tcBorders>
            <w:shd w:val="clear" w:color="auto" w:fill="auto"/>
            <w:vAlign w:val="center"/>
          </w:tcPr>
          <w:p w14:paraId="26A63860"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£226,000</w:t>
            </w:r>
          </w:p>
        </w:tc>
        <w:tc>
          <w:tcPr>
            <w:tcW w:w="303" w:type="pct"/>
            <w:tcBorders>
              <w:bottom w:val="single" w:sz="4" w:space="0" w:color="06357A"/>
            </w:tcBorders>
            <w:shd w:val="clear" w:color="auto" w:fill="auto"/>
            <w:vAlign w:val="center"/>
          </w:tcPr>
          <w:p w14:paraId="51CD89A0"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tcBorders>
              <w:bottom w:val="single" w:sz="4" w:space="0" w:color="06357A"/>
            </w:tcBorders>
            <w:shd w:val="clear" w:color="auto" w:fill="auto"/>
            <w:vAlign w:val="center"/>
          </w:tcPr>
          <w:p w14:paraId="5525954B"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tcBorders>
              <w:bottom w:val="single" w:sz="4" w:space="0" w:color="06357A"/>
            </w:tcBorders>
            <w:shd w:val="clear" w:color="auto" w:fill="auto"/>
            <w:vAlign w:val="center"/>
          </w:tcPr>
          <w:p w14:paraId="1DDD33BE"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£96,000</w:t>
            </w:r>
          </w:p>
        </w:tc>
        <w:tc>
          <w:tcPr>
            <w:tcW w:w="303" w:type="pct"/>
            <w:tcBorders>
              <w:bottom w:val="single" w:sz="4" w:space="0" w:color="06357A"/>
            </w:tcBorders>
            <w:shd w:val="clear" w:color="auto" w:fill="auto"/>
            <w:vAlign w:val="center"/>
          </w:tcPr>
          <w:p w14:paraId="4A16BD2A"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£119,000</w:t>
            </w:r>
          </w:p>
        </w:tc>
        <w:tc>
          <w:tcPr>
            <w:tcW w:w="303" w:type="pct"/>
            <w:tcBorders>
              <w:bottom w:val="single" w:sz="4" w:space="0" w:color="06357A"/>
            </w:tcBorders>
            <w:shd w:val="clear" w:color="auto" w:fill="auto"/>
            <w:vAlign w:val="center"/>
          </w:tcPr>
          <w:p w14:paraId="6563D67D"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£82,000</w:t>
            </w:r>
          </w:p>
        </w:tc>
        <w:tc>
          <w:tcPr>
            <w:tcW w:w="303" w:type="pct"/>
            <w:tcBorders>
              <w:bottom w:val="single" w:sz="4" w:space="0" w:color="06357A"/>
            </w:tcBorders>
            <w:shd w:val="clear" w:color="auto" w:fill="auto"/>
            <w:vAlign w:val="center"/>
          </w:tcPr>
          <w:p w14:paraId="42285845"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£63,000</w:t>
            </w:r>
          </w:p>
        </w:tc>
        <w:tc>
          <w:tcPr>
            <w:tcW w:w="303" w:type="pct"/>
            <w:tcBorders>
              <w:bottom w:val="single" w:sz="4" w:space="0" w:color="06357A"/>
            </w:tcBorders>
            <w:shd w:val="clear" w:color="auto" w:fill="auto"/>
            <w:vAlign w:val="center"/>
          </w:tcPr>
          <w:p w14:paraId="20CF2742"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£26,000</w:t>
            </w:r>
          </w:p>
        </w:tc>
        <w:tc>
          <w:tcPr>
            <w:tcW w:w="303" w:type="pct"/>
            <w:tcBorders>
              <w:bottom w:val="single" w:sz="4" w:space="0" w:color="06357A"/>
            </w:tcBorders>
            <w:shd w:val="clear" w:color="auto" w:fill="auto"/>
            <w:vAlign w:val="center"/>
          </w:tcPr>
          <w:p w14:paraId="4621E0CC"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£37,000</w:t>
            </w:r>
          </w:p>
        </w:tc>
        <w:tc>
          <w:tcPr>
            <w:tcW w:w="303" w:type="pct"/>
            <w:tcBorders>
              <w:bottom w:val="single" w:sz="4" w:space="0" w:color="06357A"/>
            </w:tcBorders>
            <w:shd w:val="clear" w:color="auto" w:fill="D9D9D9" w:themeFill="background1" w:themeFillShade="D9"/>
            <w:vAlign w:val="center"/>
          </w:tcPr>
          <w:p w14:paraId="1CB9D970"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2" w:type="pct"/>
            <w:tcBorders>
              <w:bottom w:val="single" w:sz="4" w:space="0" w:color="06357A"/>
            </w:tcBorders>
            <w:shd w:val="clear" w:color="auto" w:fill="D9D9D9" w:themeFill="background1" w:themeFillShade="D9"/>
            <w:vAlign w:val="center"/>
          </w:tcPr>
          <w:p w14:paraId="20D763AC"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FF0000"/>
                <w:sz w:val="18"/>
                <w:szCs w:val="18"/>
              </w:rPr>
              <w:t>-£51,000</w:t>
            </w:r>
          </w:p>
        </w:tc>
      </w:tr>
      <w:tr w:rsidR="003A6119" w:rsidRPr="0078056B" w14:paraId="3E0A0382" w14:textId="77777777" w:rsidTr="000A186C">
        <w:trPr>
          <w:trHeight w:val="20"/>
        </w:trPr>
        <w:tc>
          <w:tcPr>
            <w:tcW w:w="5000" w:type="pct"/>
            <w:gridSpan w:val="15"/>
            <w:tcBorders>
              <w:top w:val="single" w:sz="4" w:space="0" w:color="06357A"/>
            </w:tcBorders>
            <w:shd w:val="clear" w:color="auto" w:fill="0B5ED7" w:themeFill="accent2"/>
            <w:vAlign w:val="center"/>
          </w:tcPr>
          <w:p w14:paraId="5C1573D8" w14:textId="77777777" w:rsidR="003A6119" w:rsidRPr="0078056B" w:rsidRDefault="003A6119" w:rsidP="000A186C">
            <w:pPr>
              <w:spacing w:before="0" w:after="0"/>
              <w:ind w:left="28" w:right="28"/>
              <w:jc w:val="left"/>
              <w:rPr>
                <w:rFonts w:asciiTheme="minorHAnsi" w:hAnsiTheme="minorHAnsi" w:cstheme="minorHAnsi"/>
                <w:b/>
                <w:bCs/>
                <w:color w:val="FFFFFF" w:themeColor="background1"/>
                <w:sz w:val="18"/>
                <w:szCs w:val="18"/>
              </w:rPr>
            </w:pPr>
            <w:r w:rsidRPr="0078056B">
              <w:rPr>
                <w:rFonts w:asciiTheme="minorHAnsi" w:hAnsiTheme="minorHAnsi" w:cstheme="minorHAnsi"/>
                <w:b/>
                <w:bCs/>
                <w:color w:val="FFFFFF" w:themeColor="background1"/>
                <w:sz w:val="18"/>
                <w:szCs w:val="18"/>
              </w:rPr>
              <w:t>Part-time students</w:t>
            </w:r>
          </w:p>
        </w:tc>
      </w:tr>
      <w:tr w:rsidR="003A6119" w:rsidRPr="0078056B" w14:paraId="17C1D98E" w14:textId="77777777" w:rsidTr="000A186C">
        <w:trPr>
          <w:trHeight w:val="20"/>
        </w:trPr>
        <w:tc>
          <w:tcPr>
            <w:tcW w:w="759" w:type="pct"/>
            <w:tcBorders>
              <w:top w:val="single" w:sz="4" w:space="0" w:color="06357A"/>
            </w:tcBorders>
            <w:shd w:val="clear" w:color="auto" w:fill="auto"/>
            <w:vAlign w:val="center"/>
          </w:tcPr>
          <w:p w14:paraId="21355B22"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Other undergraduate</w:t>
            </w:r>
          </w:p>
        </w:tc>
        <w:tc>
          <w:tcPr>
            <w:tcW w:w="303" w:type="pct"/>
            <w:tcBorders>
              <w:top w:val="single" w:sz="4" w:space="0" w:color="06357A"/>
            </w:tcBorders>
            <w:shd w:val="clear" w:color="auto" w:fill="auto"/>
            <w:vAlign w:val="center"/>
          </w:tcPr>
          <w:p w14:paraId="16F5F714"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£146,000</w:t>
            </w:r>
          </w:p>
        </w:tc>
        <w:tc>
          <w:tcPr>
            <w:tcW w:w="303" w:type="pct"/>
            <w:tcBorders>
              <w:top w:val="single" w:sz="4" w:space="0" w:color="06357A"/>
            </w:tcBorders>
            <w:shd w:val="clear" w:color="auto" w:fill="auto"/>
            <w:vAlign w:val="center"/>
          </w:tcPr>
          <w:p w14:paraId="751477EE"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£75,000</w:t>
            </w:r>
          </w:p>
        </w:tc>
        <w:tc>
          <w:tcPr>
            <w:tcW w:w="303" w:type="pct"/>
            <w:tcBorders>
              <w:top w:val="single" w:sz="4" w:space="0" w:color="06357A"/>
            </w:tcBorders>
            <w:shd w:val="clear" w:color="auto" w:fill="auto"/>
            <w:vAlign w:val="center"/>
          </w:tcPr>
          <w:p w14:paraId="2D49D21C"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£93,000</w:t>
            </w:r>
          </w:p>
        </w:tc>
        <w:tc>
          <w:tcPr>
            <w:tcW w:w="303" w:type="pct"/>
            <w:tcBorders>
              <w:top w:val="single" w:sz="4" w:space="0" w:color="06357A"/>
            </w:tcBorders>
            <w:shd w:val="clear" w:color="auto" w:fill="auto"/>
            <w:vAlign w:val="center"/>
          </w:tcPr>
          <w:p w14:paraId="040E3E56"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£53,000</w:t>
            </w:r>
          </w:p>
        </w:tc>
        <w:tc>
          <w:tcPr>
            <w:tcW w:w="303" w:type="pct"/>
            <w:tcBorders>
              <w:top w:val="single" w:sz="4" w:space="0" w:color="06357A"/>
            </w:tcBorders>
            <w:shd w:val="clear" w:color="auto" w:fill="D9D9D9" w:themeFill="background1" w:themeFillShade="D9"/>
            <w:vAlign w:val="center"/>
          </w:tcPr>
          <w:p w14:paraId="317A2BA1"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FF0000"/>
                <w:sz w:val="18"/>
                <w:szCs w:val="18"/>
              </w:rPr>
              <w:t>-£3,000</w:t>
            </w:r>
          </w:p>
        </w:tc>
        <w:tc>
          <w:tcPr>
            <w:tcW w:w="303" w:type="pct"/>
            <w:tcBorders>
              <w:top w:val="single" w:sz="4" w:space="0" w:color="06357A"/>
            </w:tcBorders>
            <w:shd w:val="clear" w:color="auto" w:fill="D9D9D9" w:themeFill="background1" w:themeFillShade="D9"/>
            <w:vAlign w:val="center"/>
          </w:tcPr>
          <w:p w14:paraId="36E896C8"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FF0000"/>
                <w:sz w:val="18"/>
                <w:szCs w:val="18"/>
              </w:rPr>
              <w:t>-£3,000</w:t>
            </w:r>
          </w:p>
        </w:tc>
        <w:tc>
          <w:tcPr>
            <w:tcW w:w="303" w:type="pct"/>
            <w:tcBorders>
              <w:top w:val="single" w:sz="4" w:space="0" w:color="06357A"/>
            </w:tcBorders>
            <w:shd w:val="clear" w:color="auto" w:fill="D9D9D9" w:themeFill="background1" w:themeFillShade="D9"/>
            <w:vAlign w:val="center"/>
          </w:tcPr>
          <w:p w14:paraId="13ED4196"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FF0000"/>
                <w:sz w:val="18"/>
                <w:szCs w:val="18"/>
              </w:rPr>
              <w:t>-£3,000</w:t>
            </w:r>
          </w:p>
        </w:tc>
        <w:tc>
          <w:tcPr>
            <w:tcW w:w="303" w:type="pct"/>
            <w:tcBorders>
              <w:top w:val="single" w:sz="4" w:space="0" w:color="06357A"/>
            </w:tcBorders>
            <w:shd w:val="clear" w:color="auto" w:fill="D9D9D9" w:themeFill="background1" w:themeFillShade="D9"/>
            <w:vAlign w:val="center"/>
          </w:tcPr>
          <w:p w14:paraId="0FF9E38C"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FF0000"/>
                <w:sz w:val="18"/>
                <w:szCs w:val="18"/>
              </w:rPr>
              <w:t>-£3,000</w:t>
            </w:r>
          </w:p>
        </w:tc>
        <w:tc>
          <w:tcPr>
            <w:tcW w:w="303" w:type="pct"/>
            <w:tcBorders>
              <w:top w:val="single" w:sz="4" w:space="0" w:color="06357A"/>
            </w:tcBorders>
            <w:shd w:val="clear" w:color="auto" w:fill="D9D9D9" w:themeFill="background1" w:themeFillShade="D9"/>
            <w:vAlign w:val="center"/>
          </w:tcPr>
          <w:p w14:paraId="009B335A"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FF0000"/>
                <w:sz w:val="18"/>
                <w:szCs w:val="18"/>
              </w:rPr>
              <w:t>-£3,000</w:t>
            </w:r>
          </w:p>
        </w:tc>
        <w:tc>
          <w:tcPr>
            <w:tcW w:w="303" w:type="pct"/>
            <w:tcBorders>
              <w:top w:val="single" w:sz="4" w:space="0" w:color="06357A"/>
            </w:tcBorders>
            <w:shd w:val="clear" w:color="auto" w:fill="D9D9D9" w:themeFill="background1" w:themeFillShade="D9"/>
            <w:vAlign w:val="center"/>
          </w:tcPr>
          <w:p w14:paraId="5D0DADBB"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tcBorders>
              <w:top w:val="single" w:sz="4" w:space="0" w:color="06357A"/>
            </w:tcBorders>
            <w:shd w:val="clear" w:color="auto" w:fill="D9D9D9" w:themeFill="background1" w:themeFillShade="D9"/>
            <w:vAlign w:val="center"/>
          </w:tcPr>
          <w:p w14:paraId="70CEB4F3"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FF0000"/>
                <w:sz w:val="18"/>
                <w:szCs w:val="18"/>
              </w:rPr>
              <w:t>-£3,000</w:t>
            </w:r>
          </w:p>
        </w:tc>
        <w:tc>
          <w:tcPr>
            <w:tcW w:w="303" w:type="pct"/>
            <w:tcBorders>
              <w:top w:val="single" w:sz="4" w:space="0" w:color="06357A"/>
            </w:tcBorders>
            <w:shd w:val="clear" w:color="auto" w:fill="D9D9D9" w:themeFill="background1" w:themeFillShade="D9"/>
            <w:vAlign w:val="center"/>
          </w:tcPr>
          <w:p w14:paraId="4500C7A9"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tcBorders>
              <w:top w:val="single" w:sz="4" w:space="0" w:color="06357A"/>
            </w:tcBorders>
            <w:shd w:val="clear" w:color="auto" w:fill="D9D9D9" w:themeFill="background1" w:themeFillShade="D9"/>
            <w:vAlign w:val="center"/>
          </w:tcPr>
          <w:p w14:paraId="49F88220"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2" w:type="pct"/>
            <w:tcBorders>
              <w:top w:val="single" w:sz="4" w:space="0" w:color="06357A"/>
            </w:tcBorders>
            <w:shd w:val="clear" w:color="auto" w:fill="D9D9D9" w:themeFill="background1" w:themeFillShade="D9"/>
            <w:vAlign w:val="center"/>
          </w:tcPr>
          <w:p w14:paraId="5DA4D665"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r>
      <w:tr w:rsidR="003A6119" w:rsidRPr="0078056B" w14:paraId="31F738B5" w14:textId="77777777" w:rsidTr="000A186C">
        <w:trPr>
          <w:trHeight w:val="20"/>
        </w:trPr>
        <w:tc>
          <w:tcPr>
            <w:tcW w:w="759" w:type="pct"/>
            <w:shd w:val="clear" w:color="auto" w:fill="auto"/>
            <w:vAlign w:val="center"/>
          </w:tcPr>
          <w:p w14:paraId="02C3CF8B"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First degree</w:t>
            </w:r>
          </w:p>
        </w:tc>
        <w:tc>
          <w:tcPr>
            <w:tcW w:w="303" w:type="pct"/>
            <w:shd w:val="clear" w:color="auto" w:fill="auto"/>
            <w:vAlign w:val="center"/>
          </w:tcPr>
          <w:p w14:paraId="2CFDA864"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1A31D435"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04A6B180"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09F4307A"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77F47BE7"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794246F9"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shd w:val="clear" w:color="auto" w:fill="D9D9D9" w:themeFill="background1" w:themeFillShade="D9"/>
            <w:vAlign w:val="center"/>
          </w:tcPr>
          <w:p w14:paraId="7EA9BA9C"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000000"/>
                <w:sz w:val="18"/>
                <w:szCs w:val="18"/>
              </w:rPr>
              <w:t> </w:t>
            </w:r>
          </w:p>
        </w:tc>
        <w:tc>
          <w:tcPr>
            <w:tcW w:w="303" w:type="pct"/>
            <w:shd w:val="clear" w:color="auto" w:fill="D9D9D9" w:themeFill="background1" w:themeFillShade="D9"/>
            <w:vAlign w:val="center"/>
          </w:tcPr>
          <w:p w14:paraId="5068F220"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000000"/>
                <w:sz w:val="18"/>
                <w:szCs w:val="18"/>
              </w:rPr>
              <w:t> </w:t>
            </w:r>
          </w:p>
        </w:tc>
        <w:tc>
          <w:tcPr>
            <w:tcW w:w="303" w:type="pct"/>
            <w:shd w:val="clear" w:color="auto" w:fill="D9D9D9" w:themeFill="background1" w:themeFillShade="D9"/>
            <w:vAlign w:val="center"/>
          </w:tcPr>
          <w:p w14:paraId="651D8E6A"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shd w:val="clear" w:color="auto" w:fill="D9D9D9" w:themeFill="background1" w:themeFillShade="D9"/>
            <w:vAlign w:val="center"/>
          </w:tcPr>
          <w:p w14:paraId="39ED5BB7"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shd w:val="clear" w:color="auto" w:fill="D9D9D9" w:themeFill="background1" w:themeFillShade="D9"/>
            <w:vAlign w:val="center"/>
          </w:tcPr>
          <w:p w14:paraId="61E441D6"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shd w:val="clear" w:color="auto" w:fill="D9D9D9" w:themeFill="background1" w:themeFillShade="D9"/>
            <w:vAlign w:val="center"/>
          </w:tcPr>
          <w:p w14:paraId="0CBE9E17"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shd w:val="clear" w:color="auto" w:fill="D9D9D9" w:themeFill="background1" w:themeFillShade="D9"/>
            <w:vAlign w:val="center"/>
          </w:tcPr>
          <w:p w14:paraId="07C388B0"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2" w:type="pct"/>
            <w:shd w:val="clear" w:color="auto" w:fill="D9D9D9" w:themeFill="background1" w:themeFillShade="D9"/>
            <w:vAlign w:val="center"/>
          </w:tcPr>
          <w:p w14:paraId="735F817B"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r>
      <w:tr w:rsidR="003A6119" w:rsidRPr="0078056B" w14:paraId="7B180BB8" w14:textId="77777777" w:rsidTr="000A186C">
        <w:trPr>
          <w:trHeight w:val="20"/>
        </w:trPr>
        <w:tc>
          <w:tcPr>
            <w:tcW w:w="759" w:type="pct"/>
            <w:shd w:val="clear" w:color="auto" w:fill="auto"/>
            <w:vAlign w:val="center"/>
          </w:tcPr>
          <w:p w14:paraId="74473651"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Other postgraduate</w:t>
            </w:r>
          </w:p>
        </w:tc>
        <w:tc>
          <w:tcPr>
            <w:tcW w:w="303" w:type="pct"/>
            <w:shd w:val="clear" w:color="auto" w:fill="auto"/>
            <w:vAlign w:val="center"/>
          </w:tcPr>
          <w:p w14:paraId="6AFBB4F7"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£121,000</w:t>
            </w:r>
          </w:p>
        </w:tc>
        <w:tc>
          <w:tcPr>
            <w:tcW w:w="303" w:type="pct"/>
            <w:shd w:val="clear" w:color="auto" w:fill="auto"/>
            <w:vAlign w:val="center"/>
          </w:tcPr>
          <w:p w14:paraId="555A452A"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£111,000</w:t>
            </w:r>
          </w:p>
        </w:tc>
        <w:tc>
          <w:tcPr>
            <w:tcW w:w="303" w:type="pct"/>
            <w:shd w:val="clear" w:color="auto" w:fill="auto"/>
            <w:vAlign w:val="center"/>
          </w:tcPr>
          <w:p w14:paraId="031C4995"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£85,000</w:t>
            </w:r>
          </w:p>
        </w:tc>
        <w:tc>
          <w:tcPr>
            <w:tcW w:w="303" w:type="pct"/>
            <w:shd w:val="clear" w:color="auto" w:fill="auto"/>
            <w:vAlign w:val="center"/>
          </w:tcPr>
          <w:p w14:paraId="6F3F8D20"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74160713"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£12,000</w:t>
            </w:r>
          </w:p>
        </w:tc>
        <w:tc>
          <w:tcPr>
            <w:tcW w:w="303" w:type="pct"/>
            <w:shd w:val="clear" w:color="auto" w:fill="auto"/>
            <w:vAlign w:val="center"/>
          </w:tcPr>
          <w:p w14:paraId="0C1A5DD0"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£52,000</w:t>
            </w:r>
          </w:p>
        </w:tc>
        <w:tc>
          <w:tcPr>
            <w:tcW w:w="303" w:type="pct"/>
            <w:shd w:val="clear" w:color="auto" w:fill="auto"/>
            <w:vAlign w:val="center"/>
          </w:tcPr>
          <w:p w14:paraId="6A8DBC6B"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FF0000"/>
                <w:sz w:val="18"/>
                <w:szCs w:val="18"/>
              </w:rPr>
              <w:t>-£3,000</w:t>
            </w:r>
          </w:p>
        </w:tc>
        <w:tc>
          <w:tcPr>
            <w:tcW w:w="303" w:type="pct"/>
            <w:shd w:val="clear" w:color="auto" w:fill="auto"/>
            <w:vAlign w:val="center"/>
          </w:tcPr>
          <w:p w14:paraId="5A823620"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£35,000</w:t>
            </w:r>
          </w:p>
        </w:tc>
        <w:tc>
          <w:tcPr>
            <w:tcW w:w="303" w:type="pct"/>
            <w:shd w:val="clear" w:color="auto" w:fill="D9D9D9" w:themeFill="background1" w:themeFillShade="D9"/>
            <w:vAlign w:val="center"/>
          </w:tcPr>
          <w:p w14:paraId="506360FC"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-£7,000</w:t>
            </w:r>
          </w:p>
        </w:tc>
        <w:tc>
          <w:tcPr>
            <w:tcW w:w="303" w:type="pct"/>
            <w:shd w:val="clear" w:color="auto" w:fill="D9D9D9" w:themeFill="background1" w:themeFillShade="D9"/>
            <w:vAlign w:val="center"/>
          </w:tcPr>
          <w:p w14:paraId="0F8C8AF4"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-£7,000</w:t>
            </w:r>
          </w:p>
        </w:tc>
        <w:tc>
          <w:tcPr>
            <w:tcW w:w="303" w:type="pct"/>
            <w:shd w:val="clear" w:color="auto" w:fill="D9D9D9" w:themeFill="background1" w:themeFillShade="D9"/>
            <w:vAlign w:val="center"/>
          </w:tcPr>
          <w:p w14:paraId="1DBB593B"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-£7,000</w:t>
            </w:r>
          </w:p>
        </w:tc>
        <w:tc>
          <w:tcPr>
            <w:tcW w:w="303" w:type="pct"/>
            <w:shd w:val="clear" w:color="auto" w:fill="D9D9D9" w:themeFill="background1" w:themeFillShade="D9"/>
            <w:vAlign w:val="center"/>
          </w:tcPr>
          <w:p w14:paraId="375AF4D1"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-£7,000</w:t>
            </w:r>
          </w:p>
        </w:tc>
        <w:tc>
          <w:tcPr>
            <w:tcW w:w="303" w:type="pct"/>
            <w:shd w:val="clear" w:color="auto" w:fill="D9D9D9" w:themeFill="background1" w:themeFillShade="D9"/>
            <w:vAlign w:val="center"/>
          </w:tcPr>
          <w:p w14:paraId="376EBB3C"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-£7,000</w:t>
            </w:r>
          </w:p>
        </w:tc>
        <w:tc>
          <w:tcPr>
            <w:tcW w:w="302" w:type="pct"/>
            <w:shd w:val="clear" w:color="auto" w:fill="D9D9D9" w:themeFill="background1" w:themeFillShade="D9"/>
            <w:vAlign w:val="center"/>
          </w:tcPr>
          <w:p w14:paraId="2E11C750"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-£7,000</w:t>
            </w:r>
          </w:p>
        </w:tc>
      </w:tr>
      <w:tr w:rsidR="003A6119" w:rsidRPr="0078056B" w14:paraId="0E351019" w14:textId="77777777" w:rsidTr="000A186C">
        <w:trPr>
          <w:trHeight w:val="20"/>
        </w:trPr>
        <w:tc>
          <w:tcPr>
            <w:tcW w:w="759" w:type="pct"/>
            <w:shd w:val="clear" w:color="auto" w:fill="auto"/>
            <w:vAlign w:val="center"/>
          </w:tcPr>
          <w:p w14:paraId="648692DE"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Higher degree (taught)</w:t>
            </w:r>
          </w:p>
        </w:tc>
        <w:tc>
          <w:tcPr>
            <w:tcW w:w="303" w:type="pct"/>
            <w:shd w:val="clear" w:color="auto" w:fill="auto"/>
            <w:vAlign w:val="center"/>
          </w:tcPr>
          <w:p w14:paraId="19BD46C3"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0D5060D6"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5F9FBBD8"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£113,000</w:t>
            </w:r>
          </w:p>
        </w:tc>
        <w:tc>
          <w:tcPr>
            <w:tcW w:w="303" w:type="pct"/>
            <w:shd w:val="clear" w:color="auto" w:fill="auto"/>
            <w:vAlign w:val="center"/>
          </w:tcPr>
          <w:p w14:paraId="0DF63FF6"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3B0088D3"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£50,000</w:t>
            </w:r>
          </w:p>
        </w:tc>
        <w:tc>
          <w:tcPr>
            <w:tcW w:w="303" w:type="pct"/>
            <w:shd w:val="clear" w:color="auto" w:fill="auto"/>
            <w:vAlign w:val="center"/>
          </w:tcPr>
          <w:p w14:paraId="1E8DD2EF"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£62,000</w:t>
            </w:r>
          </w:p>
        </w:tc>
        <w:tc>
          <w:tcPr>
            <w:tcW w:w="303" w:type="pct"/>
            <w:shd w:val="clear" w:color="auto" w:fill="auto"/>
            <w:vAlign w:val="center"/>
          </w:tcPr>
          <w:p w14:paraId="41E1CADA"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£39,000</w:t>
            </w:r>
          </w:p>
        </w:tc>
        <w:tc>
          <w:tcPr>
            <w:tcW w:w="303" w:type="pct"/>
            <w:shd w:val="clear" w:color="auto" w:fill="auto"/>
            <w:vAlign w:val="center"/>
          </w:tcPr>
          <w:p w14:paraId="0E2FF799"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£48,000</w:t>
            </w:r>
          </w:p>
        </w:tc>
        <w:tc>
          <w:tcPr>
            <w:tcW w:w="303" w:type="pct"/>
            <w:shd w:val="clear" w:color="auto" w:fill="auto"/>
            <w:vAlign w:val="center"/>
          </w:tcPr>
          <w:p w14:paraId="613A595C"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000000"/>
                <w:sz w:val="18"/>
                <w:szCs w:val="18"/>
              </w:rPr>
              <w:t>£35,000</w:t>
            </w:r>
          </w:p>
        </w:tc>
        <w:tc>
          <w:tcPr>
            <w:tcW w:w="303" w:type="pct"/>
            <w:shd w:val="clear" w:color="auto" w:fill="auto"/>
            <w:vAlign w:val="center"/>
          </w:tcPr>
          <w:p w14:paraId="168301C8"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000000"/>
                <w:sz w:val="18"/>
                <w:szCs w:val="18"/>
              </w:rPr>
              <w:t>£10,000</w:t>
            </w:r>
          </w:p>
        </w:tc>
        <w:tc>
          <w:tcPr>
            <w:tcW w:w="303" w:type="pct"/>
            <w:shd w:val="clear" w:color="auto" w:fill="D9D9D9" w:themeFill="background1" w:themeFillShade="D9"/>
            <w:vAlign w:val="center"/>
          </w:tcPr>
          <w:p w14:paraId="3AE80397"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-£10,000</w:t>
            </w:r>
          </w:p>
        </w:tc>
        <w:tc>
          <w:tcPr>
            <w:tcW w:w="303" w:type="pct"/>
            <w:shd w:val="clear" w:color="auto" w:fill="D9D9D9" w:themeFill="background1" w:themeFillShade="D9"/>
            <w:vAlign w:val="center"/>
          </w:tcPr>
          <w:p w14:paraId="71DE7897"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-£10,000</w:t>
            </w:r>
          </w:p>
        </w:tc>
        <w:tc>
          <w:tcPr>
            <w:tcW w:w="303" w:type="pct"/>
            <w:shd w:val="clear" w:color="auto" w:fill="D9D9D9" w:themeFill="background1" w:themeFillShade="D9"/>
            <w:vAlign w:val="center"/>
          </w:tcPr>
          <w:p w14:paraId="7EC536A8"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-£11,000</w:t>
            </w:r>
          </w:p>
        </w:tc>
        <w:tc>
          <w:tcPr>
            <w:tcW w:w="302" w:type="pct"/>
            <w:shd w:val="clear" w:color="auto" w:fill="D9D9D9" w:themeFill="background1" w:themeFillShade="D9"/>
            <w:vAlign w:val="center"/>
          </w:tcPr>
          <w:p w14:paraId="6ECECA55"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-£10,000</w:t>
            </w:r>
          </w:p>
        </w:tc>
      </w:tr>
      <w:tr w:rsidR="003A6119" w:rsidRPr="0078056B" w14:paraId="36B3821C" w14:textId="77777777" w:rsidTr="000A186C">
        <w:trPr>
          <w:trHeight w:val="20"/>
        </w:trPr>
        <w:tc>
          <w:tcPr>
            <w:tcW w:w="759" w:type="pct"/>
            <w:tcBorders>
              <w:bottom w:val="single" w:sz="4" w:space="0" w:color="06357A"/>
            </w:tcBorders>
            <w:shd w:val="clear" w:color="auto" w:fill="auto"/>
            <w:vAlign w:val="center"/>
          </w:tcPr>
          <w:p w14:paraId="24B7543E"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Higher degree (research)</w:t>
            </w:r>
          </w:p>
        </w:tc>
        <w:tc>
          <w:tcPr>
            <w:tcW w:w="303" w:type="pct"/>
            <w:tcBorders>
              <w:bottom w:val="single" w:sz="4" w:space="0" w:color="06357A"/>
            </w:tcBorders>
            <w:shd w:val="clear" w:color="auto" w:fill="auto"/>
            <w:vAlign w:val="center"/>
          </w:tcPr>
          <w:p w14:paraId="28279B1A"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tcBorders>
              <w:bottom w:val="single" w:sz="4" w:space="0" w:color="06357A"/>
            </w:tcBorders>
            <w:shd w:val="clear" w:color="auto" w:fill="auto"/>
            <w:vAlign w:val="center"/>
          </w:tcPr>
          <w:p w14:paraId="1276005A"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tcBorders>
              <w:bottom w:val="single" w:sz="4" w:space="0" w:color="06357A"/>
            </w:tcBorders>
            <w:shd w:val="clear" w:color="auto" w:fill="auto"/>
            <w:vAlign w:val="center"/>
          </w:tcPr>
          <w:p w14:paraId="53F8303F"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tcBorders>
              <w:bottom w:val="single" w:sz="4" w:space="0" w:color="06357A"/>
            </w:tcBorders>
            <w:shd w:val="clear" w:color="auto" w:fill="auto"/>
            <w:vAlign w:val="center"/>
          </w:tcPr>
          <w:p w14:paraId="735FB986"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tcBorders>
              <w:bottom w:val="single" w:sz="4" w:space="0" w:color="06357A"/>
            </w:tcBorders>
            <w:shd w:val="clear" w:color="auto" w:fill="auto"/>
            <w:vAlign w:val="center"/>
          </w:tcPr>
          <w:p w14:paraId="3A5D4550"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tcBorders>
              <w:bottom w:val="single" w:sz="4" w:space="0" w:color="06357A"/>
            </w:tcBorders>
            <w:shd w:val="clear" w:color="auto" w:fill="auto"/>
            <w:vAlign w:val="center"/>
          </w:tcPr>
          <w:p w14:paraId="2738DCD0"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tcBorders>
              <w:bottom w:val="single" w:sz="4" w:space="0" w:color="06357A"/>
            </w:tcBorders>
            <w:shd w:val="clear" w:color="auto" w:fill="auto"/>
            <w:vAlign w:val="center"/>
          </w:tcPr>
          <w:p w14:paraId="4B7BEDBB"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£68,000</w:t>
            </w:r>
          </w:p>
        </w:tc>
        <w:tc>
          <w:tcPr>
            <w:tcW w:w="303" w:type="pct"/>
            <w:tcBorders>
              <w:bottom w:val="single" w:sz="4" w:space="0" w:color="06357A"/>
            </w:tcBorders>
            <w:shd w:val="clear" w:color="auto" w:fill="auto"/>
            <w:vAlign w:val="center"/>
          </w:tcPr>
          <w:p w14:paraId="6C5BF46D"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£59,000</w:t>
            </w:r>
          </w:p>
        </w:tc>
        <w:tc>
          <w:tcPr>
            <w:tcW w:w="303" w:type="pct"/>
            <w:tcBorders>
              <w:bottom w:val="single" w:sz="4" w:space="0" w:color="06357A"/>
            </w:tcBorders>
            <w:shd w:val="clear" w:color="auto" w:fill="auto"/>
            <w:vAlign w:val="center"/>
          </w:tcPr>
          <w:p w14:paraId="1EBCDD1B"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c>
          <w:tcPr>
            <w:tcW w:w="303" w:type="pct"/>
            <w:tcBorders>
              <w:bottom w:val="single" w:sz="4" w:space="0" w:color="BFBFBF"/>
            </w:tcBorders>
            <w:shd w:val="clear" w:color="auto" w:fill="auto"/>
            <w:vAlign w:val="center"/>
          </w:tcPr>
          <w:p w14:paraId="4E7B10AD"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£37,000</w:t>
            </w:r>
          </w:p>
        </w:tc>
        <w:tc>
          <w:tcPr>
            <w:tcW w:w="303" w:type="pct"/>
            <w:tcBorders>
              <w:bottom w:val="single" w:sz="4" w:space="0" w:color="BFBFBF"/>
            </w:tcBorders>
            <w:shd w:val="clear" w:color="auto" w:fill="auto"/>
            <w:vAlign w:val="center"/>
          </w:tcPr>
          <w:p w14:paraId="623B9BB5"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£39,000</w:t>
            </w:r>
          </w:p>
        </w:tc>
        <w:tc>
          <w:tcPr>
            <w:tcW w:w="303" w:type="pct"/>
            <w:tcBorders>
              <w:bottom w:val="single" w:sz="4" w:space="0" w:color="BFBFBF"/>
            </w:tcBorders>
            <w:shd w:val="clear" w:color="auto" w:fill="auto"/>
            <w:vAlign w:val="center"/>
          </w:tcPr>
          <w:p w14:paraId="23D146F2"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£24,000</w:t>
            </w:r>
          </w:p>
        </w:tc>
        <w:tc>
          <w:tcPr>
            <w:tcW w:w="303" w:type="pct"/>
            <w:tcBorders>
              <w:bottom w:val="single" w:sz="4" w:space="0" w:color="BFBFBF"/>
            </w:tcBorders>
            <w:shd w:val="clear" w:color="auto" w:fill="D9D9D9" w:themeFill="background1" w:themeFillShade="D9"/>
            <w:vAlign w:val="center"/>
          </w:tcPr>
          <w:p w14:paraId="2E9B83BD"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FF0000"/>
                <w:sz w:val="18"/>
                <w:szCs w:val="18"/>
              </w:rPr>
              <w:t>-£8,000</w:t>
            </w:r>
          </w:p>
        </w:tc>
        <w:tc>
          <w:tcPr>
            <w:tcW w:w="302" w:type="pct"/>
            <w:tcBorders>
              <w:bottom w:val="single" w:sz="4" w:space="0" w:color="BFBFBF"/>
            </w:tcBorders>
            <w:shd w:val="clear" w:color="auto" w:fill="D9D9D9" w:themeFill="background1" w:themeFillShade="D9"/>
            <w:vAlign w:val="center"/>
          </w:tcPr>
          <w:p w14:paraId="1F19AAA0" w14:textId="77777777" w:rsidR="003A6119" w:rsidRPr="0078056B" w:rsidRDefault="003A6119" w:rsidP="000A186C">
            <w:pPr>
              <w:spacing w:before="0" w:after="0"/>
              <w:ind w:left="28" w:right="28"/>
              <w:jc w:val="center"/>
              <w:rPr>
                <w:rFonts w:asciiTheme="minorHAnsi" w:hAnsiTheme="minorHAnsi" w:cstheme="minorHAnsi"/>
                <w:sz w:val="18"/>
                <w:szCs w:val="18"/>
              </w:rPr>
            </w:pPr>
            <w:r w:rsidRPr="0078056B">
              <w:rPr>
                <w:rFonts w:asciiTheme="minorHAnsi" w:hAnsiTheme="minorHAnsi" w:cstheme="minorHAnsi"/>
                <w:color w:val="000000"/>
                <w:sz w:val="18"/>
                <w:szCs w:val="18"/>
              </w:rPr>
              <w:t> </w:t>
            </w:r>
          </w:p>
        </w:tc>
      </w:tr>
      <w:tr w:rsidR="003A6119" w:rsidRPr="0078056B" w14:paraId="6DF209C7" w14:textId="77777777" w:rsidTr="000A186C">
        <w:trPr>
          <w:trHeight w:val="120"/>
        </w:trPr>
        <w:tc>
          <w:tcPr>
            <w:tcW w:w="5000" w:type="pct"/>
            <w:gridSpan w:val="15"/>
            <w:tcBorders>
              <w:top w:val="single" w:sz="4" w:space="0" w:color="06357A"/>
              <w:bottom w:val="single" w:sz="4" w:space="0" w:color="06357A"/>
            </w:tcBorders>
            <w:shd w:val="clear" w:color="auto" w:fill="auto"/>
            <w:vAlign w:val="center"/>
          </w:tcPr>
          <w:p w14:paraId="1F9338AD" w14:textId="77777777" w:rsidR="003A6119" w:rsidRPr="0078056B" w:rsidRDefault="003A6119" w:rsidP="000A186C">
            <w:pPr>
              <w:spacing w:before="0" w:after="0"/>
              <w:jc w:val="left"/>
              <w:rPr>
                <w:rFonts w:asciiTheme="minorHAnsi" w:hAnsiTheme="minorHAnsi" w:cstheme="minorHAnsi"/>
                <w:b/>
                <w:color w:val="0B5ED7" w:themeColor="accent2"/>
                <w:sz w:val="18"/>
                <w:szCs w:val="18"/>
              </w:rPr>
            </w:pPr>
          </w:p>
        </w:tc>
      </w:tr>
      <w:tr w:rsidR="003A6119" w:rsidRPr="0078056B" w14:paraId="10292DA5" w14:textId="77777777" w:rsidTr="000A186C">
        <w:trPr>
          <w:trHeight w:val="20"/>
        </w:trPr>
        <w:tc>
          <w:tcPr>
            <w:tcW w:w="5000" w:type="pct"/>
            <w:gridSpan w:val="15"/>
            <w:tcBorders>
              <w:top w:val="single" w:sz="4" w:space="0" w:color="06357A"/>
              <w:bottom w:val="single" w:sz="4" w:space="0" w:color="06357A"/>
            </w:tcBorders>
            <w:shd w:val="clear" w:color="auto" w:fill="auto"/>
            <w:vAlign w:val="center"/>
          </w:tcPr>
          <w:p w14:paraId="796E1BB0" w14:textId="77777777" w:rsidR="003A6119" w:rsidRPr="0078056B" w:rsidRDefault="003A6119" w:rsidP="000A186C">
            <w:pPr>
              <w:spacing w:before="0" w:after="0"/>
              <w:ind w:left="28" w:right="28"/>
              <w:jc w:val="left"/>
              <w:rPr>
                <w:rFonts w:asciiTheme="minorHAnsi" w:hAnsiTheme="minorHAnsi" w:cstheme="minorHAnsi"/>
                <w:b/>
                <w:color w:val="0B5ED7" w:themeColor="accent2"/>
                <w:sz w:val="18"/>
                <w:szCs w:val="18"/>
              </w:rPr>
            </w:pPr>
            <w:r w:rsidRPr="0078056B">
              <w:rPr>
                <w:rFonts w:asciiTheme="minorHAnsi" w:hAnsiTheme="minorHAnsi" w:cstheme="minorHAnsi"/>
                <w:b/>
                <w:color w:val="06357A"/>
                <w:sz w:val="18"/>
                <w:szCs w:val="18"/>
              </w:rPr>
              <w:t>Net Exchequer benefits</w:t>
            </w:r>
          </w:p>
        </w:tc>
      </w:tr>
      <w:tr w:rsidR="003A6119" w:rsidRPr="0078056B" w14:paraId="3056BE33" w14:textId="77777777" w:rsidTr="000A186C">
        <w:trPr>
          <w:trHeight w:val="20"/>
        </w:trPr>
        <w:tc>
          <w:tcPr>
            <w:tcW w:w="5000" w:type="pct"/>
            <w:gridSpan w:val="15"/>
            <w:tcBorders>
              <w:top w:val="single" w:sz="4" w:space="0" w:color="06357A"/>
              <w:bottom w:val="single" w:sz="4" w:space="0" w:color="06357A"/>
            </w:tcBorders>
            <w:shd w:val="clear" w:color="auto" w:fill="06357A" w:themeFill="text2"/>
            <w:vAlign w:val="center"/>
          </w:tcPr>
          <w:p w14:paraId="16C8CC6A" w14:textId="77777777" w:rsidR="003A6119" w:rsidRPr="0078056B" w:rsidRDefault="003A6119" w:rsidP="000A186C">
            <w:pPr>
              <w:spacing w:before="0" w:after="0"/>
              <w:ind w:left="28" w:right="28"/>
              <w:jc w:val="left"/>
              <w:rPr>
                <w:rFonts w:asciiTheme="minorHAnsi" w:hAnsiTheme="minorHAnsi" w:cstheme="minorHAnsi"/>
                <w:color w:val="FFFFFF" w:themeColor="background1"/>
                <w:sz w:val="18"/>
                <w:szCs w:val="18"/>
              </w:rPr>
            </w:pPr>
            <w:r w:rsidRPr="0078056B">
              <w:rPr>
                <w:rFonts w:asciiTheme="minorHAnsi" w:hAnsiTheme="minorHAnsi" w:cstheme="minorHAnsi"/>
                <w:b/>
                <w:color w:val="FFFFFF" w:themeColor="background1"/>
                <w:sz w:val="18"/>
                <w:szCs w:val="18"/>
              </w:rPr>
              <w:t>Full-time students</w:t>
            </w:r>
          </w:p>
        </w:tc>
      </w:tr>
      <w:tr w:rsidR="003A6119" w:rsidRPr="0078056B" w14:paraId="1AF08E5C" w14:textId="77777777" w:rsidTr="000A186C">
        <w:trPr>
          <w:trHeight w:val="20"/>
        </w:trPr>
        <w:tc>
          <w:tcPr>
            <w:tcW w:w="759" w:type="pct"/>
            <w:tcBorders>
              <w:top w:val="single" w:sz="4" w:space="0" w:color="06357A"/>
            </w:tcBorders>
            <w:shd w:val="clear" w:color="auto" w:fill="auto"/>
            <w:vAlign w:val="center"/>
          </w:tcPr>
          <w:p w14:paraId="0ACB6D24"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Other undergraduate</w:t>
            </w:r>
          </w:p>
        </w:tc>
        <w:tc>
          <w:tcPr>
            <w:tcW w:w="303" w:type="pct"/>
            <w:tcBorders>
              <w:top w:val="single" w:sz="4" w:space="0" w:color="06357A"/>
            </w:tcBorders>
            <w:shd w:val="clear" w:color="auto" w:fill="auto"/>
            <w:vAlign w:val="center"/>
          </w:tcPr>
          <w:p w14:paraId="3926C3E9"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£131,000</w:t>
            </w:r>
          </w:p>
        </w:tc>
        <w:tc>
          <w:tcPr>
            <w:tcW w:w="303" w:type="pct"/>
            <w:tcBorders>
              <w:top w:val="single" w:sz="4" w:space="0" w:color="06357A"/>
            </w:tcBorders>
            <w:shd w:val="clear" w:color="auto" w:fill="auto"/>
            <w:vAlign w:val="center"/>
          </w:tcPr>
          <w:p w14:paraId="1F36A693"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£66,000</w:t>
            </w:r>
          </w:p>
        </w:tc>
        <w:tc>
          <w:tcPr>
            <w:tcW w:w="303" w:type="pct"/>
            <w:tcBorders>
              <w:top w:val="single" w:sz="4" w:space="0" w:color="06357A"/>
            </w:tcBorders>
            <w:shd w:val="clear" w:color="auto" w:fill="auto"/>
            <w:vAlign w:val="center"/>
          </w:tcPr>
          <w:p w14:paraId="0EA12295"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£76,000</w:t>
            </w:r>
          </w:p>
        </w:tc>
        <w:tc>
          <w:tcPr>
            <w:tcW w:w="303" w:type="pct"/>
            <w:tcBorders>
              <w:top w:val="single" w:sz="4" w:space="0" w:color="06357A"/>
            </w:tcBorders>
            <w:shd w:val="clear" w:color="auto" w:fill="auto"/>
            <w:vAlign w:val="center"/>
          </w:tcPr>
          <w:p w14:paraId="56B8650D"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£45,000</w:t>
            </w:r>
          </w:p>
        </w:tc>
        <w:tc>
          <w:tcPr>
            <w:tcW w:w="303" w:type="pct"/>
            <w:tcBorders>
              <w:top w:val="single" w:sz="4" w:space="0" w:color="06357A"/>
            </w:tcBorders>
            <w:shd w:val="clear" w:color="auto" w:fill="D9D9D9" w:themeFill="background1" w:themeFillShade="D9"/>
            <w:vAlign w:val="center"/>
          </w:tcPr>
          <w:p w14:paraId="7B098307"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-£6,000</w:t>
            </w:r>
          </w:p>
        </w:tc>
        <w:tc>
          <w:tcPr>
            <w:tcW w:w="303" w:type="pct"/>
            <w:tcBorders>
              <w:top w:val="single" w:sz="4" w:space="0" w:color="06357A"/>
            </w:tcBorders>
            <w:shd w:val="clear" w:color="auto" w:fill="D9D9D9" w:themeFill="background1" w:themeFillShade="D9"/>
            <w:vAlign w:val="center"/>
          </w:tcPr>
          <w:p w14:paraId="36F4A58B"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-£6,000</w:t>
            </w:r>
          </w:p>
        </w:tc>
        <w:tc>
          <w:tcPr>
            <w:tcW w:w="303" w:type="pct"/>
            <w:tcBorders>
              <w:top w:val="single" w:sz="4" w:space="0" w:color="06357A"/>
            </w:tcBorders>
            <w:shd w:val="clear" w:color="auto" w:fill="D9D9D9" w:themeFill="background1" w:themeFillShade="D9"/>
            <w:vAlign w:val="center"/>
          </w:tcPr>
          <w:p w14:paraId="627FA507"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-£6,000</w:t>
            </w:r>
          </w:p>
        </w:tc>
        <w:tc>
          <w:tcPr>
            <w:tcW w:w="303" w:type="pct"/>
            <w:tcBorders>
              <w:top w:val="single" w:sz="4" w:space="0" w:color="06357A"/>
            </w:tcBorders>
            <w:shd w:val="clear" w:color="auto" w:fill="D9D9D9" w:themeFill="background1" w:themeFillShade="D9"/>
            <w:vAlign w:val="center"/>
          </w:tcPr>
          <w:p w14:paraId="55EAEE16"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-£6,000</w:t>
            </w:r>
          </w:p>
        </w:tc>
        <w:tc>
          <w:tcPr>
            <w:tcW w:w="303" w:type="pct"/>
            <w:tcBorders>
              <w:top w:val="single" w:sz="4" w:space="0" w:color="06357A"/>
            </w:tcBorders>
            <w:shd w:val="clear" w:color="auto" w:fill="D9D9D9" w:themeFill="background1" w:themeFillShade="D9"/>
            <w:vAlign w:val="center"/>
          </w:tcPr>
          <w:p w14:paraId="30BC9517"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000000"/>
                <w:sz w:val="18"/>
                <w:szCs w:val="18"/>
              </w:rPr>
              <w:t> </w:t>
            </w:r>
          </w:p>
        </w:tc>
        <w:tc>
          <w:tcPr>
            <w:tcW w:w="303" w:type="pct"/>
            <w:tcBorders>
              <w:top w:val="single" w:sz="4" w:space="0" w:color="06357A"/>
            </w:tcBorders>
            <w:shd w:val="clear" w:color="auto" w:fill="D9D9D9" w:themeFill="background1" w:themeFillShade="D9"/>
            <w:vAlign w:val="center"/>
          </w:tcPr>
          <w:p w14:paraId="4DB057B1"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000000"/>
                <w:sz w:val="18"/>
                <w:szCs w:val="18"/>
              </w:rPr>
              <w:t> </w:t>
            </w:r>
          </w:p>
        </w:tc>
        <w:tc>
          <w:tcPr>
            <w:tcW w:w="303" w:type="pct"/>
            <w:tcBorders>
              <w:top w:val="single" w:sz="4" w:space="0" w:color="06357A"/>
            </w:tcBorders>
            <w:shd w:val="clear" w:color="auto" w:fill="D9D9D9" w:themeFill="background1" w:themeFillShade="D9"/>
            <w:vAlign w:val="center"/>
          </w:tcPr>
          <w:p w14:paraId="0120EDF5"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-£6,000</w:t>
            </w:r>
          </w:p>
        </w:tc>
        <w:tc>
          <w:tcPr>
            <w:tcW w:w="303" w:type="pct"/>
            <w:tcBorders>
              <w:top w:val="single" w:sz="4" w:space="0" w:color="06357A"/>
            </w:tcBorders>
            <w:shd w:val="clear" w:color="auto" w:fill="D9D9D9" w:themeFill="background1" w:themeFillShade="D9"/>
            <w:vAlign w:val="center"/>
          </w:tcPr>
          <w:p w14:paraId="67557C82"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-£6,000</w:t>
            </w:r>
          </w:p>
        </w:tc>
        <w:tc>
          <w:tcPr>
            <w:tcW w:w="303" w:type="pct"/>
            <w:tcBorders>
              <w:top w:val="single" w:sz="4" w:space="0" w:color="06357A"/>
            </w:tcBorders>
            <w:shd w:val="clear" w:color="auto" w:fill="D9D9D9" w:themeFill="background1" w:themeFillShade="D9"/>
            <w:vAlign w:val="center"/>
          </w:tcPr>
          <w:p w14:paraId="55968362" w14:textId="77777777" w:rsidR="003A6119" w:rsidRPr="0078056B" w:rsidRDefault="003A6119" w:rsidP="000A186C">
            <w:pPr>
              <w:spacing w:before="0" w:after="0"/>
              <w:ind w:left="28" w:right="28"/>
              <w:jc w:val="center"/>
              <w:rPr>
                <w:rFonts w:asciiTheme="minorHAnsi" w:hAnsiTheme="minorHAnsi" w:cstheme="minorHAnsi"/>
                <w:i/>
                <w:iCs/>
                <w:sz w:val="18"/>
                <w:szCs w:val="18"/>
              </w:rPr>
            </w:pPr>
            <w:r w:rsidRPr="0078056B">
              <w:rPr>
                <w:rFonts w:asciiTheme="minorHAnsi" w:hAnsiTheme="minorHAnsi" w:cstheme="minorHAnsi"/>
                <w:color w:val="000000"/>
                <w:sz w:val="18"/>
                <w:szCs w:val="18"/>
              </w:rPr>
              <w:t> </w:t>
            </w:r>
          </w:p>
        </w:tc>
        <w:tc>
          <w:tcPr>
            <w:tcW w:w="302" w:type="pct"/>
            <w:tcBorders>
              <w:top w:val="single" w:sz="4" w:space="0" w:color="06357A"/>
            </w:tcBorders>
            <w:shd w:val="clear" w:color="auto" w:fill="D9D9D9" w:themeFill="background1" w:themeFillShade="D9"/>
            <w:vAlign w:val="center"/>
          </w:tcPr>
          <w:p w14:paraId="0A3B2B16" w14:textId="77777777" w:rsidR="003A6119" w:rsidRPr="0078056B" w:rsidRDefault="003A6119" w:rsidP="000A186C">
            <w:pPr>
              <w:spacing w:before="0" w:after="0"/>
              <w:ind w:left="28" w:right="28"/>
              <w:jc w:val="center"/>
              <w:rPr>
                <w:rFonts w:asciiTheme="minorHAnsi" w:hAnsiTheme="minorHAnsi" w:cstheme="minorHAnsi"/>
                <w:i/>
                <w:iCs/>
                <w:sz w:val="18"/>
                <w:szCs w:val="18"/>
              </w:rPr>
            </w:pPr>
            <w:r w:rsidRPr="0078056B">
              <w:rPr>
                <w:rFonts w:asciiTheme="minorHAnsi" w:hAnsiTheme="minorHAnsi" w:cstheme="minorHAnsi"/>
                <w:color w:val="000000"/>
                <w:sz w:val="18"/>
                <w:szCs w:val="18"/>
              </w:rPr>
              <w:t> </w:t>
            </w:r>
          </w:p>
        </w:tc>
      </w:tr>
      <w:tr w:rsidR="003A6119" w:rsidRPr="0078056B" w14:paraId="42550ECB" w14:textId="77777777" w:rsidTr="000A186C">
        <w:trPr>
          <w:trHeight w:val="20"/>
        </w:trPr>
        <w:tc>
          <w:tcPr>
            <w:tcW w:w="759" w:type="pct"/>
            <w:shd w:val="clear" w:color="auto" w:fill="auto"/>
            <w:vAlign w:val="center"/>
          </w:tcPr>
          <w:p w14:paraId="19922F13"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First degree</w:t>
            </w:r>
          </w:p>
        </w:tc>
        <w:tc>
          <w:tcPr>
            <w:tcW w:w="303" w:type="pct"/>
            <w:shd w:val="clear" w:color="auto" w:fill="auto"/>
            <w:vAlign w:val="center"/>
          </w:tcPr>
          <w:p w14:paraId="1824A29A"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£152,000</w:t>
            </w:r>
          </w:p>
        </w:tc>
        <w:tc>
          <w:tcPr>
            <w:tcW w:w="303" w:type="pct"/>
            <w:shd w:val="clear" w:color="auto" w:fill="auto"/>
            <w:vAlign w:val="center"/>
          </w:tcPr>
          <w:p w14:paraId="507EB859"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£85,000</w:t>
            </w:r>
          </w:p>
        </w:tc>
        <w:tc>
          <w:tcPr>
            <w:tcW w:w="303" w:type="pct"/>
            <w:shd w:val="clear" w:color="auto" w:fill="auto"/>
            <w:vAlign w:val="center"/>
          </w:tcPr>
          <w:p w14:paraId="28731656"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£99,000</w:t>
            </w:r>
          </w:p>
        </w:tc>
        <w:tc>
          <w:tcPr>
            <w:tcW w:w="303" w:type="pct"/>
            <w:shd w:val="clear" w:color="auto" w:fill="auto"/>
            <w:vAlign w:val="center"/>
          </w:tcPr>
          <w:p w14:paraId="622C9936"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£63,000</w:t>
            </w:r>
          </w:p>
        </w:tc>
        <w:tc>
          <w:tcPr>
            <w:tcW w:w="303" w:type="pct"/>
            <w:shd w:val="clear" w:color="auto" w:fill="auto"/>
            <w:vAlign w:val="center"/>
          </w:tcPr>
          <w:p w14:paraId="63FEA0C1" w14:textId="77777777" w:rsidR="003A6119" w:rsidRPr="0078056B" w:rsidRDefault="003A6119" w:rsidP="000A186C">
            <w:pPr>
              <w:spacing w:before="0" w:after="0"/>
              <w:ind w:left="28" w:right="28"/>
              <w:jc w:val="center"/>
              <w:rPr>
                <w:rFonts w:asciiTheme="minorHAnsi" w:hAnsiTheme="minorHAnsi" w:cstheme="minorHAnsi"/>
                <w:i/>
                <w:iCs/>
                <w:color w:val="000000"/>
                <w:sz w:val="18"/>
                <w:szCs w:val="18"/>
              </w:rPr>
            </w:pPr>
            <w:r w:rsidRPr="0078056B">
              <w:rPr>
                <w:rFonts w:asciiTheme="minorHAnsi" w:hAnsiTheme="minorHAnsi" w:cstheme="minorHAnsi"/>
                <w:color w:val="000000"/>
                <w:sz w:val="18"/>
                <w:szCs w:val="18"/>
              </w:rPr>
              <w:t>£16,000</w:t>
            </w:r>
          </w:p>
        </w:tc>
        <w:tc>
          <w:tcPr>
            <w:tcW w:w="303" w:type="pct"/>
            <w:shd w:val="clear" w:color="auto" w:fill="auto"/>
            <w:vAlign w:val="center"/>
          </w:tcPr>
          <w:p w14:paraId="3A69FAC8"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£12,000</w:t>
            </w:r>
          </w:p>
        </w:tc>
        <w:tc>
          <w:tcPr>
            <w:tcW w:w="303" w:type="pct"/>
            <w:shd w:val="clear" w:color="auto" w:fill="D9D9D9" w:themeFill="background1" w:themeFillShade="D9"/>
            <w:vAlign w:val="center"/>
          </w:tcPr>
          <w:p w14:paraId="0EC6AF5D"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-£17,000</w:t>
            </w:r>
          </w:p>
        </w:tc>
        <w:tc>
          <w:tcPr>
            <w:tcW w:w="303" w:type="pct"/>
            <w:shd w:val="clear" w:color="auto" w:fill="D9D9D9" w:themeFill="background1" w:themeFillShade="D9"/>
            <w:vAlign w:val="center"/>
          </w:tcPr>
          <w:p w14:paraId="77423B0E"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-£19,000</w:t>
            </w:r>
          </w:p>
        </w:tc>
        <w:tc>
          <w:tcPr>
            <w:tcW w:w="303" w:type="pct"/>
            <w:shd w:val="clear" w:color="auto" w:fill="D9D9D9" w:themeFill="background1" w:themeFillShade="D9"/>
            <w:vAlign w:val="center"/>
          </w:tcPr>
          <w:p w14:paraId="42E071BC"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-£17,000</w:t>
            </w:r>
          </w:p>
        </w:tc>
        <w:tc>
          <w:tcPr>
            <w:tcW w:w="303" w:type="pct"/>
            <w:shd w:val="clear" w:color="auto" w:fill="D9D9D9" w:themeFill="background1" w:themeFillShade="D9"/>
            <w:vAlign w:val="center"/>
          </w:tcPr>
          <w:p w14:paraId="377817A2"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-£19,000</w:t>
            </w:r>
          </w:p>
        </w:tc>
        <w:tc>
          <w:tcPr>
            <w:tcW w:w="303" w:type="pct"/>
            <w:shd w:val="clear" w:color="auto" w:fill="D9D9D9" w:themeFill="background1" w:themeFillShade="D9"/>
            <w:vAlign w:val="center"/>
          </w:tcPr>
          <w:p w14:paraId="152F6FA1"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-£17,000</w:t>
            </w:r>
          </w:p>
        </w:tc>
        <w:tc>
          <w:tcPr>
            <w:tcW w:w="303" w:type="pct"/>
            <w:shd w:val="clear" w:color="auto" w:fill="D9D9D9" w:themeFill="background1" w:themeFillShade="D9"/>
            <w:vAlign w:val="center"/>
          </w:tcPr>
          <w:p w14:paraId="57DA3BCB"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-£19,000</w:t>
            </w:r>
          </w:p>
        </w:tc>
        <w:tc>
          <w:tcPr>
            <w:tcW w:w="303" w:type="pct"/>
            <w:shd w:val="clear" w:color="auto" w:fill="D9D9D9" w:themeFill="background1" w:themeFillShade="D9"/>
            <w:vAlign w:val="center"/>
          </w:tcPr>
          <w:p w14:paraId="6A34BF73"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000000"/>
                <w:sz w:val="18"/>
                <w:szCs w:val="18"/>
              </w:rPr>
              <w:t> </w:t>
            </w:r>
          </w:p>
        </w:tc>
        <w:tc>
          <w:tcPr>
            <w:tcW w:w="302" w:type="pct"/>
            <w:shd w:val="clear" w:color="auto" w:fill="D9D9D9" w:themeFill="background1" w:themeFillShade="D9"/>
            <w:vAlign w:val="center"/>
          </w:tcPr>
          <w:p w14:paraId="04A17D6A" w14:textId="77777777" w:rsidR="003A6119" w:rsidRPr="0078056B" w:rsidRDefault="003A6119" w:rsidP="000A186C">
            <w:pPr>
              <w:spacing w:before="0" w:after="0"/>
              <w:ind w:left="28" w:right="28"/>
              <w:jc w:val="center"/>
              <w:rPr>
                <w:rFonts w:asciiTheme="minorHAnsi" w:hAnsiTheme="minorHAnsi" w:cstheme="minorHAnsi"/>
                <w:i/>
                <w:iCs/>
                <w:sz w:val="18"/>
                <w:szCs w:val="18"/>
              </w:rPr>
            </w:pPr>
            <w:r w:rsidRPr="0078056B">
              <w:rPr>
                <w:rFonts w:asciiTheme="minorHAnsi" w:hAnsiTheme="minorHAnsi" w:cstheme="minorHAnsi"/>
                <w:color w:val="FF0000"/>
                <w:sz w:val="18"/>
                <w:szCs w:val="18"/>
              </w:rPr>
              <w:t>-£19,000</w:t>
            </w:r>
          </w:p>
        </w:tc>
      </w:tr>
      <w:tr w:rsidR="003A6119" w:rsidRPr="0078056B" w14:paraId="7AB5A338" w14:textId="77777777" w:rsidTr="000A186C">
        <w:trPr>
          <w:trHeight w:val="20"/>
        </w:trPr>
        <w:tc>
          <w:tcPr>
            <w:tcW w:w="759" w:type="pct"/>
            <w:shd w:val="clear" w:color="auto" w:fill="auto"/>
            <w:vAlign w:val="center"/>
          </w:tcPr>
          <w:p w14:paraId="54255FEE"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Other postgraduate</w:t>
            </w:r>
          </w:p>
        </w:tc>
        <w:tc>
          <w:tcPr>
            <w:tcW w:w="303" w:type="pct"/>
            <w:shd w:val="clear" w:color="auto" w:fill="auto"/>
            <w:vAlign w:val="center"/>
          </w:tcPr>
          <w:p w14:paraId="38DE13AA"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3AA5314E"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6E61614A"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28DE399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£122,000</w:t>
            </w:r>
          </w:p>
        </w:tc>
        <w:tc>
          <w:tcPr>
            <w:tcW w:w="303" w:type="pct"/>
            <w:shd w:val="clear" w:color="auto" w:fill="auto"/>
            <w:vAlign w:val="center"/>
          </w:tcPr>
          <w:p w14:paraId="70530F85"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£40,000</w:t>
            </w:r>
          </w:p>
        </w:tc>
        <w:tc>
          <w:tcPr>
            <w:tcW w:w="303" w:type="pct"/>
            <w:shd w:val="clear" w:color="auto" w:fill="auto"/>
            <w:vAlign w:val="center"/>
          </w:tcPr>
          <w:p w14:paraId="3D8742B9"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£74,000</w:t>
            </w:r>
          </w:p>
        </w:tc>
        <w:tc>
          <w:tcPr>
            <w:tcW w:w="303" w:type="pct"/>
            <w:shd w:val="clear" w:color="auto" w:fill="auto"/>
            <w:vAlign w:val="center"/>
          </w:tcPr>
          <w:p w14:paraId="09179225" w14:textId="77777777" w:rsidR="003A6119" w:rsidRPr="0078056B" w:rsidRDefault="003A6119" w:rsidP="000A186C">
            <w:pPr>
              <w:spacing w:before="0" w:after="0"/>
              <w:ind w:left="28" w:right="28"/>
              <w:jc w:val="center"/>
              <w:rPr>
                <w:rFonts w:asciiTheme="minorHAnsi" w:hAnsiTheme="minorHAnsi" w:cstheme="minorHAnsi"/>
                <w:i/>
                <w:iCs/>
                <w:color w:val="000000"/>
                <w:sz w:val="18"/>
                <w:szCs w:val="18"/>
              </w:rPr>
            </w:pPr>
            <w:r w:rsidRPr="0078056B">
              <w:rPr>
                <w:rFonts w:asciiTheme="minorHAnsi" w:hAnsiTheme="minorHAnsi" w:cstheme="minorHAnsi"/>
                <w:color w:val="000000"/>
                <w:sz w:val="18"/>
                <w:szCs w:val="18"/>
              </w:rPr>
              <w:t>£7,000</w:t>
            </w:r>
          </w:p>
        </w:tc>
        <w:tc>
          <w:tcPr>
            <w:tcW w:w="303" w:type="pct"/>
            <w:shd w:val="clear" w:color="auto" w:fill="auto"/>
            <w:vAlign w:val="center"/>
          </w:tcPr>
          <w:p w14:paraId="684E4E3C"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£40,000</w:t>
            </w:r>
          </w:p>
        </w:tc>
        <w:tc>
          <w:tcPr>
            <w:tcW w:w="303" w:type="pct"/>
            <w:shd w:val="clear" w:color="auto" w:fill="D9D9D9" w:themeFill="background1" w:themeFillShade="D9"/>
            <w:vAlign w:val="center"/>
          </w:tcPr>
          <w:p w14:paraId="1F1C47DD" w14:textId="77777777" w:rsidR="003A6119" w:rsidRPr="0078056B" w:rsidRDefault="003A6119" w:rsidP="000A186C">
            <w:pPr>
              <w:spacing w:before="0" w:after="0"/>
              <w:ind w:left="28" w:right="28"/>
              <w:jc w:val="center"/>
              <w:rPr>
                <w:rFonts w:asciiTheme="minorHAnsi" w:hAnsiTheme="minorHAnsi" w:cstheme="minorHAnsi"/>
                <w:i/>
                <w:iCs/>
                <w:sz w:val="18"/>
                <w:szCs w:val="18"/>
              </w:rPr>
            </w:pPr>
            <w:r w:rsidRPr="0078056B">
              <w:rPr>
                <w:rFonts w:asciiTheme="minorHAnsi" w:hAnsiTheme="minorHAnsi" w:cstheme="minorHAnsi"/>
                <w:color w:val="FF0000"/>
                <w:sz w:val="18"/>
                <w:szCs w:val="18"/>
              </w:rPr>
              <w:t>-£13,000</w:t>
            </w:r>
          </w:p>
        </w:tc>
        <w:tc>
          <w:tcPr>
            <w:tcW w:w="303" w:type="pct"/>
            <w:shd w:val="clear" w:color="auto" w:fill="D9D9D9" w:themeFill="background1" w:themeFillShade="D9"/>
            <w:vAlign w:val="center"/>
          </w:tcPr>
          <w:p w14:paraId="1AFDAAA0" w14:textId="77777777" w:rsidR="003A6119" w:rsidRPr="0078056B" w:rsidRDefault="003A6119" w:rsidP="000A186C">
            <w:pPr>
              <w:spacing w:before="0" w:after="0"/>
              <w:ind w:left="28" w:right="28"/>
              <w:jc w:val="center"/>
              <w:rPr>
                <w:rFonts w:asciiTheme="minorHAnsi" w:hAnsiTheme="minorHAnsi" w:cstheme="minorHAnsi"/>
                <w:i/>
                <w:iCs/>
                <w:sz w:val="18"/>
                <w:szCs w:val="18"/>
              </w:rPr>
            </w:pPr>
            <w:r w:rsidRPr="0078056B">
              <w:rPr>
                <w:rFonts w:asciiTheme="minorHAnsi" w:hAnsiTheme="minorHAnsi" w:cstheme="minorHAnsi"/>
                <w:color w:val="FF0000"/>
                <w:sz w:val="18"/>
                <w:szCs w:val="18"/>
              </w:rPr>
              <w:t>-£10,000</w:t>
            </w:r>
          </w:p>
        </w:tc>
        <w:tc>
          <w:tcPr>
            <w:tcW w:w="303" w:type="pct"/>
            <w:shd w:val="clear" w:color="auto" w:fill="D9D9D9" w:themeFill="background1" w:themeFillShade="D9"/>
            <w:vAlign w:val="center"/>
          </w:tcPr>
          <w:p w14:paraId="10877E97"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-£13,000</w:t>
            </w:r>
          </w:p>
        </w:tc>
        <w:tc>
          <w:tcPr>
            <w:tcW w:w="303" w:type="pct"/>
            <w:shd w:val="clear" w:color="auto" w:fill="D9D9D9" w:themeFill="background1" w:themeFillShade="D9"/>
            <w:vAlign w:val="center"/>
          </w:tcPr>
          <w:p w14:paraId="39101EC1"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-£10,000</w:t>
            </w:r>
          </w:p>
        </w:tc>
        <w:tc>
          <w:tcPr>
            <w:tcW w:w="303" w:type="pct"/>
            <w:shd w:val="clear" w:color="auto" w:fill="D9D9D9" w:themeFill="background1" w:themeFillShade="D9"/>
            <w:vAlign w:val="center"/>
          </w:tcPr>
          <w:p w14:paraId="3A7898EC" w14:textId="77777777" w:rsidR="003A6119" w:rsidRPr="0078056B" w:rsidRDefault="003A6119" w:rsidP="000A186C">
            <w:pPr>
              <w:spacing w:before="0" w:after="0"/>
              <w:ind w:left="28" w:right="28"/>
              <w:jc w:val="center"/>
              <w:rPr>
                <w:rFonts w:asciiTheme="minorHAnsi" w:hAnsiTheme="minorHAnsi" w:cstheme="minorHAnsi"/>
                <w:i/>
                <w:iCs/>
                <w:sz w:val="18"/>
                <w:szCs w:val="18"/>
              </w:rPr>
            </w:pPr>
            <w:r w:rsidRPr="0078056B">
              <w:rPr>
                <w:rFonts w:asciiTheme="minorHAnsi" w:hAnsiTheme="minorHAnsi" w:cstheme="minorHAnsi"/>
                <w:color w:val="FF0000"/>
                <w:sz w:val="18"/>
                <w:szCs w:val="18"/>
              </w:rPr>
              <w:t>-£13,000</w:t>
            </w:r>
          </w:p>
        </w:tc>
        <w:tc>
          <w:tcPr>
            <w:tcW w:w="302" w:type="pct"/>
            <w:shd w:val="clear" w:color="auto" w:fill="D9D9D9" w:themeFill="background1" w:themeFillShade="D9"/>
            <w:vAlign w:val="center"/>
          </w:tcPr>
          <w:p w14:paraId="3F8F6229" w14:textId="77777777" w:rsidR="003A6119" w:rsidRPr="0078056B" w:rsidRDefault="003A6119" w:rsidP="000A186C">
            <w:pPr>
              <w:spacing w:before="0" w:after="0"/>
              <w:ind w:left="28" w:right="28"/>
              <w:jc w:val="center"/>
              <w:rPr>
                <w:rFonts w:asciiTheme="minorHAnsi" w:hAnsiTheme="minorHAnsi" w:cstheme="minorHAnsi"/>
                <w:i/>
                <w:iCs/>
                <w:sz w:val="18"/>
                <w:szCs w:val="18"/>
              </w:rPr>
            </w:pPr>
            <w:r w:rsidRPr="0078056B">
              <w:rPr>
                <w:rFonts w:asciiTheme="minorHAnsi" w:hAnsiTheme="minorHAnsi" w:cstheme="minorHAnsi"/>
                <w:color w:val="FF0000"/>
                <w:sz w:val="18"/>
                <w:szCs w:val="18"/>
              </w:rPr>
              <w:t>-£10,000</w:t>
            </w:r>
          </w:p>
        </w:tc>
      </w:tr>
      <w:tr w:rsidR="003A6119" w:rsidRPr="0078056B" w14:paraId="073D7C4E" w14:textId="77777777" w:rsidTr="000A186C">
        <w:trPr>
          <w:trHeight w:val="20"/>
        </w:trPr>
        <w:tc>
          <w:tcPr>
            <w:tcW w:w="759" w:type="pct"/>
            <w:shd w:val="clear" w:color="auto" w:fill="auto"/>
            <w:vAlign w:val="center"/>
          </w:tcPr>
          <w:p w14:paraId="2543A3DD"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Higher degree (taught)</w:t>
            </w:r>
          </w:p>
        </w:tc>
        <w:tc>
          <w:tcPr>
            <w:tcW w:w="303" w:type="pct"/>
            <w:shd w:val="clear" w:color="auto" w:fill="auto"/>
            <w:vAlign w:val="center"/>
          </w:tcPr>
          <w:p w14:paraId="2EF22D54"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1BC1B367"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710C3F9F"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7DF1A25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39EE76F8"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£108,000</w:t>
            </w:r>
          </w:p>
        </w:tc>
        <w:tc>
          <w:tcPr>
            <w:tcW w:w="303" w:type="pct"/>
            <w:shd w:val="clear" w:color="auto" w:fill="auto"/>
            <w:vAlign w:val="center"/>
          </w:tcPr>
          <w:p w14:paraId="0C56CFF4"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£97,000</w:t>
            </w:r>
          </w:p>
        </w:tc>
        <w:tc>
          <w:tcPr>
            <w:tcW w:w="303" w:type="pct"/>
            <w:shd w:val="clear" w:color="auto" w:fill="auto"/>
            <w:vAlign w:val="center"/>
          </w:tcPr>
          <w:p w14:paraId="79747E88"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£70,000</w:t>
            </w:r>
          </w:p>
        </w:tc>
        <w:tc>
          <w:tcPr>
            <w:tcW w:w="303" w:type="pct"/>
            <w:shd w:val="clear" w:color="auto" w:fill="auto"/>
            <w:vAlign w:val="center"/>
          </w:tcPr>
          <w:p w14:paraId="05271EC5"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£63,000</w:t>
            </w:r>
          </w:p>
        </w:tc>
        <w:tc>
          <w:tcPr>
            <w:tcW w:w="303" w:type="pct"/>
            <w:shd w:val="clear" w:color="auto" w:fill="auto"/>
            <w:vAlign w:val="center"/>
          </w:tcPr>
          <w:p w14:paraId="48D42CAE"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000000"/>
                <w:sz w:val="18"/>
                <w:szCs w:val="18"/>
              </w:rPr>
              <w:t>£45,000</w:t>
            </w:r>
          </w:p>
        </w:tc>
        <w:tc>
          <w:tcPr>
            <w:tcW w:w="303" w:type="pct"/>
            <w:shd w:val="clear" w:color="auto" w:fill="auto"/>
            <w:vAlign w:val="center"/>
          </w:tcPr>
          <w:p w14:paraId="0EC2E322"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000000"/>
                <w:sz w:val="18"/>
                <w:szCs w:val="18"/>
              </w:rPr>
              <w:t>£15,000</w:t>
            </w:r>
          </w:p>
        </w:tc>
        <w:tc>
          <w:tcPr>
            <w:tcW w:w="303" w:type="pct"/>
            <w:shd w:val="clear" w:color="auto" w:fill="D9D9D9" w:themeFill="background1" w:themeFillShade="D9"/>
            <w:vAlign w:val="center"/>
          </w:tcPr>
          <w:p w14:paraId="6590539C"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-£7,000</w:t>
            </w:r>
          </w:p>
        </w:tc>
        <w:tc>
          <w:tcPr>
            <w:tcW w:w="303" w:type="pct"/>
            <w:shd w:val="clear" w:color="auto" w:fill="D9D9D9" w:themeFill="background1" w:themeFillShade="D9"/>
            <w:vAlign w:val="center"/>
          </w:tcPr>
          <w:p w14:paraId="6CE473B7"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-£6,000</w:t>
            </w:r>
          </w:p>
        </w:tc>
        <w:tc>
          <w:tcPr>
            <w:tcW w:w="303" w:type="pct"/>
            <w:shd w:val="clear" w:color="auto" w:fill="D9D9D9" w:themeFill="background1" w:themeFillShade="D9"/>
            <w:vAlign w:val="center"/>
          </w:tcPr>
          <w:p w14:paraId="133830D7" w14:textId="77777777" w:rsidR="003A6119" w:rsidRPr="0078056B" w:rsidRDefault="003A6119" w:rsidP="000A186C">
            <w:pPr>
              <w:spacing w:before="0" w:after="0"/>
              <w:ind w:left="28" w:right="28"/>
              <w:jc w:val="center"/>
              <w:rPr>
                <w:rFonts w:asciiTheme="minorHAnsi" w:hAnsiTheme="minorHAnsi" w:cstheme="minorHAnsi"/>
                <w:i/>
                <w:iCs/>
                <w:sz w:val="18"/>
                <w:szCs w:val="18"/>
              </w:rPr>
            </w:pPr>
            <w:r w:rsidRPr="0078056B">
              <w:rPr>
                <w:rFonts w:asciiTheme="minorHAnsi" w:hAnsiTheme="minorHAnsi" w:cstheme="minorHAnsi"/>
                <w:color w:val="FF0000"/>
                <w:sz w:val="18"/>
                <w:szCs w:val="18"/>
              </w:rPr>
              <w:t>-£7,000</w:t>
            </w:r>
          </w:p>
        </w:tc>
        <w:tc>
          <w:tcPr>
            <w:tcW w:w="302" w:type="pct"/>
            <w:shd w:val="clear" w:color="auto" w:fill="D9D9D9" w:themeFill="background1" w:themeFillShade="D9"/>
            <w:vAlign w:val="center"/>
          </w:tcPr>
          <w:p w14:paraId="6DB6573C" w14:textId="77777777" w:rsidR="003A6119" w:rsidRPr="0078056B" w:rsidRDefault="003A6119" w:rsidP="000A186C">
            <w:pPr>
              <w:spacing w:before="0" w:after="0"/>
              <w:ind w:left="28" w:right="28"/>
              <w:jc w:val="center"/>
              <w:rPr>
                <w:rFonts w:asciiTheme="minorHAnsi" w:hAnsiTheme="minorHAnsi" w:cstheme="minorHAnsi"/>
                <w:i/>
                <w:iCs/>
                <w:sz w:val="18"/>
                <w:szCs w:val="18"/>
              </w:rPr>
            </w:pPr>
            <w:r w:rsidRPr="0078056B">
              <w:rPr>
                <w:rFonts w:asciiTheme="minorHAnsi" w:hAnsiTheme="minorHAnsi" w:cstheme="minorHAnsi"/>
                <w:color w:val="000000"/>
                <w:sz w:val="18"/>
                <w:szCs w:val="18"/>
              </w:rPr>
              <w:t> </w:t>
            </w:r>
          </w:p>
        </w:tc>
      </w:tr>
      <w:tr w:rsidR="003A6119" w:rsidRPr="0078056B" w14:paraId="22BB536B" w14:textId="77777777" w:rsidTr="000A186C">
        <w:trPr>
          <w:trHeight w:val="20"/>
        </w:trPr>
        <w:tc>
          <w:tcPr>
            <w:tcW w:w="759" w:type="pct"/>
            <w:tcBorders>
              <w:bottom w:val="single" w:sz="4" w:space="0" w:color="06357A"/>
            </w:tcBorders>
            <w:shd w:val="clear" w:color="auto" w:fill="auto"/>
            <w:vAlign w:val="center"/>
          </w:tcPr>
          <w:p w14:paraId="5CD67834"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Higher degree (research)</w:t>
            </w:r>
          </w:p>
        </w:tc>
        <w:tc>
          <w:tcPr>
            <w:tcW w:w="303" w:type="pct"/>
            <w:tcBorders>
              <w:bottom w:val="single" w:sz="4" w:space="0" w:color="06357A"/>
            </w:tcBorders>
            <w:shd w:val="clear" w:color="auto" w:fill="auto"/>
            <w:vAlign w:val="center"/>
          </w:tcPr>
          <w:p w14:paraId="2ACE41C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tcBorders>
              <w:bottom w:val="single" w:sz="4" w:space="0" w:color="06357A"/>
            </w:tcBorders>
            <w:shd w:val="clear" w:color="auto" w:fill="auto"/>
            <w:vAlign w:val="center"/>
          </w:tcPr>
          <w:p w14:paraId="45BD3AF1"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tcBorders>
              <w:bottom w:val="single" w:sz="4" w:space="0" w:color="06357A"/>
            </w:tcBorders>
            <w:shd w:val="clear" w:color="auto" w:fill="auto"/>
            <w:vAlign w:val="center"/>
          </w:tcPr>
          <w:p w14:paraId="078B016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tcBorders>
              <w:bottom w:val="single" w:sz="4" w:space="0" w:color="06357A"/>
            </w:tcBorders>
            <w:shd w:val="clear" w:color="auto" w:fill="auto"/>
            <w:vAlign w:val="center"/>
          </w:tcPr>
          <w:p w14:paraId="7AC080D6"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£188,000</w:t>
            </w:r>
          </w:p>
        </w:tc>
        <w:tc>
          <w:tcPr>
            <w:tcW w:w="303" w:type="pct"/>
            <w:tcBorders>
              <w:bottom w:val="single" w:sz="4" w:space="0" w:color="06357A"/>
            </w:tcBorders>
            <w:shd w:val="clear" w:color="auto" w:fill="auto"/>
            <w:vAlign w:val="center"/>
          </w:tcPr>
          <w:p w14:paraId="461B7E17"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tcBorders>
              <w:bottom w:val="single" w:sz="4" w:space="0" w:color="06357A"/>
            </w:tcBorders>
            <w:shd w:val="clear" w:color="auto" w:fill="auto"/>
            <w:vAlign w:val="center"/>
          </w:tcPr>
          <w:p w14:paraId="27C10502"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tcBorders>
              <w:bottom w:val="single" w:sz="4" w:space="0" w:color="06357A"/>
            </w:tcBorders>
            <w:shd w:val="clear" w:color="auto" w:fill="auto"/>
            <w:vAlign w:val="center"/>
          </w:tcPr>
          <w:p w14:paraId="32E9F099"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£119,000</w:t>
            </w:r>
          </w:p>
        </w:tc>
        <w:tc>
          <w:tcPr>
            <w:tcW w:w="303" w:type="pct"/>
            <w:tcBorders>
              <w:bottom w:val="single" w:sz="4" w:space="0" w:color="06357A"/>
            </w:tcBorders>
            <w:shd w:val="clear" w:color="auto" w:fill="auto"/>
            <w:vAlign w:val="center"/>
          </w:tcPr>
          <w:p w14:paraId="53BFF36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£100,000</w:t>
            </w:r>
          </w:p>
        </w:tc>
        <w:tc>
          <w:tcPr>
            <w:tcW w:w="303" w:type="pct"/>
            <w:tcBorders>
              <w:bottom w:val="single" w:sz="4" w:space="0" w:color="06357A"/>
            </w:tcBorders>
            <w:shd w:val="clear" w:color="auto" w:fill="auto"/>
            <w:vAlign w:val="center"/>
          </w:tcPr>
          <w:p w14:paraId="05E882E5"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£105,000</w:t>
            </w:r>
          </w:p>
        </w:tc>
        <w:tc>
          <w:tcPr>
            <w:tcW w:w="303" w:type="pct"/>
            <w:tcBorders>
              <w:bottom w:val="single" w:sz="4" w:space="0" w:color="06357A"/>
            </w:tcBorders>
            <w:shd w:val="clear" w:color="auto" w:fill="auto"/>
            <w:vAlign w:val="center"/>
          </w:tcPr>
          <w:p w14:paraId="43F23693"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£55,000</w:t>
            </w:r>
          </w:p>
        </w:tc>
        <w:tc>
          <w:tcPr>
            <w:tcW w:w="303" w:type="pct"/>
            <w:tcBorders>
              <w:bottom w:val="single" w:sz="4" w:space="0" w:color="06357A"/>
            </w:tcBorders>
            <w:shd w:val="clear" w:color="auto" w:fill="auto"/>
            <w:vAlign w:val="center"/>
          </w:tcPr>
          <w:p w14:paraId="3E2485C3"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£47,000</w:t>
            </w:r>
          </w:p>
        </w:tc>
        <w:tc>
          <w:tcPr>
            <w:tcW w:w="303" w:type="pct"/>
            <w:tcBorders>
              <w:bottom w:val="single" w:sz="4" w:space="0" w:color="06357A"/>
            </w:tcBorders>
            <w:shd w:val="clear" w:color="auto" w:fill="auto"/>
            <w:vAlign w:val="center"/>
          </w:tcPr>
          <w:p w14:paraId="1A2C53F2"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£34,000</w:t>
            </w:r>
          </w:p>
        </w:tc>
        <w:tc>
          <w:tcPr>
            <w:tcW w:w="303" w:type="pct"/>
            <w:tcBorders>
              <w:bottom w:val="single" w:sz="4" w:space="0" w:color="06357A"/>
            </w:tcBorders>
            <w:shd w:val="clear" w:color="auto" w:fill="D9D9D9" w:themeFill="background1" w:themeFillShade="D9"/>
            <w:vAlign w:val="center"/>
          </w:tcPr>
          <w:p w14:paraId="319D370B" w14:textId="77777777" w:rsidR="003A6119" w:rsidRPr="0078056B" w:rsidRDefault="003A6119" w:rsidP="000A186C">
            <w:pPr>
              <w:spacing w:before="0" w:after="0"/>
              <w:ind w:left="28" w:right="28"/>
              <w:jc w:val="center"/>
              <w:rPr>
                <w:rFonts w:asciiTheme="minorHAnsi" w:hAnsiTheme="minorHAnsi" w:cstheme="minorHAnsi"/>
                <w:i/>
                <w:iCs/>
                <w:sz w:val="18"/>
                <w:szCs w:val="18"/>
              </w:rPr>
            </w:pPr>
            <w:r w:rsidRPr="0078056B">
              <w:rPr>
                <w:rFonts w:asciiTheme="minorHAnsi" w:hAnsiTheme="minorHAnsi" w:cstheme="minorHAnsi"/>
                <w:color w:val="000000"/>
                <w:sz w:val="18"/>
                <w:szCs w:val="18"/>
              </w:rPr>
              <w:t> </w:t>
            </w:r>
          </w:p>
        </w:tc>
        <w:tc>
          <w:tcPr>
            <w:tcW w:w="302" w:type="pct"/>
            <w:tcBorders>
              <w:bottom w:val="single" w:sz="4" w:space="0" w:color="06357A"/>
            </w:tcBorders>
            <w:shd w:val="clear" w:color="auto" w:fill="D9D9D9" w:themeFill="background1" w:themeFillShade="D9"/>
            <w:vAlign w:val="center"/>
          </w:tcPr>
          <w:p w14:paraId="77556973" w14:textId="77777777" w:rsidR="003A6119" w:rsidRPr="0078056B" w:rsidRDefault="003A6119" w:rsidP="000A186C">
            <w:pPr>
              <w:spacing w:before="0" w:after="0"/>
              <w:ind w:left="28" w:right="28"/>
              <w:jc w:val="center"/>
              <w:rPr>
                <w:rFonts w:asciiTheme="minorHAnsi" w:hAnsiTheme="minorHAnsi" w:cstheme="minorHAnsi"/>
                <w:i/>
                <w:iCs/>
                <w:sz w:val="18"/>
                <w:szCs w:val="18"/>
              </w:rPr>
            </w:pPr>
            <w:r w:rsidRPr="0078056B">
              <w:rPr>
                <w:rFonts w:asciiTheme="minorHAnsi" w:hAnsiTheme="minorHAnsi" w:cstheme="minorHAnsi"/>
                <w:color w:val="FF0000"/>
                <w:sz w:val="18"/>
                <w:szCs w:val="18"/>
              </w:rPr>
              <w:t>-£38,000</w:t>
            </w:r>
          </w:p>
        </w:tc>
      </w:tr>
      <w:tr w:rsidR="003A6119" w:rsidRPr="0078056B" w14:paraId="3C0EE27B" w14:textId="77777777" w:rsidTr="000A186C">
        <w:trPr>
          <w:trHeight w:val="20"/>
        </w:trPr>
        <w:tc>
          <w:tcPr>
            <w:tcW w:w="5000" w:type="pct"/>
            <w:gridSpan w:val="15"/>
            <w:tcBorders>
              <w:top w:val="single" w:sz="4" w:space="0" w:color="06357A"/>
              <w:bottom w:val="single" w:sz="4" w:space="0" w:color="06357A"/>
            </w:tcBorders>
            <w:shd w:val="clear" w:color="auto" w:fill="06357A" w:themeFill="text2"/>
            <w:vAlign w:val="center"/>
          </w:tcPr>
          <w:p w14:paraId="077C066B" w14:textId="77777777" w:rsidR="003A6119" w:rsidRPr="0078056B" w:rsidRDefault="003A6119" w:rsidP="000A186C">
            <w:pPr>
              <w:spacing w:before="0" w:after="0"/>
              <w:ind w:left="28" w:right="28"/>
              <w:jc w:val="left"/>
              <w:rPr>
                <w:rFonts w:asciiTheme="minorHAnsi" w:hAnsiTheme="minorHAnsi" w:cstheme="minorHAnsi"/>
                <w:b/>
                <w:bCs/>
                <w:color w:val="FFFFFF" w:themeColor="background1"/>
                <w:sz w:val="18"/>
                <w:szCs w:val="18"/>
              </w:rPr>
            </w:pPr>
            <w:r w:rsidRPr="0078056B">
              <w:rPr>
                <w:rFonts w:asciiTheme="minorHAnsi" w:hAnsiTheme="minorHAnsi" w:cstheme="minorHAnsi"/>
                <w:b/>
                <w:color w:val="FFFFFF" w:themeColor="background1"/>
                <w:sz w:val="18"/>
                <w:szCs w:val="18"/>
              </w:rPr>
              <w:t>Part-time students</w:t>
            </w:r>
          </w:p>
        </w:tc>
      </w:tr>
      <w:tr w:rsidR="003A6119" w:rsidRPr="0078056B" w14:paraId="39762570" w14:textId="77777777" w:rsidTr="000A186C">
        <w:trPr>
          <w:trHeight w:val="20"/>
        </w:trPr>
        <w:tc>
          <w:tcPr>
            <w:tcW w:w="759" w:type="pct"/>
            <w:tcBorders>
              <w:top w:val="single" w:sz="4" w:space="0" w:color="06357A"/>
            </w:tcBorders>
            <w:shd w:val="clear" w:color="auto" w:fill="auto"/>
            <w:vAlign w:val="center"/>
          </w:tcPr>
          <w:p w14:paraId="22135796"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Other undergraduate</w:t>
            </w:r>
          </w:p>
        </w:tc>
        <w:tc>
          <w:tcPr>
            <w:tcW w:w="303" w:type="pct"/>
            <w:tcBorders>
              <w:top w:val="single" w:sz="4" w:space="0" w:color="06357A"/>
            </w:tcBorders>
            <w:shd w:val="clear" w:color="auto" w:fill="auto"/>
            <w:vAlign w:val="center"/>
          </w:tcPr>
          <w:p w14:paraId="5B13D33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£119,000</w:t>
            </w:r>
          </w:p>
        </w:tc>
        <w:tc>
          <w:tcPr>
            <w:tcW w:w="303" w:type="pct"/>
            <w:tcBorders>
              <w:top w:val="single" w:sz="4" w:space="0" w:color="06357A"/>
            </w:tcBorders>
            <w:shd w:val="clear" w:color="auto" w:fill="auto"/>
            <w:vAlign w:val="center"/>
          </w:tcPr>
          <w:p w14:paraId="229B720D"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£56,000</w:t>
            </w:r>
          </w:p>
        </w:tc>
        <w:tc>
          <w:tcPr>
            <w:tcW w:w="303" w:type="pct"/>
            <w:tcBorders>
              <w:top w:val="single" w:sz="4" w:space="0" w:color="06357A"/>
            </w:tcBorders>
            <w:shd w:val="clear" w:color="auto" w:fill="auto"/>
            <w:vAlign w:val="center"/>
          </w:tcPr>
          <w:p w14:paraId="40731A9D"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£74,000</w:t>
            </w:r>
          </w:p>
        </w:tc>
        <w:tc>
          <w:tcPr>
            <w:tcW w:w="303" w:type="pct"/>
            <w:tcBorders>
              <w:top w:val="single" w:sz="4" w:space="0" w:color="06357A"/>
            </w:tcBorders>
            <w:shd w:val="clear" w:color="auto" w:fill="auto"/>
            <w:vAlign w:val="center"/>
          </w:tcPr>
          <w:p w14:paraId="1AD0D43A"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£38,000</w:t>
            </w:r>
          </w:p>
        </w:tc>
        <w:tc>
          <w:tcPr>
            <w:tcW w:w="303" w:type="pct"/>
            <w:tcBorders>
              <w:top w:val="single" w:sz="4" w:space="0" w:color="06357A"/>
            </w:tcBorders>
            <w:shd w:val="clear" w:color="auto" w:fill="D9D9D9" w:themeFill="background1" w:themeFillShade="D9"/>
            <w:vAlign w:val="center"/>
          </w:tcPr>
          <w:p w14:paraId="586A6AB8"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FF0000"/>
                <w:sz w:val="18"/>
                <w:szCs w:val="18"/>
              </w:rPr>
              <w:t>-£6,000</w:t>
            </w:r>
          </w:p>
        </w:tc>
        <w:tc>
          <w:tcPr>
            <w:tcW w:w="303" w:type="pct"/>
            <w:tcBorders>
              <w:top w:val="single" w:sz="4" w:space="0" w:color="06357A"/>
            </w:tcBorders>
            <w:shd w:val="clear" w:color="auto" w:fill="D9D9D9" w:themeFill="background1" w:themeFillShade="D9"/>
            <w:vAlign w:val="center"/>
          </w:tcPr>
          <w:p w14:paraId="058CF0C9"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FF0000"/>
                <w:sz w:val="18"/>
                <w:szCs w:val="18"/>
              </w:rPr>
              <w:t>-£6,000</w:t>
            </w:r>
          </w:p>
        </w:tc>
        <w:tc>
          <w:tcPr>
            <w:tcW w:w="303" w:type="pct"/>
            <w:tcBorders>
              <w:top w:val="single" w:sz="4" w:space="0" w:color="06357A"/>
            </w:tcBorders>
            <w:shd w:val="clear" w:color="auto" w:fill="D9D9D9" w:themeFill="background1" w:themeFillShade="D9"/>
            <w:vAlign w:val="center"/>
          </w:tcPr>
          <w:p w14:paraId="0AFDFDA1"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FF0000"/>
                <w:sz w:val="18"/>
                <w:szCs w:val="18"/>
              </w:rPr>
              <w:t>-£6,000</w:t>
            </w:r>
          </w:p>
        </w:tc>
        <w:tc>
          <w:tcPr>
            <w:tcW w:w="303" w:type="pct"/>
            <w:tcBorders>
              <w:top w:val="single" w:sz="4" w:space="0" w:color="06357A"/>
            </w:tcBorders>
            <w:shd w:val="clear" w:color="auto" w:fill="D9D9D9" w:themeFill="background1" w:themeFillShade="D9"/>
            <w:vAlign w:val="center"/>
          </w:tcPr>
          <w:p w14:paraId="4CF7BC37"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FF0000"/>
                <w:sz w:val="18"/>
                <w:szCs w:val="18"/>
              </w:rPr>
              <w:t>-£6,000</w:t>
            </w:r>
          </w:p>
        </w:tc>
        <w:tc>
          <w:tcPr>
            <w:tcW w:w="303" w:type="pct"/>
            <w:tcBorders>
              <w:top w:val="single" w:sz="4" w:space="0" w:color="06357A"/>
            </w:tcBorders>
            <w:shd w:val="clear" w:color="auto" w:fill="D9D9D9" w:themeFill="background1" w:themeFillShade="D9"/>
            <w:vAlign w:val="center"/>
          </w:tcPr>
          <w:p w14:paraId="56FC62B2"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FF0000"/>
                <w:sz w:val="18"/>
                <w:szCs w:val="18"/>
              </w:rPr>
              <w:t>-£6,000</w:t>
            </w:r>
          </w:p>
        </w:tc>
        <w:tc>
          <w:tcPr>
            <w:tcW w:w="303" w:type="pct"/>
            <w:tcBorders>
              <w:top w:val="single" w:sz="4" w:space="0" w:color="06357A"/>
            </w:tcBorders>
            <w:shd w:val="clear" w:color="auto" w:fill="D9D9D9" w:themeFill="background1" w:themeFillShade="D9"/>
            <w:vAlign w:val="center"/>
          </w:tcPr>
          <w:p w14:paraId="2B6322E7"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tcBorders>
              <w:top w:val="single" w:sz="4" w:space="0" w:color="06357A"/>
            </w:tcBorders>
            <w:shd w:val="clear" w:color="auto" w:fill="D9D9D9" w:themeFill="background1" w:themeFillShade="D9"/>
            <w:vAlign w:val="center"/>
          </w:tcPr>
          <w:p w14:paraId="153EC266"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FF0000"/>
                <w:sz w:val="18"/>
                <w:szCs w:val="18"/>
              </w:rPr>
              <w:t>-£6,000</w:t>
            </w:r>
          </w:p>
        </w:tc>
        <w:tc>
          <w:tcPr>
            <w:tcW w:w="303" w:type="pct"/>
            <w:tcBorders>
              <w:top w:val="single" w:sz="4" w:space="0" w:color="06357A"/>
            </w:tcBorders>
            <w:shd w:val="clear" w:color="auto" w:fill="D9D9D9" w:themeFill="background1" w:themeFillShade="D9"/>
            <w:vAlign w:val="center"/>
          </w:tcPr>
          <w:p w14:paraId="23B48BAA"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tcBorders>
              <w:top w:val="single" w:sz="4" w:space="0" w:color="06357A"/>
            </w:tcBorders>
            <w:shd w:val="clear" w:color="auto" w:fill="D9D9D9" w:themeFill="background1" w:themeFillShade="D9"/>
            <w:vAlign w:val="center"/>
          </w:tcPr>
          <w:p w14:paraId="605EAC9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2" w:type="pct"/>
            <w:tcBorders>
              <w:top w:val="single" w:sz="4" w:space="0" w:color="06357A"/>
            </w:tcBorders>
            <w:shd w:val="clear" w:color="auto" w:fill="D9D9D9" w:themeFill="background1" w:themeFillShade="D9"/>
            <w:vAlign w:val="center"/>
          </w:tcPr>
          <w:p w14:paraId="2B10AAD3"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r>
      <w:tr w:rsidR="003A6119" w:rsidRPr="0078056B" w14:paraId="72E295BD" w14:textId="77777777" w:rsidTr="000A186C">
        <w:trPr>
          <w:trHeight w:val="20"/>
        </w:trPr>
        <w:tc>
          <w:tcPr>
            <w:tcW w:w="759" w:type="pct"/>
            <w:shd w:val="clear" w:color="auto" w:fill="auto"/>
            <w:vAlign w:val="center"/>
          </w:tcPr>
          <w:p w14:paraId="048709CA"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First degree</w:t>
            </w:r>
          </w:p>
        </w:tc>
        <w:tc>
          <w:tcPr>
            <w:tcW w:w="303" w:type="pct"/>
            <w:shd w:val="clear" w:color="auto" w:fill="auto"/>
            <w:vAlign w:val="center"/>
          </w:tcPr>
          <w:p w14:paraId="4B8F4487"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5244C715"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33965AE1"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2A2932F2"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09943327" w14:textId="77777777" w:rsidR="003A6119" w:rsidRPr="0078056B" w:rsidRDefault="003A6119" w:rsidP="000A186C">
            <w:pPr>
              <w:spacing w:before="0" w:after="0"/>
              <w:ind w:left="28" w:right="28"/>
              <w:jc w:val="center"/>
              <w:rPr>
                <w:rFonts w:asciiTheme="minorHAnsi" w:hAnsiTheme="minorHAnsi" w:cstheme="minorHAnsi"/>
                <w:i/>
                <w:iCs/>
                <w:color w:val="000000"/>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157B0C5A" w14:textId="77777777" w:rsidR="003A6119" w:rsidRPr="0078056B" w:rsidRDefault="003A6119" w:rsidP="000A186C">
            <w:pPr>
              <w:spacing w:before="0" w:after="0"/>
              <w:ind w:left="28" w:right="28"/>
              <w:jc w:val="center"/>
              <w:rPr>
                <w:rFonts w:asciiTheme="minorHAnsi" w:hAnsiTheme="minorHAnsi" w:cstheme="minorHAnsi"/>
                <w:i/>
                <w:iCs/>
                <w:color w:val="000000"/>
                <w:sz w:val="18"/>
                <w:szCs w:val="18"/>
              </w:rPr>
            </w:pPr>
            <w:r w:rsidRPr="0078056B">
              <w:rPr>
                <w:rFonts w:asciiTheme="minorHAnsi" w:hAnsiTheme="minorHAnsi" w:cstheme="minorHAnsi"/>
                <w:color w:val="000000"/>
                <w:sz w:val="18"/>
                <w:szCs w:val="18"/>
              </w:rPr>
              <w:t> </w:t>
            </w:r>
          </w:p>
        </w:tc>
        <w:tc>
          <w:tcPr>
            <w:tcW w:w="303" w:type="pct"/>
            <w:shd w:val="clear" w:color="auto" w:fill="D9D9D9" w:themeFill="background1" w:themeFillShade="D9"/>
            <w:vAlign w:val="center"/>
          </w:tcPr>
          <w:p w14:paraId="2C95A07A"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000000"/>
                <w:sz w:val="18"/>
                <w:szCs w:val="18"/>
              </w:rPr>
              <w:t> </w:t>
            </w:r>
          </w:p>
        </w:tc>
        <w:tc>
          <w:tcPr>
            <w:tcW w:w="303" w:type="pct"/>
            <w:shd w:val="clear" w:color="auto" w:fill="D9D9D9" w:themeFill="background1" w:themeFillShade="D9"/>
            <w:vAlign w:val="center"/>
          </w:tcPr>
          <w:p w14:paraId="033A429D"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000000"/>
                <w:sz w:val="18"/>
                <w:szCs w:val="18"/>
              </w:rPr>
              <w:t> </w:t>
            </w:r>
          </w:p>
        </w:tc>
        <w:tc>
          <w:tcPr>
            <w:tcW w:w="303" w:type="pct"/>
            <w:shd w:val="clear" w:color="auto" w:fill="D9D9D9" w:themeFill="background1" w:themeFillShade="D9"/>
            <w:vAlign w:val="center"/>
          </w:tcPr>
          <w:p w14:paraId="6D1A2FCA"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000000"/>
                <w:sz w:val="18"/>
                <w:szCs w:val="18"/>
              </w:rPr>
              <w:t> </w:t>
            </w:r>
          </w:p>
        </w:tc>
        <w:tc>
          <w:tcPr>
            <w:tcW w:w="303" w:type="pct"/>
            <w:shd w:val="clear" w:color="auto" w:fill="D9D9D9" w:themeFill="background1" w:themeFillShade="D9"/>
            <w:vAlign w:val="center"/>
          </w:tcPr>
          <w:p w14:paraId="20A83F6A"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shd w:val="clear" w:color="auto" w:fill="D9D9D9" w:themeFill="background1" w:themeFillShade="D9"/>
            <w:vAlign w:val="center"/>
          </w:tcPr>
          <w:p w14:paraId="7195869E"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shd w:val="clear" w:color="auto" w:fill="D9D9D9" w:themeFill="background1" w:themeFillShade="D9"/>
            <w:vAlign w:val="center"/>
          </w:tcPr>
          <w:p w14:paraId="105A55AF"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shd w:val="clear" w:color="auto" w:fill="D9D9D9" w:themeFill="background1" w:themeFillShade="D9"/>
            <w:vAlign w:val="center"/>
          </w:tcPr>
          <w:p w14:paraId="7495DED5"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2" w:type="pct"/>
            <w:shd w:val="clear" w:color="auto" w:fill="D9D9D9" w:themeFill="background1" w:themeFillShade="D9"/>
            <w:vAlign w:val="center"/>
          </w:tcPr>
          <w:p w14:paraId="34927D6D"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r>
      <w:tr w:rsidR="003A6119" w:rsidRPr="0078056B" w14:paraId="503E3EF7" w14:textId="77777777" w:rsidTr="000A186C">
        <w:trPr>
          <w:trHeight w:val="20"/>
        </w:trPr>
        <w:tc>
          <w:tcPr>
            <w:tcW w:w="759" w:type="pct"/>
            <w:shd w:val="clear" w:color="auto" w:fill="auto"/>
            <w:vAlign w:val="center"/>
          </w:tcPr>
          <w:p w14:paraId="79975703"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Other postgraduate</w:t>
            </w:r>
          </w:p>
        </w:tc>
        <w:tc>
          <w:tcPr>
            <w:tcW w:w="303" w:type="pct"/>
            <w:shd w:val="clear" w:color="auto" w:fill="auto"/>
            <w:vAlign w:val="center"/>
          </w:tcPr>
          <w:p w14:paraId="3DF208E6"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£109,000</w:t>
            </w:r>
          </w:p>
        </w:tc>
        <w:tc>
          <w:tcPr>
            <w:tcW w:w="303" w:type="pct"/>
            <w:shd w:val="clear" w:color="auto" w:fill="auto"/>
            <w:vAlign w:val="center"/>
          </w:tcPr>
          <w:p w14:paraId="094C2E4F"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£94,000</w:t>
            </w:r>
          </w:p>
        </w:tc>
        <w:tc>
          <w:tcPr>
            <w:tcW w:w="303" w:type="pct"/>
            <w:shd w:val="clear" w:color="auto" w:fill="auto"/>
            <w:vAlign w:val="center"/>
          </w:tcPr>
          <w:p w14:paraId="4A993C81"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£79,000</w:t>
            </w:r>
          </w:p>
        </w:tc>
        <w:tc>
          <w:tcPr>
            <w:tcW w:w="303" w:type="pct"/>
            <w:shd w:val="clear" w:color="auto" w:fill="auto"/>
            <w:vAlign w:val="center"/>
          </w:tcPr>
          <w:p w14:paraId="73B2F65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33A1E490" w14:textId="77777777" w:rsidR="003A6119" w:rsidRPr="0078056B" w:rsidRDefault="003A6119" w:rsidP="000A186C">
            <w:pPr>
              <w:spacing w:before="0" w:after="0"/>
              <w:ind w:left="28" w:right="28"/>
              <w:jc w:val="center"/>
              <w:rPr>
                <w:rFonts w:asciiTheme="minorHAnsi" w:hAnsiTheme="minorHAnsi" w:cstheme="minorHAnsi"/>
                <w:i/>
                <w:iCs/>
                <w:color w:val="000000"/>
                <w:sz w:val="18"/>
                <w:szCs w:val="18"/>
              </w:rPr>
            </w:pPr>
            <w:r w:rsidRPr="0078056B">
              <w:rPr>
                <w:rFonts w:asciiTheme="minorHAnsi" w:hAnsiTheme="minorHAnsi" w:cstheme="minorHAnsi"/>
                <w:color w:val="000000"/>
                <w:sz w:val="18"/>
                <w:szCs w:val="18"/>
              </w:rPr>
              <w:t>£18,000</w:t>
            </w:r>
          </w:p>
        </w:tc>
        <w:tc>
          <w:tcPr>
            <w:tcW w:w="303" w:type="pct"/>
            <w:shd w:val="clear" w:color="auto" w:fill="auto"/>
            <w:vAlign w:val="center"/>
          </w:tcPr>
          <w:p w14:paraId="64CA4A8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£48,000</w:t>
            </w:r>
          </w:p>
        </w:tc>
        <w:tc>
          <w:tcPr>
            <w:tcW w:w="303" w:type="pct"/>
            <w:shd w:val="clear" w:color="auto" w:fill="auto"/>
            <w:vAlign w:val="center"/>
          </w:tcPr>
          <w:p w14:paraId="3F9A955B" w14:textId="77777777" w:rsidR="003A6119" w:rsidRPr="0078056B" w:rsidRDefault="003A6119" w:rsidP="000A186C">
            <w:pPr>
              <w:spacing w:before="0" w:after="0"/>
              <w:ind w:left="28" w:right="28"/>
              <w:jc w:val="center"/>
              <w:rPr>
                <w:rFonts w:asciiTheme="minorHAnsi" w:hAnsiTheme="minorHAnsi" w:cstheme="minorHAnsi"/>
                <w:i/>
                <w:iCs/>
                <w:color w:val="000000"/>
                <w:sz w:val="18"/>
                <w:szCs w:val="18"/>
              </w:rPr>
            </w:pPr>
            <w:r w:rsidRPr="0078056B">
              <w:rPr>
                <w:rFonts w:asciiTheme="minorHAnsi" w:hAnsiTheme="minorHAnsi" w:cstheme="minorHAnsi"/>
                <w:color w:val="000000"/>
                <w:sz w:val="18"/>
                <w:szCs w:val="18"/>
              </w:rPr>
              <w:t>£5,000</w:t>
            </w:r>
          </w:p>
        </w:tc>
        <w:tc>
          <w:tcPr>
            <w:tcW w:w="303" w:type="pct"/>
            <w:shd w:val="clear" w:color="auto" w:fill="auto"/>
            <w:vAlign w:val="center"/>
          </w:tcPr>
          <w:p w14:paraId="28609C4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£34,000</w:t>
            </w:r>
          </w:p>
        </w:tc>
        <w:tc>
          <w:tcPr>
            <w:tcW w:w="303" w:type="pct"/>
            <w:shd w:val="clear" w:color="auto" w:fill="D9D9D9" w:themeFill="background1" w:themeFillShade="D9"/>
            <w:vAlign w:val="center"/>
          </w:tcPr>
          <w:p w14:paraId="1D571513"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-£1,000</w:t>
            </w:r>
          </w:p>
        </w:tc>
        <w:tc>
          <w:tcPr>
            <w:tcW w:w="303" w:type="pct"/>
            <w:shd w:val="clear" w:color="auto" w:fill="D9D9D9" w:themeFill="background1" w:themeFillShade="D9"/>
            <w:vAlign w:val="center"/>
          </w:tcPr>
          <w:p w14:paraId="30D03ADE"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-£1,000</w:t>
            </w:r>
          </w:p>
        </w:tc>
        <w:tc>
          <w:tcPr>
            <w:tcW w:w="303" w:type="pct"/>
            <w:shd w:val="clear" w:color="auto" w:fill="D9D9D9" w:themeFill="background1" w:themeFillShade="D9"/>
            <w:vAlign w:val="center"/>
          </w:tcPr>
          <w:p w14:paraId="3F6F1CA2"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-£1,000</w:t>
            </w:r>
          </w:p>
        </w:tc>
        <w:tc>
          <w:tcPr>
            <w:tcW w:w="303" w:type="pct"/>
            <w:shd w:val="clear" w:color="auto" w:fill="D9D9D9" w:themeFill="background1" w:themeFillShade="D9"/>
            <w:vAlign w:val="center"/>
          </w:tcPr>
          <w:p w14:paraId="24AA3F5B"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-£1,000</w:t>
            </w:r>
          </w:p>
        </w:tc>
        <w:tc>
          <w:tcPr>
            <w:tcW w:w="303" w:type="pct"/>
            <w:shd w:val="clear" w:color="auto" w:fill="D9D9D9" w:themeFill="background1" w:themeFillShade="D9"/>
            <w:vAlign w:val="center"/>
          </w:tcPr>
          <w:p w14:paraId="324D4AFE"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-£1,000</w:t>
            </w:r>
          </w:p>
        </w:tc>
        <w:tc>
          <w:tcPr>
            <w:tcW w:w="302" w:type="pct"/>
            <w:shd w:val="clear" w:color="auto" w:fill="D9D9D9" w:themeFill="background1" w:themeFillShade="D9"/>
            <w:vAlign w:val="center"/>
          </w:tcPr>
          <w:p w14:paraId="5A42D04F"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-£1,000</w:t>
            </w:r>
          </w:p>
        </w:tc>
      </w:tr>
      <w:tr w:rsidR="003A6119" w:rsidRPr="0078056B" w14:paraId="3E1DDED5" w14:textId="77777777" w:rsidTr="000A186C">
        <w:trPr>
          <w:trHeight w:val="20"/>
        </w:trPr>
        <w:tc>
          <w:tcPr>
            <w:tcW w:w="759" w:type="pct"/>
            <w:shd w:val="clear" w:color="auto" w:fill="auto"/>
            <w:vAlign w:val="center"/>
          </w:tcPr>
          <w:p w14:paraId="7F026284"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Higher degree (taught)</w:t>
            </w:r>
          </w:p>
        </w:tc>
        <w:tc>
          <w:tcPr>
            <w:tcW w:w="303" w:type="pct"/>
            <w:shd w:val="clear" w:color="auto" w:fill="auto"/>
            <w:vAlign w:val="center"/>
          </w:tcPr>
          <w:p w14:paraId="198A6B86"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6E4BBA09"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6A2CDA9C"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£113,000</w:t>
            </w:r>
          </w:p>
        </w:tc>
        <w:tc>
          <w:tcPr>
            <w:tcW w:w="303" w:type="pct"/>
            <w:shd w:val="clear" w:color="auto" w:fill="auto"/>
            <w:vAlign w:val="center"/>
          </w:tcPr>
          <w:p w14:paraId="55CB8FE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shd w:val="clear" w:color="auto" w:fill="auto"/>
            <w:vAlign w:val="center"/>
          </w:tcPr>
          <w:p w14:paraId="7D5B7237"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£60,000</w:t>
            </w:r>
          </w:p>
        </w:tc>
        <w:tc>
          <w:tcPr>
            <w:tcW w:w="303" w:type="pct"/>
            <w:shd w:val="clear" w:color="auto" w:fill="auto"/>
            <w:vAlign w:val="center"/>
          </w:tcPr>
          <w:p w14:paraId="3839B320"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£58,000</w:t>
            </w:r>
          </w:p>
        </w:tc>
        <w:tc>
          <w:tcPr>
            <w:tcW w:w="303" w:type="pct"/>
            <w:shd w:val="clear" w:color="auto" w:fill="auto"/>
            <w:vAlign w:val="center"/>
          </w:tcPr>
          <w:p w14:paraId="189991F1"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£50,000</w:t>
            </w:r>
          </w:p>
        </w:tc>
        <w:tc>
          <w:tcPr>
            <w:tcW w:w="303" w:type="pct"/>
            <w:shd w:val="clear" w:color="auto" w:fill="auto"/>
            <w:vAlign w:val="center"/>
          </w:tcPr>
          <w:p w14:paraId="568090AF"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£45,000</w:t>
            </w:r>
          </w:p>
        </w:tc>
        <w:tc>
          <w:tcPr>
            <w:tcW w:w="303" w:type="pct"/>
            <w:shd w:val="clear" w:color="auto" w:fill="auto"/>
            <w:vAlign w:val="center"/>
          </w:tcPr>
          <w:p w14:paraId="1D3B6404"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£44,000</w:t>
            </w:r>
          </w:p>
        </w:tc>
        <w:tc>
          <w:tcPr>
            <w:tcW w:w="303" w:type="pct"/>
            <w:shd w:val="clear" w:color="auto" w:fill="auto"/>
            <w:vAlign w:val="center"/>
          </w:tcPr>
          <w:p w14:paraId="0A78AA26" w14:textId="77777777" w:rsidR="003A6119" w:rsidRPr="0078056B" w:rsidRDefault="003A6119" w:rsidP="000A186C">
            <w:pPr>
              <w:spacing w:before="0" w:after="0"/>
              <w:ind w:left="28" w:right="28"/>
              <w:jc w:val="center"/>
              <w:rPr>
                <w:rFonts w:asciiTheme="minorHAnsi" w:hAnsiTheme="minorHAnsi" w:cstheme="minorHAnsi"/>
                <w:i/>
                <w:iCs/>
                <w:color w:val="000000"/>
                <w:sz w:val="18"/>
                <w:szCs w:val="18"/>
              </w:rPr>
            </w:pPr>
            <w:r w:rsidRPr="0078056B">
              <w:rPr>
                <w:rFonts w:asciiTheme="minorHAnsi" w:hAnsiTheme="minorHAnsi" w:cstheme="minorHAnsi"/>
                <w:color w:val="000000"/>
                <w:sz w:val="18"/>
                <w:szCs w:val="18"/>
              </w:rPr>
              <w:t>£14,000</w:t>
            </w:r>
          </w:p>
        </w:tc>
        <w:tc>
          <w:tcPr>
            <w:tcW w:w="303" w:type="pct"/>
            <w:shd w:val="clear" w:color="auto" w:fill="D9D9D9" w:themeFill="background1" w:themeFillShade="D9"/>
            <w:vAlign w:val="center"/>
          </w:tcPr>
          <w:p w14:paraId="52242C3A"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-£2,000</w:t>
            </w:r>
          </w:p>
        </w:tc>
        <w:tc>
          <w:tcPr>
            <w:tcW w:w="303" w:type="pct"/>
            <w:shd w:val="clear" w:color="auto" w:fill="D9D9D9" w:themeFill="background1" w:themeFillShade="D9"/>
            <w:vAlign w:val="center"/>
          </w:tcPr>
          <w:p w14:paraId="50C17E4B"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-£2,000</w:t>
            </w:r>
          </w:p>
        </w:tc>
        <w:tc>
          <w:tcPr>
            <w:tcW w:w="303" w:type="pct"/>
            <w:shd w:val="clear" w:color="auto" w:fill="D9D9D9" w:themeFill="background1" w:themeFillShade="D9"/>
            <w:vAlign w:val="center"/>
          </w:tcPr>
          <w:p w14:paraId="2A16D931"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-£1,000</w:t>
            </w:r>
          </w:p>
        </w:tc>
        <w:tc>
          <w:tcPr>
            <w:tcW w:w="302" w:type="pct"/>
            <w:shd w:val="clear" w:color="auto" w:fill="D9D9D9" w:themeFill="background1" w:themeFillShade="D9"/>
            <w:vAlign w:val="center"/>
          </w:tcPr>
          <w:p w14:paraId="4996ED64" w14:textId="77777777" w:rsidR="003A6119" w:rsidRPr="0078056B" w:rsidRDefault="003A6119" w:rsidP="000A186C">
            <w:pPr>
              <w:spacing w:before="0" w:after="0"/>
              <w:ind w:left="28" w:right="28"/>
              <w:jc w:val="center"/>
              <w:rPr>
                <w:rFonts w:asciiTheme="minorHAnsi" w:hAnsiTheme="minorHAnsi" w:cstheme="minorHAnsi"/>
                <w:color w:val="FF0000"/>
                <w:sz w:val="18"/>
                <w:szCs w:val="18"/>
              </w:rPr>
            </w:pPr>
            <w:r w:rsidRPr="0078056B">
              <w:rPr>
                <w:rFonts w:asciiTheme="minorHAnsi" w:hAnsiTheme="minorHAnsi" w:cstheme="minorHAnsi"/>
                <w:color w:val="FF0000"/>
                <w:sz w:val="18"/>
                <w:szCs w:val="18"/>
              </w:rPr>
              <w:t>-£2,000</w:t>
            </w:r>
          </w:p>
        </w:tc>
      </w:tr>
      <w:tr w:rsidR="003A6119" w:rsidRPr="0078056B" w14:paraId="0488BA5C" w14:textId="77777777" w:rsidTr="000A186C">
        <w:trPr>
          <w:trHeight w:val="20"/>
        </w:trPr>
        <w:tc>
          <w:tcPr>
            <w:tcW w:w="759" w:type="pct"/>
            <w:tcBorders>
              <w:bottom w:val="single" w:sz="4" w:space="0" w:color="06357A"/>
            </w:tcBorders>
            <w:shd w:val="clear" w:color="auto" w:fill="auto"/>
            <w:vAlign w:val="center"/>
          </w:tcPr>
          <w:p w14:paraId="1AFA727D" w14:textId="77777777" w:rsidR="003A6119" w:rsidRPr="0078056B" w:rsidRDefault="003A6119" w:rsidP="000A186C">
            <w:pPr>
              <w:spacing w:before="0" w:after="0"/>
              <w:ind w:left="28" w:right="28"/>
              <w:jc w:val="left"/>
              <w:rPr>
                <w:rFonts w:asciiTheme="minorHAnsi" w:hAnsiTheme="minorHAnsi" w:cstheme="minorHAnsi"/>
                <w:sz w:val="18"/>
                <w:szCs w:val="18"/>
              </w:rPr>
            </w:pPr>
            <w:r w:rsidRPr="0078056B">
              <w:rPr>
                <w:rFonts w:asciiTheme="minorHAnsi" w:hAnsiTheme="minorHAnsi" w:cstheme="minorHAnsi"/>
                <w:sz w:val="18"/>
                <w:szCs w:val="18"/>
              </w:rPr>
              <w:t>Higher degree (research)</w:t>
            </w:r>
          </w:p>
        </w:tc>
        <w:tc>
          <w:tcPr>
            <w:tcW w:w="303" w:type="pct"/>
            <w:tcBorders>
              <w:bottom w:val="single" w:sz="4" w:space="0" w:color="06357A"/>
            </w:tcBorders>
            <w:shd w:val="clear" w:color="auto" w:fill="auto"/>
            <w:vAlign w:val="center"/>
          </w:tcPr>
          <w:p w14:paraId="1506E879"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tcBorders>
              <w:bottom w:val="single" w:sz="4" w:space="0" w:color="06357A"/>
            </w:tcBorders>
            <w:shd w:val="clear" w:color="auto" w:fill="auto"/>
            <w:vAlign w:val="center"/>
          </w:tcPr>
          <w:p w14:paraId="4511333D"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tcBorders>
              <w:bottom w:val="single" w:sz="4" w:space="0" w:color="06357A"/>
            </w:tcBorders>
            <w:shd w:val="clear" w:color="auto" w:fill="auto"/>
            <w:vAlign w:val="center"/>
          </w:tcPr>
          <w:p w14:paraId="3FE7775D"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tcBorders>
              <w:bottom w:val="single" w:sz="4" w:space="0" w:color="06357A"/>
            </w:tcBorders>
            <w:shd w:val="clear" w:color="auto" w:fill="auto"/>
            <w:vAlign w:val="center"/>
          </w:tcPr>
          <w:p w14:paraId="2DDAFA36"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tcBorders>
              <w:bottom w:val="single" w:sz="4" w:space="0" w:color="06357A"/>
            </w:tcBorders>
            <w:shd w:val="clear" w:color="auto" w:fill="auto"/>
            <w:vAlign w:val="center"/>
          </w:tcPr>
          <w:p w14:paraId="44BDB1C6"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tcBorders>
              <w:bottom w:val="single" w:sz="4" w:space="0" w:color="06357A"/>
            </w:tcBorders>
            <w:shd w:val="clear" w:color="auto" w:fill="auto"/>
            <w:vAlign w:val="center"/>
          </w:tcPr>
          <w:p w14:paraId="3C59CFB2"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tcBorders>
              <w:bottom w:val="single" w:sz="4" w:space="0" w:color="06357A"/>
            </w:tcBorders>
            <w:shd w:val="clear" w:color="auto" w:fill="auto"/>
            <w:vAlign w:val="center"/>
          </w:tcPr>
          <w:p w14:paraId="5C81C68A"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£76,000</w:t>
            </w:r>
          </w:p>
        </w:tc>
        <w:tc>
          <w:tcPr>
            <w:tcW w:w="303" w:type="pct"/>
            <w:tcBorders>
              <w:bottom w:val="single" w:sz="4" w:space="0" w:color="06357A"/>
            </w:tcBorders>
            <w:shd w:val="clear" w:color="auto" w:fill="auto"/>
            <w:vAlign w:val="center"/>
          </w:tcPr>
          <w:p w14:paraId="79AA8507"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£51,000</w:t>
            </w:r>
          </w:p>
        </w:tc>
        <w:tc>
          <w:tcPr>
            <w:tcW w:w="303" w:type="pct"/>
            <w:tcBorders>
              <w:bottom w:val="single" w:sz="4" w:space="0" w:color="06357A"/>
            </w:tcBorders>
            <w:shd w:val="clear" w:color="auto" w:fill="auto"/>
            <w:vAlign w:val="center"/>
          </w:tcPr>
          <w:p w14:paraId="1DBE6923"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c>
          <w:tcPr>
            <w:tcW w:w="303" w:type="pct"/>
            <w:tcBorders>
              <w:bottom w:val="single" w:sz="4" w:space="0" w:color="06357A"/>
            </w:tcBorders>
            <w:shd w:val="clear" w:color="auto" w:fill="auto"/>
            <w:vAlign w:val="center"/>
          </w:tcPr>
          <w:p w14:paraId="2CD4267A"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£32,000</w:t>
            </w:r>
          </w:p>
        </w:tc>
        <w:tc>
          <w:tcPr>
            <w:tcW w:w="303" w:type="pct"/>
            <w:tcBorders>
              <w:bottom w:val="single" w:sz="4" w:space="0" w:color="06357A"/>
            </w:tcBorders>
            <w:shd w:val="clear" w:color="auto" w:fill="auto"/>
            <w:vAlign w:val="center"/>
          </w:tcPr>
          <w:p w14:paraId="61D4EA17"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£47,000</w:t>
            </w:r>
          </w:p>
        </w:tc>
        <w:tc>
          <w:tcPr>
            <w:tcW w:w="303" w:type="pct"/>
            <w:tcBorders>
              <w:bottom w:val="single" w:sz="4" w:space="0" w:color="06357A"/>
            </w:tcBorders>
            <w:shd w:val="clear" w:color="auto" w:fill="auto"/>
            <w:vAlign w:val="center"/>
          </w:tcPr>
          <w:p w14:paraId="4025510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£23,000</w:t>
            </w:r>
          </w:p>
        </w:tc>
        <w:tc>
          <w:tcPr>
            <w:tcW w:w="303" w:type="pct"/>
            <w:tcBorders>
              <w:bottom w:val="single" w:sz="4" w:space="0" w:color="06357A"/>
            </w:tcBorders>
            <w:shd w:val="clear" w:color="auto" w:fill="D9D9D9" w:themeFill="background1" w:themeFillShade="D9"/>
            <w:vAlign w:val="center"/>
          </w:tcPr>
          <w:p w14:paraId="72A2E0EB"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FF0000"/>
                <w:sz w:val="18"/>
                <w:szCs w:val="18"/>
              </w:rPr>
              <w:t>-£1,000</w:t>
            </w:r>
          </w:p>
        </w:tc>
        <w:tc>
          <w:tcPr>
            <w:tcW w:w="302" w:type="pct"/>
            <w:tcBorders>
              <w:bottom w:val="single" w:sz="4" w:space="0" w:color="06357A"/>
            </w:tcBorders>
            <w:shd w:val="clear" w:color="auto" w:fill="D9D9D9" w:themeFill="background1" w:themeFillShade="D9"/>
            <w:vAlign w:val="center"/>
          </w:tcPr>
          <w:p w14:paraId="6D9B93F9" w14:textId="77777777" w:rsidR="003A6119" w:rsidRPr="0078056B" w:rsidRDefault="003A6119" w:rsidP="000A186C">
            <w:pPr>
              <w:spacing w:before="0" w:after="0"/>
              <w:ind w:left="28" w:right="28"/>
              <w:jc w:val="center"/>
              <w:rPr>
                <w:rFonts w:asciiTheme="minorHAnsi" w:hAnsiTheme="minorHAnsi" w:cstheme="minorHAnsi"/>
                <w:color w:val="000000"/>
                <w:sz w:val="18"/>
                <w:szCs w:val="18"/>
              </w:rPr>
            </w:pPr>
            <w:r w:rsidRPr="0078056B">
              <w:rPr>
                <w:rFonts w:asciiTheme="minorHAnsi" w:hAnsiTheme="minorHAnsi" w:cstheme="minorHAnsi"/>
                <w:color w:val="000000"/>
                <w:sz w:val="18"/>
                <w:szCs w:val="18"/>
              </w:rPr>
              <w:t> </w:t>
            </w:r>
          </w:p>
        </w:tc>
      </w:tr>
    </w:tbl>
    <w:p w14:paraId="0C621B7D" w14:textId="77777777" w:rsidR="003A6119" w:rsidRPr="0078056B" w:rsidRDefault="003A6119" w:rsidP="003A6119">
      <w:pPr>
        <w:spacing w:before="0"/>
      </w:pPr>
      <w:r w:rsidRPr="0078056B">
        <w:rPr>
          <w:sz w:val="16"/>
          <w:szCs w:val="16"/>
        </w:rPr>
        <w:t>Note: All values are rounded to the nearest £1,000. Gaps may arise where there are no students in the 2021-22 University of Birmingham cohort expected to complete the given qualification (with the given characteristics). Grey shading indicates instances where the level of study at the University of Birmingham is equal to or lower than the level of previous attainment. In these instances, the analysis implicitly assumes that all calculated net returns (</w:t>
      </w:r>
      <w:r w:rsidRPr="0078056B">
        <w:rPr>
          <w:i/>
          <w:sz w:val="16"/>
          <w:szCs w:val="16"/>
        </w:rPr>
        <w:t>before</w:t>
      </w:r>
      <w:r w:rsidRPr="0078056B">
        <w:rPr>
          <w:sz w:val="16"/>
          <w:szCs w:val="16"/>
        </w:rPr>
        <w:t xml:space="preserve"> the deduction of any foregone earnings or other costs) can only be larger or equal to zero (i.e. there can be no wage or employment penalty associated with any higher education qualification attainment). Hence, each grey-shaded cell displays only the assumed underlying direct </w:t>
      </w:r>
      <w:r w:rsidRPr="0078056B">
        <w:rPr>
          <w:i/>
          <w:iCs/>
          <w:sz w:val="16"/>
          <w:szCs w:val="16"/>
        </w:rPr>
        <w:t>or</w:t>
      </w:r>
      <w:r w:rsidRPr="0078056B">
        <w:rPr>
          <w:sz w:val="16"/>
          <w:szCs w:val="16"/>
        </w:rPr>
        <w:t xml:space="preserve"> indirect costs associated with qualification attainment. </w:t>
      </w:r>
      <w:r w:rsidRPr="0078056B">
        <w:rPr>
          <w:b/>
          <w:i/>
          <w:sz w:val="16"/>
        </w:rPr>
        <w:t>Source: London Economics' analysis</w:t>
      </w:r>
    </w:p>
    <w:p w14:paraId="1BA6CAA4" w14:textId="77777777" w:rsidR="00DB7AC6" w:rsidRPr="0078056B" w:rsidRDefault="00DB7AC6" w:rsidP="003A6119">
      <w:pPr>
        <w:sectPr w:rsidR="00DB7AC6" w:rsidRPr="0078056B" w:rsidSect="003A6119">
          <w:headerReference w:type="even" r:id="rId247"/>
          <w:headerReference w:type="default" r:id="rId248"/>
          <w:footerReference w:type="even" r:id="rId249"/>
          <w:footerReference w:type="default" r:id="rId250"/>
          <w:headerReference w:type="first" r:id="rId251"/>
          <w:footerReference w:type="first" r:id="rId252"/>
          <w:pgSz w:w="16838" w:h="11906" w:orient="landscape"/>
          <w:pgMar w:top="964" w:right="1417" w:bottom="1417" w:left="1417" w:header="567" w:footer="340" w:gutter="0"/>
          <w:cols w:space="708"/>
          <w:docGrid w:linePitch="360"/>
        </w:sectPr>
      </w:pPr>
    </w:p>
    <w:p w14:paraId="60C7509B" w14:textId="64CD9769" w:rsidR="00DB7AC6" w:rsidRPr="0078056B" w:rsidRDefault="00D060EC" w:rsidP="005252F7">
      <w:pPr>
        <w:pStyle w:val="AnnexHeading2"/>
      </w:pPr>
      <w:bookmarkStart w:id="523" w:name="_Toc168652155"/>
      <w:r w:rsidRPr="0078056B">
        <w:lastRenderedPageBreak/>
        <w:t>I</w:t>
      </w:r>
      <w:r w:rsidR="005252F7" w:rsidRPr="0078056B">
        <w:t>mpact of the University’s educational exports</w:t>
      </w:r>
      <w:bookmarkEnd w:id="523"/>
    </w:p>
    <w:p w14:paraId="6AE9017F" w14:textId="77777777" w:rsidR="000E398D" w:rsidRPr="0078056B" w:rsidRDefault="000E398D" w:rsidP="000E398D">
      <w:pPr>
        <w:pStyle w:val="AnnexHeading3"/>
      </w:pPr>
      <w:bookmarkStart w:id="524" w:name="_Ref162272902"/>
      <w:bookmarkStart w:id="525" w:name="_Ref142320262"/>
      <w:r w:rsidRPr="0078056B">
        <w:t>The impact of Brexit on fees and funding for EU students</w:t>
      </w:r>
      <w:bookmarkEnd w:id="524"/>
      <w:r w:rsidRPr="0078056B">
        <w:t xml:space="preserve"> </w:t>
      </w:r>
    </w:p>
    <w:p w14:paraId="07EB4A12" w14:textId="77777777" w:rsidR="000E398D" w:rsidRPr="0078056B" w:rsidRDefault="000E398D" w:rsidP="000E398D">
      <w:r w:rsidRPr="0078056B">
        <w:t xml:space="preserve">The UK’s exit from the European Union has had several significant impacts on the fees and funding rules for EU domiciled students studying in the UK, with 2021-22 being the first academic year in which post-Brexit rules applied to these students. </w:t>
      </w:r>
    </w:p>
    <w:p w14:paraId="68853B6D" w14:textId="77777777" w:rsidR="000E398D" w:rsidRPr="0078056B" w:rsidRDefault="000E398D" w:rsidP="000E398D">
      <w:r w:rsidRPr="0078056B">
        <w:t xml:space="preserve">In relation to </w:t>
      </w:r>
      <w:r w:rsidRPr="0078056B">
        <w:rPr>
          <w:rFonts w:eastAsia="Times New Roman" w:cs="Microsoft Sans Serif"/>
          <w:b/>
          <w:color w:val="06357A"/>
        </w:rPr>
        <w:t>tuition fees</w:t>
      </w:r>
      <w:r w:rsidRPr="0078056B">
        <w:t>, pre-Brexit, EU students were eligible for ‘home’ fee status (i.e., they were charged the same level of tuition fees as UK domiciled students studying in the UK</w:t>
      </w:r>
      <w:r w:rsidRPr="0078056B">
        <w:rPr>
          <w:vertAlign w:val="superscript"/>
        </w:rPr>
        <w:footnoteReference w:id="139"/>
      </w:r>
      <w:r w:rsidRPr="0078056B">
        <w:t>). However, following the end of the Brexit transition period, EU domiciled students starting HE qualifications in the UK from 2021-22 onwards are typically no longer eligible to pay ‘home’ fees – since, in general, only EU nationals with pre-settled or settled status (under certain residency conditions) in the UK are eligible for these (lower) fees</w:t>
      </w:r>
      <w:r w:rsidRPr="0078056B">
        <w:rPr>
          <w:rStyle w:val="FootnoteReference"/>
        </w:rPr>
        <w:footnoteReference w:id="140"/>
      </w:r>
      <w:r w:rsidRPr="0078056B">
        <w:t xml:space="preserve">. We expect that the vast majority of first-year EU domiciled students starting HE qualifications in the UK in the 2021-22 academic year do </w:t>
      </w:r>
      <w:r w:rsidRPr="0078056B">
        <w:rPr>
          <w:i/>
          <w:iCs/>
        </w:rPr>
        <w:t>not</w:t>
      </w:r>
      <w:r w:rsidRPr="0078056B">
        <w:t xml:space="preserve"> have settled or pre-settled status, and therefore assume that all EU domiciled students in the 2021-22 University of Birmingham cohort are charged the same fees as non-EU students (which are typically much higher than the tuition fees charged to ‘home’ students)</w:t>
      </w:r>
      <w:r w:rsidRPr="0078056B">
        <w:rPr>
          <w:rStyle w:val="FootnoteReference"/>
        </w:rPr>
        <w:footnoteReference w:id="141"/>
      </w:r>
      <w:r w:rsidRPr="0078056B">
        <w:t xml:space="preserve">. </w:t>
      </w:r>
    </w:p>
    <w:p w14:paraId="0309CB19" w14:textId="605CC96B" w:rsidR="000E398D" w:rsidRPr="0078056B" w:rsidRDefault="000E398D" w:rsidP="000E398D">
      <w:r w:rsidRPr="0078056B">
        <w:t xml:space="preserve">In relation to the </w:t>
      </w:r>
      <w:r w:rsidRPr="0078056B">
        <w:rPr>
          <w:rFonts w:eastAsia="Times New Roman" w:cs="Microsoft Sans Serif"/>
          <w:b/>
          <w:color w:val="06357A"/>
        </w:rPr>
        <w:t>funding costs</w:t>
      </w:r>
      <w:r w:rsidRPr="0078056B">
        <w:t xml:space="preserve"> associated with international students, in addition to any potential fee waivers and bursaries provided to international students by the University of Birmingham itself, prior to 2021-22, our analysis of the impact of educational exports would also have deducted the cost of public </w:t>
      </w:r>
      <w:r w:rsidRPr="0078056B">
        <w:rPr>
          <w:rFonts w:eastAsia="Times New Roman" w:cs="Microsoft Sans Serif"/>
          <w:b/>
          <w:color w:val="06357A"/>
        </w:rPr>
        <w:t>teaching grants</w:t>
      </w:r>
      <w:r w:rsidRPr="0078056B">
        <w:rPr>
          <w:sz w:val="20"/>
          <w:szCs w:val="20"/>
        </w:rPr>
        <w:t xml:space="preserve"> </w:t>
      </w:r>
      <w:r w:rsidRPr="0078056B">
        <w:t xml:space="preserve">to fund the University’s provision of teaching and learning activities for EU domiciled students, as well as the costs associated with public </w:t>
      </w:r>
      <w:r w:rsidRPr="0078056B">
        <w:rPr>
          <w:rFonts w:eastAsia="Times New Roman" w:cs="Microsoft Sans Serif"/>
          <w:b/>
          <w:color w:val="06357A"/>
        </w:rPr>
        <w:t xml:space="preserve">tuition fee support </w:t>
      </w:r>
      <w:r w:rsidRPr="0078056B">
        <w:t>provided to EU domiciled students studying in England. However, following the end of the Brexit transition period, only EU nationals with pre-settled or settled status in the UK are generally eligible for this funding. Again, we expect that most EU domiciled students in the 2021-22 cohort did not hold pre-settled or settled status, and we therefore assume that there are no public teaching grant</w:t>
      </w:r>
      <w:r w:rsidR="007F2A6E" w:rsidRPr="0078056B">
        <w:t>s</w:t>
      </w:r>
      <w:r w:rsidRPr="0078056B">
        <w:t xml:space="preserve"> or student support costs applicable to the cohort</w:t>
      </w:r>
      <w:r w:rsidRPr="0078056B">
        <w:rPr>
          <w:rStyle w:val="FootnoteReference"/>
        </w:rPr>
        <w:footnoteReference w:id="142"/>
      </w:r>
      <w:r w:rsidRPr="0078056B">
        <w:t xml:space="preserve">. Given these simplifying assumptions, note that our analysis is likely to </w:t>
      </w:r>
      <w:r w:rsidRPr="0078056B">
        <w:rPr>
          <w:i/>
          <w:iCs/>
        </w:rPr>
        <w:t>overestimate</w:t>
      </w:r>
      <w:r w:rsidRPr="0078056B">
        <w:t xml:space="preserve"> the tuition fees and </w:t>
      </w:r>
      <w:r w:rsidRPr="0078056B">
        <w:rPr>
          <w:i/>
          <w:iCs/>
        </w:rPr>
        <w:t>underestimate</w:t>
      </w:r>
      <w:r w:rsidRPr="0078056B">
        <w:t xml:space="preserve"> the funding costs associated with EU domiciled students in the 2021-22 cohort. </w:t>
      </w:r>
    </w:p>
    <w:p w14:paraId="09A48BEB" w14:textId="33E5696A" w:rsidR="00D060EC" w:rsidRPr="0078056B" w:rsidRDefault="00D060EC" w:rsidP="00D060EC">
      <w:pPr>
        <w:pStyle w:val="AnnexHeading3"/>
      </w:pPr>
      <w:bookmarkStart w:id="526" w:name="_Ref162272657"/>
      <w:r w:rsidRPr="0078056B">
        <w:lastRenderedPageBreak/>
        <w:t xml:space="preserve">Additional information on the 2021-22 cohort of non-UK domiciled student students studying at </w:t>
      </w:r>
      <w:bookmarkEnd w:id="525"/>
      <w:r w:rsidRPr="0078056B">
        <w:t>the University of Birmingham</w:t>
      </w:r>
      <w:bookmarkEnd w:id="526"/>
    </w:p>
    <w:p w14:paraId="5CE81900" w14:textId="113BBA4C" w:rsidR="00D060EC" w:rsidRPr="0078056B" w:rsidRDefault="00D060EC" w:rsidP="00D060EC">
      <w:r w:rsidRPr="0078056B">
        <w:fldChar w:fldCharType="begin"/>
      </w:r>
      <w:r w:rsidRPr="0078056B">
        <w:instrText xml:space="preserve"> REF _Ref142320133 \r \h </w:instrText>
      </w:r>
      <w:r w:rsidR="0078056B">
        <w:instrText xml:space="preserve"> \* MERGEFORMAT </w:instrText>
      </w:r>
      <w:r w:rsidRPr="0078056B">
        <w:fldChar w:fldCharType="separate"/>
      </w:r>
      <w:r w:rsidR="00E33157">
        <w:t>Table 23</w:t>
      </w:r>
      <w:r w:rsidRPr="0078056B">
        <w:fldChar w:fldCharType="end"/>
      </w:r>
      <w:r w:rsidRPr="0078056B">
        <w:t xml:space="preserve"> presents a detailed breakdown of the 2021-22 non-UK domiciled University of Birmingham cohort, by domicile, level, and mode of study.</w:t>
      </w:r>
    </w:p>
    <w:p w14:paraId="4F13E9BE" w14:textId="346642D5" w:rsidR="00D060EC" w:rsidRPr="0078056B" w:rsidRDefault="00D060EC" w:rsidP="00D060EC">
      <w:pPr>
        <w:pStyle w:val="TableTitle"/>
      </w:pPr>
      <w:bookmarkStart w:id="527" w:name="_Ref142320133"/>
      <w:bookmarkStart w:id="528" w:name="_Toc148543119"/>
      <w:bookmarkStart w:id="529" w:name="_Toc168652178"/>
      <w:r w:rsidRPr="0078056B">
        <w:t>Non-UK domiciled students in the 2021-22 cohort of University of Birmingham students, by level of study, mode of study and domicile</w:t>
      </w:r>
      <w:bookmarkEnd w:id="527"/>
      <w:bookmarkEnd w:id="528"/>
      <w:bookmarkEnd w:id="529"/>
    </w:p>
    <w:tbl>
      <w:tblPr>
        <w:tblW w:w="8844" w:type="dxa"/>
        <w:tblBorders>
          <w:top w:val="single" w:sz="4" w:space="0" w:color="BFBFBF"/>
          <w:bottom w:val="single" w:sz="4" w:space="0" w:color="BFBFBF"/>
          <w:insideH w:val="single" w:sz="4" w:space="0" w:color="BFBFBF"/>
          <w:insideV w:val="single" w:sz="4" w:space="0" w:color="BFBFBF"/>
        </w:tblBorders>
        <w:tblLayout w:type="fixed"/>
        <w:tblCellMar>
          <w:left w:w="0" w:type="dxa"/>
          <w:right w:w="0" w:type="dxa"/>
        </w:tblCellMar>
        <w:tblLook w:val="0620" w:firstRow="1" w:lastRow="0" w:firstColumn="0" w:lastColumn="0" w:noHBand="1" w:noVBand="1"/>
      </w:tblPr>
      <w:tblGrid>
        <w:gridCol w:w="2211"/>
        <w:gridCol w:w="2211"/>
        <w:gridCol w:w="2211"/>
        <w:gridCol w:w="2211"/>
      </w:tblGrid>
      <w:tr w:rsidR="00D060EC" w:rsidRPr="0078056B" w14:paraId="03189004" w14:textId="77777777" w:rsidTr="00C042A1">
        <w:trPr>
          <w:tblHeader/>
        </w:trPr>
        <w:tc>
          <w:tcPr>
            <w:tcW w:w="2211" w:type="dxa"/>
            <w:vMerge w:val="restart"/>
            <w:tcBorders>
              <w:top w:val="single" w:sz="4" w:space="0" w:color="06357A"/>
            </w:tcBorders>
            <w:shd w:val="clear" w:color="auto" w:fill="auto"/>
            <w:vAlign w:val="center"/>
          </w:tcPr>
          <w:p w14:paraId="49FB0892" w14:textId="77777777" w:rsidR="00D060EC" w:rsidRPr="0078056B" w:rsidRDefault="00D060EC" w:rsidP="00C042A1">
            <w:pPr>
              <w:pStyle w:val="TableHeading"/>
              <w:rPr>
                <w:szCs w:val="20"/>
              </w:rPr>
            </w:pPr>
            <w:r w:rsidRPr="0078056B">
              <w:rPr>
                <w:szCs w:val="20"/>
              </w:rPr>
              <w:t>Level and mode of study</w:t>
            </w:r>
          </w:p>
        </w:tc>
        <w:tc>
          <w:tcPr>
            <w:tcW w:w="6633" w:type="dxa"/>
            <w:gridSpan w:val="3"/>
            <w:tcBorders>
              <w:top w:val="single" w:sz="4" w:space="0" w:color="06357A"/>
              <w:bottom w:val="single" w:sz="4" w:space="0" w:color="06357A"/>
            </w:tcBorders>
            <w:shd w:val="clear" w:color="auto" w:fill="auto"/>
            <w:vAlign w:val="center"/>
          </w:tcPr>
          <w:p w14:paraId="3E84AE1E" w14:textId="77777777" w:rsidR="00D060EC" w:rsidRPr="0078056B" w:rsidRDefault="00D060EC" w:rsidP="00C042A1">
            <w:pPr>
              <w:pStyle w:val="TableHeading"/>
              <w:jc w:val="center"/>
              <w:rPr>
                <w:szCs w:val="20"/>
              </w:rPr>
            </w:pPr>
            <w:r w:rsidRPr="0078056B">
              <w:rPr>
                <w:szCs w:val="20"/>
              </w:rPr>
              <w:t>Domicile</w:t>
            </w:r>
          </w:p>
        </w:tc>
      </w:tr>
      <w:tr w:rsidR="00D060EC" w:rsidRPr="0078056B" w14:paraId="529C53D2" w14:textId="77777777" w:rsidTr="00C042A1">
        <w:tc>
          <w:tcPr>
            <w:tcW w:w="2211" w:type="dxa"/>
            <w:vMerge/>
            <w:tcBorders>
              <w:bottom w:val="nil"/>
            </w:tcBorders>
            <w:shd w:val="clear" w:color="auto" w:fill="auto"/>
            <w:vAlign w:val="center"/>
          </w:tcPr>
          <w:p w14:paraId="60599822" w14:textId="77777777" w:rsidR="00D060EC" w:rsidRPr="0078056B" w:rsidRDefault="00D060EC" w:rsidP="00C042A1">
            <w:pPr>
              <w:pStyle w:val="TableText"/>
              <w:rPr>
                <w:szCs w:val="20"/>
              </w:rPr>
            </w:pPr>
          </w:p>
        </w:tc>
        <w:tc>
          <w:tcPr>
            <w:tcW w:w="2211" w:type="dxa"/>
            <w:tcBorders>
              <w:top w:val="single" w:sz="4" w:space="0" w:color="06357A"/>
              <w:bottom w:val="nil"/>
            </w:tcBorders>
            <w:shd w:val="clear" w:color="auto" w:fill="auto"/>
            <w:vAlign w:val="center"/>
          </w:tcPr>
          <w:p w14:paraId="682E3069" w14:textId="77777777" w:rsidR="00D060EC" w:rsidRPr="0078056B" w:rsidRDefault="00D060EC" w:rsidP="00C042A1">
            <w:pPr>
              <w:pStyle w:val="TableHeading"/>
              <w:jc w:val="center"/>
              <w:rPr>
                <w:szCs w:val="20"/>
              </w:rPr>
            </w:pPr>
            <w:r w:rsidRPr="0078056B">
              <w:rPr>
                <w:szCs w:val="20"/>
              </w:rPr>
              <w:t>EU</w:t>
            </w:r>
          </w:p>
        </w:tc>
        <w:tc>
          <w:tcPr>
            <w:tcW w:w="2211" w:type="dxa"/>
            <w:tcBorders>
              <w:top w:val="single" w:sz="4" w:space="0" w:color="06357A"/>
              <w:bottom w:val="nil"/>
            </w:tcBorders>
            <w:shd w:val="clear" w:color="auto" w:fill="auto"/>
            <w:vAlign w:val="center"/>
          </w:tcPr>
          <w:p w14:paraId="4F0417BE" w14:textId="77777777" w:rsidR="00D060EC" w:rsidRPr="0078056B" w:rsidRDefault="00D060EC" w:rsidP="00C042A1">
            <w:pPr>
              <w:pStyle w:val="TableHeading"/>
              <w:jc w:val="center"/>
              <w:rPr>
                <w:szCs w:val="20"/>
              </w:rPr>
            </w:pPr>
            <w:r w:rsidRPr="0078056B">
              <w:rPr>
                <w:szCs w:val="20"/>
              </w:rPr>
              <w:t>Non-EU</w:t>
            </w:r>
          </w:p>
        </w:tc>
        <w:tc>
          <w:tcPr>
            <w:tcW w:w="2211" w:type="dxa"/>
            <w:tcBorders>
              <w:top w:val="single" w:sz="4" w:space="0" w:color="06357A"/>
              <w:bottom w:val="nil"/>
            </w:tcBorders>
            <w:shd w:val="clear" w:color="auto" w:fill="auto"/>
            <w:vAlign w:val="center"/>
          </w:tcPr>
          <w:p w14:paraId="6B0FA791" w14:textId="77777777" w:rsidR="00D060EC" w:rsidRPr="0078056B" w:rsidRDefault="00D060EC" w:rsidP="00C042A1">
            <w:pPr>
              <w:pStyle w:val="TableHeading"/>
              <w:jc w:val="center"/>
              <w:rPr>
                <w:szCs w:val="20"/>
              </w:rPr>
            </w:pPr>
            <w:r w:rsidRPr="0078056B">
              <w:rPr>
                <w:szCs w:val="20"/>
              </w:rPr>
              <w:t>Total</w:t>
            </w:r>
          </w:p>
        </w:tc>
      </w:tr>
      <w:tr w:rsidR="00D060EC" w:rsidRPr="0078056B" w14:paraId="4172B7A0" w14:textId="77777777" w:rsidTr="00D060EC">
        <w:tc>
          <w:tcPr>
            <w:tcW w:w="8844" w:type="dxa"/>
            <w:gridSpan w:val="4"/>
            <w:tcBorders>
              <w:top w:val="nil"/>
              <w:bottom w:val="nil"/>
            </w:tcBorders>
            <w:shd w:val="clear" w:color="auto" w:fill="06357A" w:themeFill="text2"/>
            <w:vAlign w:val="center"/>
          </w:tcPr>
          <w:p w14:paraId="524879BA" w14:textId="77777777" w:rsidR="00D060EC" w:rsidRPr="0078056B" w:rsidRDefault="00D060EC" w:rsidP="00C042A1">
            <w:pPr>
              <w:pStyle w:val="TableText"/>
              <w:rPr>
                <w:b/>
                <w:bCs/>
                <w:szCs w:val="20"/>
              </w:rPr>
            </w:pPr>
            <w:r w:rsidRPr="0078056B">
              <w:rPr>
                <w:b/>
                <w:bCs/>
                <w:color w:val="FFFFFF" w:themeColor="background1"/>
                <w:szCs w:val="20"/>
              </w:rPr>
              <w:t>Full-time</w:t>
            </w:r>
          </w:p>
        </w:tc>
      </w:tr>
      <w:tr w:rsidR="00DD10BA" w:rsidRPr="0078056B" w14:paraId="2A1CADDB" w14:textId="77777777" w:rsidTr="00C042A1">
        <w:tc>
          <w:tcPr>
            <w:tcW w:w="2211" w:type="dxa"/>
            <w:tcBorders>
              <w:top w:val="nil"/>
            </w:tcBorders>
            <w:shd w:val="clear" w:color="auto" w:fill="auto"/>
            <w:vAlign w:val="center"/>
          </w:tcPr>
          <w:p w14:paraId="68FB53E8" w14:textId="77777777" w:rsidR="00DD10BA" w:rsidRPr="0078056B" w:rsidRDefault="00DD10BA" w:rsidP="00DD10BA">
            <w:pPr>
              <w:pStyle w:val="TableText"/>
              <w:rPr>
                <w:szCs w:val="20"/>
              </w:rPr>
            </w:pPr>
            <w:r w:rsidRPr="0078056B">
              <w:rPr>
                <w:szCs w:val="20"/>
              </w:rPr>
              <w:t>Other undergraduate</w:t>
            </w:r>
          </w:p>
        </w:tc>
        <w:tc>
          <w:tcPr>
            <w:tcW w:w="2211" w:type="dxa"/>
            <w:tcBorders>
              <w:top w:val="nil"/>
            </w:tcBorders>
            <w:shd w:val="clear" w:color="auto" w:fill="auto"/>
            <w:vAlign w:val="center"/>
          </w:tcPr>
          <w:p w14:paraId="0CCEE2DF" w14:textId="7A0027C7" w:rsidR="00DD10BA" w:rsidRPr="0078056B" w:rsidRDefault="00DD10BA" w:rsidP="00DD10BA">
            <w:pPr>
              <w:pStyle w:val="TableText"/>
              <w:jc w:val="center"/>
              <w:rPr>
                <w:szCs w:val="20"/>
              </w:rPr>
            </w:pPr>
            <w:bookmarkStart w:id="530" w:name="RANGE!E7"/>
            <w:r w:rsidRPr="0078056B">
              <w:rPr>
                <w:rFonts w:eastAsia="Calibri" w:cs="Calibri"/>
                <w:szCs w:val="20"/>
              </w:rPr>
              <w:t>0</w:t>
            </w:r>
            <w:bookmarkEnd w:id="530"/>
          </w:p>
        </w:tc>
        <w:tc>
          <w:tcPr>
            <w:tcW w:w="2211" w:type="dxa"/>
            <w:tcBorders>
              <w:top w:val="nil"/>
            </w:tcBorders>
            <w:shd w:val="clear" w:color="auto" w:fill="auto"/>
            <w:vAlign w:val="center"/>
          </w:tcPr>
          <w:p w14:paraId="77E23497" w14:textId="7302ED3C" w:rsidR="00DD10BA" w:rsidRPr="0078056B" w:rsidRDefault="00DD10BA" w:rsidP="00DD10BA">
            <w:pPr>
              <w:pStyle w:val="TableText"/>
              <w:jc w:val="center"/>
              <w:rPr>
                <w:szCs w:val="20"/>
              </w:rPr>
            </w:pPr>
            <w:r w:rsidRPr="0078056B">
              <w:rPr>
                <w:rFonts w:cs="Calibri"/>
                <w:szCs w:val="20"/>
              </w:rPr>
              <w:t>120</w:t>
            </w:r>
          </w:p>
        </w:tc>
        <w:tc>
          <w:tcPr>
            <w:tcW w:w="2211" w:type="dxa"/>
            <w:tcBorders>
              <w:top w:val="nil"/>
            </w:tcBorders>
            <w:shd w:val="clear" w:color="auto" w:fill="auto"/>
            <w:vAlign w:val="center"/>
          </w:tcPr>
          <w:p w14:paraId="3C086BCF" w14:textId="5253FF05" w:rsidR="00DD10BA" w:rsidRPr="0078056B" w:rsidRDefault="00DD10BA" w:rsidP="00DD10BA">
            <w:pPr>
              <w:pStyle w:val="TableHeading"/>
              <w:jc w:val="center"/>
              <w:rPr>
                <w:color w:val="06357A" w:themeColor="text2"/>
                <w:szCs w:val="20"/>
              </w:rPr>
            </w:pPr>
            <w:r w:rsidRPr="0078056B">
              <w:rPr>
                <w:rFonts w:cs="Calibri"/>
                <w:color w:val="06357A" w:themeColor="text2"/>
                <w:szCs w:val="20"/>
              </w:rPr>
              <w:t>120</w:t>
            </w:r>
          </w:p>
        </w:tc>
      </w:tr>
      <w:tr w:rsidR="00DD10BA" w:rsidRPr="0078056B" w14:paraId="140AC88D" w14:textId="77777777" w:rsidTr="00C042A1">
        <w:tc>
          <w:tcPr>
            <w:tcW w:w="2211" w:type="dxa"/>
            <w:shd w:val="clear" w:color="auto" w:fill="auto"/>
            <w:vAlign w:val="center"/>
          </w:tcPr>
          <w:p w14:paraId="2946733E" w14:textId="77777777" w:rsidR="00DD10BA" w:rsidRPr="0078056B" w:rsidRDefault="00DD10BA" w:rsidP="00DD10BA">
            <w:pPr>
              <w:pStyle w:val="TableText"/>
              <w:rPr>
                <w:szCs w:val="20"/>
              </w:rPr>
            </w:pPr>
            <w:r w:rsidRPr="0078056B">
              <w:rPr>
                <w:szCs w:val="20"/>
              </w:rPr>
              <w:t>First degree</w:t>
            </w:r>
          </w:p>
        </w:tc>
        <w:tc>
          <w:tcPr>
            <w:tcW w:w="2211" w:type="dxa"/>
            <w:shd w:val="clear" w:color="auto" w:fill="auto"/>
            <w:vAlign w:val="center"/>
          </w:tcPr>
          <w:p w14:paraId="0EBFCC58" w14:textId="7B6B5621" w:rsidR="00DD10BA" w:rsidRPr="0078056B" w:rsidRDefault="00DD10BA" w:rsidP="00DD10BA">
            <w:pPr>
              <w:pStyle w:val="TableText"/>
              <w:jc w:val="center"/>
              <w:rPr>
                <w:szCs w:val="20"/>
              </w:rPr>
            </w:pPr>
            <w:r w:rsidRPr="0078056B">
              <w:rPr>
                <w:rFonts w:cs="Calibri"/>
                <w:szCs w:val="20"/>
              </w:rPr>
              <w:t>50</w:t>
            </w:r>
          </w:p>
        </w:tc>
        <w:tc>
          <w:tcPr>
            <w:tcW w:w="2211" w:type="dxa"/>
            <w:shd w:val="clear" w:color="auto" w:fill="auto"/>
            <w:vAlign w:val="center"/>
          </w:tcPr>
          <w:p w14:paraId="6F0F15FF" w14:textId="5FD41EBB" w:rsidR="00DD10BA" w:rsidRPr="0078056B" w:rsidRDefault="00DD10BA" w:rsidP="00DD10BA">
            <w:pPr>
              <w:pStyle w:val="TableText"/>
              <w:jc w:val="center"/>
              <w:rPr>
                <w:szCs w:val="20"/>
              </w:rPr>
            </w:pPr>
            <w:r w:rsidRPr="0078056B">
              <w:rPr>
                <w:rFonts w:cs="Calibri"/>
                <w:szCs w:val="20"/>
              </w:rPr>
              <w:t>1,385</w:t>
            </w:r>
          </w:p>
        </w:tc>
        <w:tc>
          <w:tcPr>
            <w:tcW w:w="2211" w:type="dxa"/>
            <w:shd w:val="clear" w:color="auto" w:fill="auto"/>
            <w:vAlign w:val="center"/>
          </w:tcPr>
          <w:p w14:paraId="30CBC329" w14:textId="67ABD7C1" w:rsidR="00DD10BA" w:rsidRPr="0078056B" w:rsidRDefault="00DD10BA" w:rsidP="00DD10BA">
            <w:pPr>
              <w:pStyle w:val="TableHeading"/>
              <w:jc w:val="center"/>
              <w:rPr>
                <w:color w:val="06357A" w:themeColor="text2"/>
                <w:szCs w:val="20"/>
              </w:rPr>
            </w:pPr>
            <w:r w:rsidRPr="0078056B">
              <w:rPr>
                <w:rFonts w:cs="Calibri"/>
                <w:color w:val="06357A" w:themeColor="text2"/>
                <w:szCs w:val="20"/>
              </w:rPr>
              <w:t>1,435</w:t>
            </w:r>
          </w:p>
        </w:tc>
      </w:tr>
      <w:tr w:rsidR="00DD10BA" w:rsidRPr="0078056B" w14:paraId="0A1A4E6A" w14:textId="77777777" w:rsidTr="00C042A1">
        <w:tc>
          <w:tcPr>
            <w:tcW w:w="2211" w:type="dxa"/>
            <w:shd w:val="clear" w:color="auto" w:fill="auto"/>
            <w:vAlign w:val="center"/>
          </w:tcPr>
          <w:p w14:paraId="7CBC75BA" w14:textId="77777777" w:rsidR="00DD10BA" w:rsidRPr="0078056B" w:rsidRDefault="00DD10BA" w:rsidP="00DD10BA">
            <w:pPr>
              <w:pStyle w:val="TableText"/>
              <w:rPr>
                <w:szCs w:val="20"/>
              </w:rPr>
            </w:pPr>
            <w:r w:rsidRPr="0078056B">
              <w:rPr>
                <w:szCs w:val="20"/>
              </w:rPr>
              <w:t xml:space="preserve">Other postgraduate </w:t>
            </w:r>
          </w:p>
        </w:tc>
        <w:tc>
          <w:tcPr>
            <w:tcW w:w="2211" w:type="dxa"/>
            <w:shd w:val="clear" w:color="auto" w:fill="auto"/>
            <w:vAlign w:val="center"/>
          </w:tcPr>
          <w:p w14:paraId="64FD5CB9" w14:textId="4680EF90" w:rsidR="00DD10BA" w:rsidRPr="0078056B" w:rsidRDefault="00DD10BA" w:rsidP="00DD10BA">
            <w:pPr>
              <w:pStyle w:val="TableText"/>
              <w:jc w:val="center"/>
              <w:rPr>
                <w:szCs w:val="20"/>
              </w:rPr>
            </w:pPr>
            <w:r w:rsidRPr="0078056B">
              <w:rPr>
                <w:rFonts w:cs="Calibri"/>
                <w:szCs w:val="20"/>
              </w:rPr>
              <w:t>5</w:t>
            </w:r>
          </w:p>
        </w:tc>
        <w:tc>
          <w:tcPr>
            <w:tcW w:w="2211" w:type="dxa"/>
            <w:shd w:val="clear" w:color="auto" w:fill="auto"/>
            <w:vAlign w:val="center"/>
          </w:tcPr>
          <w:p w14:paraId="66DB24A8" w14:textId="5B734918" w:rsidR="00DD10BA" w:rsidRPr="0078056B" w:rsidRDefault="00DD10BA" w:rsidP="00DD10BA">
            <w:pPr>
              <w:pStyle w:val="TableText"/>
              <w:jc w:val="center"/>
              <w:rPr>
                <w:szCs w:val="20"/>
              </w:rPr>
            </w:pPr>
            <w:r w:rsidRPr="0078056B">
              <w:rPr>
                <w:rFonts w:cs="Calibri"/>
                <w:szCs w:val="20"/>
              </w:rPr>
              <w:t>10</w:t>
            </w:r>
          </w:p>
        </w:tc>
        <w:tc>
          <w:tcPr>
            <w:tcW w:w="2211" w:type="dxa"/>
            <w:shd w:val="clear" w:color="auto" w:fill="auto"/>
            <w:vAlign w:val="center"/>
          </w:tcPr>
          <w:p w14:paraId="001A401D" w14:textId="70C7F921" w:rsidR="00DD10BA" w:rsidRPr="0078056B" w:rsidRDefault="00DD10BA" w:rsidP="00DD10BA">
            <w:pPr>
              <w:pStyle w:val="TableHeading"/>
              <w:jc w:val="center"/>
              <w:rPr>
                <w:color w:val="06357A" w:themeColor="text2"/>
                <w:szCs w:val="20"/>
              </w:rPr>
            </w:pPr>
            <w:r w:rsidRPr="0078056B">
              <w:rPr>
                <w:rFonts w:cs="Calibri"/>
                <w:color w:val="06357A" w:themeColor="text2"/>
                <w:szCs w:val="20"/>
              </w:rPr>
              <w:t>15</w:t>
            </w:r>
          </w:p>
        </w:tc>
      </w:tr>
      <w:tr w:rsidR="00DD10BA" w:rsidRPr="0078056B" w14:paraId="37F5BEDE" w14:textId="77777777" w:rsidTr="00C042A1">
        <w:tc>
          <w:tcPr>
            <w:tcW w:w="2211" w:type="dxa"/>
            <w:shd w:val="clear" w:color="auto" w:fill="auto"/>
            <w:vAlign w:val="center"/>
          </w:tcPr>
          <w:p w14:paraId="2E3EDCA0" w14:textId="77777777" w:rsidR="00DD10BA" w:rsidRPr="0078056B" w:rsidRDefault="00DD10BA" w:rsidP="00DD10BA">
            <w:pPr>
              <w:pStyle w:val="TableText"/>
              <w:rPr>
                <w:szCs w:val="20"/>
              </w:rPr>
            </w:pPr>
            <w:r w:rsidRPr="0078056B">
              <w:rPr>
                <w:szCs w:val="20"/>
              </w:rPr>
              <w:t>Higher degree (taught)</w:t>
            </w:r>
          </w:p>
        </w:tc>
        <w:tc>
          <w:tcPr>
            <w:tcW w:w="2211" w:type="dxa"/>
            <w:shd w:val="clear" w:color="auto" w:fill="auto"/>
            <w:vAlign w:val="center"/>
          </w:tcPr>
          <w:p w14:paraId="3CA2BD1C" w14:textId="42AD57E8" w:rsidR="00DD10BA" w:rsidRPr="0078056B" w:rsidRDefault="00DD10BA" w:rsidP="00DD10BA">
            <w:pPr>
              <w:pStyle w:val="TableText"/>
              <w:jc w:val="center"/>
              <w:rPr>
                <w:szCs w:val="20"/>
              </w:rPr>
            </w:pPr>
            <w:r w:rsidRPr="0078056B">
              <w:rPr>
                <w:rFonts w:cs="Calibri"/>
                <w:szCs w:val="20"/>
              </w:rPr>
              <w:t>60</w:t>
            </w:r>
          </w:p>
        </w:tc>
        <w:tc>
          <w:tcPr>
            <w:tcW w:w="2211" w:type="dxa"/>
            <w:shd w:val="clear" w:color="auto" w:fill="auto"/>
            <w:vAlign w:val="center"/>
          </w:tcPr>
          <w:p w14:paraId="4A3DA158" w14:textId="0F122EEF" w:rsidR="00DD10BA" w:rsidRPr="0078056B" w:rsidRDefault="00DD10BA" w:rsidP="00DD10BA">
            <w:pPr>
              <w:pStyle w:val="TableText"/>
              <w:jc w:val="center"/>
              <w:rPr>
                <w:szCs w:val="20"/>
              </w:rPr>
            </w:pPr>
            <w:r w:rsidRPr="0078056B">
              <w:rPr>
                <w:rFonts w:cs="Calibri"/>
                <w:szCs w:val="20"/>
              </w:rPr>
              <w:t>3,000</w:t>
            </w:r>
          </w:p>
        </w:tc>
        <w:tc>
          <w:tcPr>
            <w:tcW w:w="2211" w:type="dxa"/>
            <w:shd w:val="clear" w:color="auto" w:fill="auto"/>
            <w:vAlign w:val="center"/>
          </w:tcPr>
          <w:p w14:paraId="396377BF" w14:textId="479F3D86" w:rsidR="00DD10BA" w:rsidRPr="0078056B" w:rsidRDefault="00DD10BA" w:rsidP="00DD10BA">
            <w:pPr>
              <w:pStyle w:val="TableHeading"/>
              <w:jc w:val="center"/>
              <w:rPr>
                <w:color w:val="06357A" w:themeColor="text2"/>
                <w:szCs w:val="20"/>
              </w:rPr>
            </w:pPr>
            <w:r w:rsidRPr="0078056B">
              <w:rPr>
                <w:rFonts w:cs="Calibri"/>
                <w:color w:val="06357A" w:themeColor="text2"/>
                <w:szCs w:val="20"/>
              </w:rPr>
              <w:t>3,060</w:t>
            </w:r>
          </w:p>
        </w:tc>
      </w:tr>
      <w:tr w:rsidR="00DD10BA" w:rsidRPr="0078056B" w14:paraId="7E59433A" w14:textId="77777777" w:rsidTr="00C042A1">
        <w:tc>
          <w:tcPr>
            <w:tcW w:w="2211" w:type="dxa"/>
            <w:shd w:val="clear" w:color="auto" w:fill="auto"/>
            <w:vAlign w:val="center"/>
          </w:tcPr>
          <w:p w14:paraId="69A81460" w14:textId="77777777" w:rsidR="00DD10BA" w:rsidRPr="0078056B" w:rsidRDefault="00DD10BA" w:rsidP="00DD10BA">
            <w:pPr>
              <w:pStyle w:val="TableText"/>
              <w:rPr>
                <w:szCs w:val="20"/>
              </w:rPr>
            </w:pPr>
            <w:r w:rsidRPr="0078056B">
              <w:rPr>
                <w:szCs w:val="20"/>
              </w:rPr>
              <w:t xml:space="preserve">Higher degree (research) </w:t>
            </w:r>
          </w:p>
        </w:tc>
        <w:tc>
          <w:tcPr>
            <w:tcW w:w="2211" w:type="dxa"/>
            <w:shd w:val="clear" w:color="auto" w:fill="auto"/>
            <w:vAlign w:val="center"/>
          </w:tcPr>
          <w:p w14:paraId="70229CE2" w14:textId="43080815" w:rsidR="00DD10BA" w:rsidRPr="0078056B" w:rsidRDefault="00DD10BA" w:rsidP="00DD10BA">
            <w:pPr>
              <w:pStyle w:val="TableText"/>
              <w:jc w:val="center"/>
              <w:rPr>
                <w:szCs w:val="20"/>
              </w:rPr>
            </w:pPr>
            <w:r w:rsidRPr="0078056B">
              <w:rPr>
                <w:rFonts w:cs="Calibri"/>
                <w:szCs w:val="20"/>
              </w:rPr>
              <w:t>10</w:t>
            </w:r>
          </w:p>
        </w:tc>
        <w:tc>
          <w:tcPr>
            <w:tcW w:w="2211" w:type="dxa"/>
            <w:shd w:val="clear" w:color="auto" w:fill="auto"/>
            <w:vAlign w:val="center"/>
          </w:tcPr>
          <w:p w14:paraId="7AE98D86" w14:textId="262AF5A2" w:rsidR="00DD10BA" w:rsidRPr="0078056B" w:rsidRDefault="00DD10BA" w:rsidP="00DD10BA">
            <w:pPr>
              <w:pStyle w:val="TableText"/>
              <w:jc w:val="center"/>
              <w:rPr>
                <w:szCs w:val="20"/>
              </w:rPr>
            </w:pPr>
            <w:r w:rsidRPr="0078056B">
              <w:rPr>
                <w:rFonts w:cs="Calibri"/>
                <w:szCs w:val="20"/>
              </w:rPr>
              <w:t>265</w:t>
            </w:r>
          </w:p>
        </w:tc>
        <w:tc>
          <w:tcPr>
            <w:tcW w:w="2211" w:type="dxa"/>
            <w:shd w:val="clear" w:color="auto" w:fill="auto"/>
            <w:vAlign w:val="center"/>
          </w:tcPr>
          <w:p w14:paraId="6CE73E98" w14:textId="591DFFD2" w:rsidR="00DD10BA" w:rsidRPr="0078056B" w:rsidRDefault="00DD10BA" w:rsidP="00DD10BA">
            <w:pPr>
              <w:pStyle w:val="TableHeading"/>
              <w:jc w:val="center"/>
              <w:rPr>
                <w:color w:val="06357A" w:themeColor="text2"/>
                <w:szCs w:val="20"/>
              </w:rPr>
            </w:pPr>
            <w:r w:rsidRPr="0078056B">
              <w:rPr>
                <w:rFonts w:cs="Calibri"/>
                <w:color w:val="06357A" w:themeColor="text2"/>
                <w:szCs w:val="20"/>
              </w:rPr>
              <w:t>275</w:t>
            </w:r>
          </w:p>
        </w:tc>
      </w:tr>
      <w:tr w:rsidR="00DD10BA" w:rsidRPr="0078056B" w14:paraId="09E58E4A" w14:textId="77777777" w:rsidTr="00C042A1">
        <w:tc>
          <w:tcPr>
            <w:tcW w:w="2211" w:type="dxa"/>
            <w:tcBorders>
              <w:bottom w:val="nil"/>
            </w:tcBorders>
            <w:shd w:val="clear" w:color="auto" w:fill="auto"/>
            <w:vAlign w:val="center"/>
          </w:tcPr>
          <w:p w14:paraId="41750B92" w14:textId="77777777" w:rsidR="00DD10BA" w:rsidRPr="0078056B" w:rsidRDefault="00DD10BA" w:rsidP="00DD10BA">
            <w:pPr>
              <w:pStyle w:val="TableHeading"/>
              <w:rPr>
                <w:szCs w:val="20"/>
              </w:rPr>
            </w:pPr>
            <w:r w:rsidRPr="0078056B">
              <w:rPr>
                <w:szCs w:val="20"/>
              </w:rPr>
              <w:t>Total</w:t>
            </w:r>
          </w:p>
        </w:tc>
        <w:tc>
          <w:tcPr>
            <w:tcW w:w="2211" w:type="dxa"/>
            <w:tcBorders>
              <w:bottom w:val="nil"/>
            </w:tcBorders>
            <w:shd w:val="clear" w:color="auto" w:fill="auto"/>
            <w:vAlign w:val="center"/>
          </w:tcPr>
          <w:p w14:paraId="4249B17C" w14:textId="6EEC0F6D" w:rsidR="00DD10BA" w:rsidRPr="0078056B" w:rsidRDefault="00DD10BA" w:rsidP="00DD10BA">
            <w:pPr>
              <w:pStyle w:val="TableHeading"/>
              <w:jc w:val="center"/>
              <w:rPr>
                <w:color w:val="06357A" w:themeColor="text2"/>
                <w:szCs w:val="20"/>
              </w:rPr>
            </w:pPr>
            <w:r w:rsidRPr="0078056B">
              <w:rPr>
                <w:rFonts w:cs="Calibri"/>
                <w:color w:val="06357A" w:themeColor="text2"/>
                <w:szCs w:val="20"/>
              </w:rPr>
              <w:t>125</w:t>
            </w:r>
          </w:p>
        </w:tc>
        <w:tc>
          <w:tcPr>
            <w:tcW w:w="2211" w:type="dxa"/>
            <w:tcBorders>
              <w:bottom w:val="nil"/>
            </w:tcBorders>
            <w:shd w:val="clear" w:color="auto" w:fill="auto"/>
            <w:vAlign w:val="center"/>
          </w:tcPr>
          <w:p w14:paraId="202ACCE6" w14:textId="7118B744" w:rsidR="00DD10BA" w:rsidRPr="0078056B" w:rsidRDefault="00DD10BA" w:rsidP="00DD10BA">
            <w:pPr>
              <w:pStyle w:val="TableHeading"/>
              <w:jc w:val="center"/>
              <w:rPr>
                <w:color w:val="06357A" w:themeColor="text2"/>
                <w:szCs w:val="20"/>
              </w:rPr>
            </w:pPr>
            <w:r w:rsidRPr="0078056B">
              <w:rPr>
                <w:rFonts w:cs="Calibri"/>
                <w:color w:val="06357A" w:themeColor="text2"/>
                <w:szCs w:val="20"/>
              </w:rPr>
              <w:t>4,780</w:t>
            </w:r>
          </w:p>
        </w:tc>
        <w:tc>
          <w:tcPr>
            <w:tcW w:w="2211" w:type="dxa"/>
            <w:tcBorders>
              <w:bottom w:val="nil"/>
            </w:tcBorders>
            <w:shd w:val="clear" w:color="auto" w:fill="auto"/>
            <w:vAlign w:val="center"/>
          </w:tcPr>
          <w:p w14:paraId="250347C8" w14:textId="5C3B907B" w:rsidR="00DD10BA" w:rsidRPr="0078056B" w:rsidRDefault="00DD10BA" w:rsidP="00DD10BA">
            <w:pPr>
              <w:pStyle w:val="TableHeading"/>
              <w:jc w:val="center"/>
              <w:rPr>
                <w:color w:val="06357A" w:themeColor="text2"/>
                <w:szCs w:val="20"/>
              </w:rPr>
            </w:pPr>
            <w:r w:rsidRPr="0078056B">
              <w:rPr>
                <w:rFonts w:cs="Calibri"/>
                <w:color w:val="06357A" w:themeColor="text2"/>
                <w:szCs w:val="20"/>
              </w:rPr>
              <w:t>4,905</w:t>
            </w:r>
          </w:p>
        </w:tc>
      </w:tr>
      <w:tr w:rsidR="00DD10BA" w:rsidRPr="0078056B" w14:paraId="2B4F00C9" w14:textId="77777777" w:rsidTr="00D060EC">
        <w:tc>
          <w:tcPr>
            <w:tcW w:w="8844" w:type="dxa"/>
            <w:gridSpan w:val="4"/>
            <w:tcBorders>
              <w:top w:val="nil"/>
              <w:bottom w:val="nil"/>
            </w:tcBorders>
            <w:shd w:val="clear" w:color="auto" w:fill="06357A" w:themeFill="text2"/>
            <w:vAlign w:val="center"/>
          </w:tcPr>
          <w:p w14:paraId="46905D10" w14:textId="7FC12047" w:rsidR="00DD10BA" w:rsidRPr="0078056B" w:rsidRDefault="00DD10BA" w:rsidP="00DD10BA">
            <w:pPr>
              <w:pStyle w:val="TableHeading"/>
              <w:rPr>
                <w:color w:val="06357A" w:themeColor="text2"/>
                <w:szCs w:val="20"/>
              </w:rPr>
            </w:pPr>
          </w:p>
        </w:tc>
      </w:tr>
      <w:tr w:rsidR="00DD10BA" w:rsidRPr="0078056B" w14:paraId="16722A70" w14:textId="77777777" w:rsidTr="00C042A1">
        <w:tc>
          <w:tcPr>
            <w:tcW w:w="2211" w:type="dxa"/>
            <w:tcBorders>
              <w:top w:val="nil"/>
            </w:tcBorders>
            <w:shd w:val="clear" w:color="auto" w:fill="auto"/>
            <w:vAlign w:val="center"/>
          </w:tcPr>
          <w:p w14:paraId="10DDEDEC" w14:textId="77777777" w:rsidR="00DD10BA" w:rsidRPr="0078056B" w:rsidRDefault="00DD10BA" w:rsidP="00DD10BA">
            <w:pPr>
              <w:pStyle w:val="TableText"/>
              <w:rPr>
                <w:szCs w:val="20"/>
              </w:rPr>
            </w:pPr>
            <w:r w:rsidRPr="0078056B">
              <w:rPr>
                <w:szCs w:val="20"/>
              </w:rPr>
              <w:t>Other undergraduate</w:t>
            </w:r>
          </w:p>
        </w:tc>
        <w:tc>
          <w:tcPr>
            <w:tcW w:w="2211" w:type="dxa"/>
            <w:tcBorders>
              <w:top w:val="nil"/>
            </w:tcBorders>
            <w:shd w:val="clear" w:color="auto" w:fill="auto"/>
            <w:vAlign w:val="center"/>
          </w:tcPr>
          <w:p w14:paraId="2CFD347A" w14:textId="7422A45C" w:rsidR="00DD10BA" w:rsidRPr="0078056B" w:rsidRDefault="00DD10BA" w:rsidP="00DD10BA">
            <w:pPr>
              <w:pStyle w:val="TableText"/>
              <w:jc w:val="center"/>
              <w:rPr>
                <w:szCs w:val="20"/>
              </w:rPr>
            </w:pPr>
            <w:r w:rsidRPr="0078056B">
              <w:rPr>
                <w:rFonts w:cs="Calibri"/>
                <w:color w:val="000000"/>
                <w:szCs w:val="20"/>
              </w:rPr>
              <w:t>20</w:t>
            </w:r>
          </w:p>
        </w:tc>
        <w:tc>
          <w:tcPr>
            <w:tcW w:w="2211" w:type="dxa"/>
            <w:tcBorders>
              <w:top w:val="nil"/>
            </w:tcBorders>
            <w:shd w:val="clear" w:color="auto" w:fill="auto"/>
            <w:vAlign w:val="center"/>
          </w:tcPr>
          <w:p w14:paraId="08D2F993" w14:textId="700849EA" w:rsidR="00DD10BA" w:rsidRPr="0078056B" w:rsidRDefault="00DD10BA" w:rsidP="00DD10BA">
            <w:pPr>
              <w:pStyle w:val="TableText"/>
              <w:jc w:val="center"/>
              <w:rPr>
                <w:szCs w:val="20"/>
              </w:rPr>
            </w:pPr>
            <w:r w:rsidRPr="0078056B">
              <w:rPr>
                <w:rFonts w:cs="Calibri"/>
                <w:color w:val="000000"/>
                <w:szCs w:val="20"/>
              </w:rPr>
              <w:t>10</w:t>
            </w:r>
          </w:p>
        </w:tc>
        <w:tc>
          <w:tcPr>
            <w:tcW w:w="2211" w:type="dxa"/>
            <w:tcBorders>
              <w:top w:val="nil"/>
            </w:tcBorders>
            <w:shd w:val="clear" w:color="auto" w:fill="auto"/>
            <w:vAlign w:val="center"/>
          </w:tcPr>
          <w:p w14:paraId="20BD3A4C" w14:textId="090896D0" w:rsidR="00DD10BA" w:rsidRPr="0078056B" w:rsidRDefault="00DD10BA" w:rsidP="00DD10BA">
            <w:pPr>
              <w:pStyle w:val="TableHeading"/>
              <w:jc w:val="center"/>
              <w:rPr>
                <w:color w:val="06357A" w:themeColor="text2"/>
                <w:szCs w:val="20"/>
              </w:rPr>
            </w:pPr>
            <w:r w:rsidRPr="0078056B">
              <w:rPr>
                <w:rFonts w:cs="Calibri"/>
                <w:color w:val="06357A" w:themeColor="text2"/>
                <w:szCs w:val="20"/>
              </w:rPr>
              <w:t>30</w:t>
            </w:r>
          </w:p>
        </w:tc>
      </w:tr>
      <w:tr w:rsidR="00DD10BA" w:rsidRPr="0078056B" w14:paraId="155CDAB1" w14:textId="77777777" w:rsidTr="00C042A1">
        <w:tc>
          <w:tcPr>
            <w:tcW w:w="2211" w:type="dxa"/>
            <w:shd w:val="clear" w:color="auto" w:fill="auto"/>
            <w:vAlign w:val="center"/>
          </w:tcPr>
          <w:p w14:paraId="34D2C056" w14:textId="77777777" w:rsidR="00DD10BA" w:rsidRPr="0078056B" w:rsidRDefault="00DD10BA" w:rsidP="00DD10BA">
            <w:pPr>
              <w:pStyle w:val="TableText"/>
              <w:rPr>
                <w:szCs w:val="20"/>
              </w:rPr>
            </w:pPr>
            <w:r w:rsidRPr="0078056B">
              <w:rPr>
                <w:szCs w:val="20"/>
              </w:rPr>
              <w:t>First degree</w:t>
            </w:r>
          </w:p>
        </w:tc>
        <w:tc>
          <w:tcPr>
            <w:tcW w:w="2211" w:type="dxa"/>
            <w:shd w:val="clear" w:color="auto" w:fill="auto"/>
            <w:vAlign w:val="center"/>
          </w:tcPr>
          <w:p w14:paraId="14297F2F" w14:textId="298E6655" w:rsidR="00DD10BA" w:rsidRPr="0078056B" w:rsidRDefault="00DD10BA" w:rsidP="00DD10BA">
            <w:pPr>
              <w:pStyle w:val="TableText"/>
              <w:jc w:val="center"/>
              <w:rPr>
                <w:szCs w:val="20"/>
              </w:rPr>
            </w:pPr>
            <w:r w:rsidRPr="0078056B">
              <w:rPr>
                <w:rFonts w:cs="Calibri"/>
                <w:color w:val="000000"/>
                <w:szCs w:val="20"/>
              </w:rPr>
              <w:t>0</w:t>
            </w:r>
          </w:p>
        </w:tc>
        <w:tc>
          <w:tcPr>
            <w:tcW w:w="2211" w:type="dxa"/>
            <w:shd w:val="clear" w:color="auto" w:fill="auto"/>
            <w:vAlign w:val="center"/>
          </w:tcPr>
          <w:p w14:paraId="1700DCAF" w14:textId="56F88A44" w:rsidR="00DD10BA" w:rsidRPr="0078056B" w:rsidRDefault="00DD10BA" w:rsidP="00DD10BA">
            <w:pPr>
              <w:pStyle w:val="TableText"/>
              <w:jc w:val="center"/>
              <w:rPr>
                <w:szCs w:val="20"/>
              </w:rPr>
            </w:pPr>
            <w:r w:rsidRPr="0078056B">
              <w:rPr>
                <w:rFonts w:cs="Calibri"/>
                <w:color w:val="000000"/>
                <w:szCs w:val="20"/>
              </w:rPr>
              <w:t>0</w:t>
            </w:r>
          </w:p>
        </w:tc>
        <w:tc>
          <w:tcPr>
            <w:tcW w:w="2211" w:type="dxa"/>
            <w:shd w:val="clear" w:color="auto" w:fill="auto"/>
            <w:vAlign w:val="center"/>
          </w:tcPr>
          <w:p w14:paraId="171ED84E" w14:textId="17DD462C" w:rsidR="00DD10BA" w:rsidRPr="0078056B" w:rsidRDefault="00DD10BA" w:rsidP="00DD10BA">
            <w:pPr>
              <w:pStyle w:val="TableHeading"/>
              <w:jc w:val="center"/>
              <w:rPr>
                <w:color w:val="06357A" w:themeColor="text2"/>
                <w:szCs w:val="20"/>
              </w:rPr>
            </w:pPr>
            <w:r w:rsidRPr="0078056B">
              <w:rPr>
                <w:rFonts w:cs="Calibri"/>
                <w:color w:val="06357A" w:themeColor="text2"/>
                <w:szCs w:val="20"/>
              </w:rPr>
              <w:t>0</w:t>
            </w:r>
          </w:p>
        </w:tc>
      </w:tr>
      <w:tr w:rsidR="00DD10BA" w:rsidRPr="0078056B" w14:paraId="4F2248F8" w14:textId="77777777" w:rsidTr="00C042A1">
        <w:tc>
          <w:tcPr>
            <w:tcW w:w="2211" w:type="dxa"/>
            <w:shd w:val="clear" w:color="auto" w:fill="auto"/>
            <w:vAlign w:val="center"/>
          </w:tcPr>
          <w:p w14:paraId="263E6E2D" w14:textId="77777777" w:rsidR="00DD10BA" w:rsidRPr="0078056B" w:rsidRDefault="00DD10BA" w:rsidP="00DD10BA">
            <w:pPr>
              <w:pStyle w:val="TableText"/>
              <w:rPr>
                <w:szCs w:val="20"/>
              </w:rPr>
            </w:pPr>
            <w:r w:rsidRPr="0078056B">
              <w:rPr>
                <w:szCs w:val="20"/>
              </w:rPr>
              <w:t xml:space="preserve">Other postgraduate </w:t>
            </w:r>
          </w:p>
        </w:tc>
        <w:tc>
          <w:tcPr>
            <w:tcW w:w="2211" w:type="dxa"/>
            <w:shd w:val="clear" w:color="auto" w:fill="auto"/>
            <w:vAlign w:val="center"/>
          </w:tcPr>
          <w:p w14:paraId="44157ED4" w14:textId="1ED9B5F1" w:rsidR="00DD10BA" w:rsidRPr="0078056B" w:rsidRDefault="00DD10BA" w:rsidP="00DD10BA">
            <w:pPr>
              <w:pStyle w:val="TableText"/>
              <w:jc w:val="center"/>
              <w:rPr>
                <w:szCs w:val="20"/>
              </w:rPr>
            </w:pPr>
            <w:r w:rsidRPr="0078056B">
              <w:rPr>
                <w:rFonts w:cs="Calibri"/>
                <w:color w:val="000000"/>
                <w:szCs w:val="20"/>
              </w:rPr>
              <w:t>15</w:t>
            </w:r>
          </w:p>
        </w:tc>
        <w:tc>
          <w:tcPr>
            <w:tcW w:w="2211" w:type="dxa"/>
            <w:shd w:val="clear" w:color="auto" w:fill="auto"/>
            <w:vAlign w:val="center"/>
          </w:tcPr>
          <w:p w14:paraId="07AF53A0" w14:textId="21259B9F" w:rsidR="00DD10BA" w:rsidRPr="0078056B" w:rsidRDefault="00DD10BA" w:rsidP="00DD10BA">
            <w:pPr>
              <w:pStyle w:val="TableText"/>
              <w:jc w:val="center"/>
              <w:rPr>
                <w:szCs w:val="20"/>
              </w:rPr>
            </w:pPr>
            <w:r w:rsidRPr="0078056B">
              <w:rPr>
                <w:rFonts w:cs="Calibri"/>
                <w:color w:val="000000"/>
                <w:szCs w:val="20"/>
              </w:rPr>
              <w:t>30</w:t>
            </w:r>
          </w:p>
        </w:tc>
        <w:tc>
          <w:tcPr>
            <w:tcW w:w="2211" w:type="dxa"/>
            <w:shd w:val="clear" w:color="auto" w:fill="auto"/>
            <w:vAlign w:val="center"/>
          </w:tcPr>
          <w:p w14:paraId="6C27D4F9" w14:textId="3ACFD7A9" w:rsidR="00DD10BA" w:rsidRPr="0078056B" w:rsidRDefault="00DD10BA" w:rsidP="00DD10BA">
            <w:pPr>
              <w:pStyle w:val="TableHeading"/>
              <w:jc w:val="center"/>
              <w:rPr>
                <w:color w:val="06357A" w:themeColor="text2"/>
                <w:szCs w:val="20"/>
              </w:rPr>
            </w:pPr>
            <w:r w:rsidRPr="0078056B">
              <w:rPr>
                <w:rFonts w:cs="Calibri"/>
                <w:color w:val="06357A" w:themeColor="text2"/>
                <w:szCs w:val="20"/>
              </w:rPr>
              <w:t>45</w:t>
            </w:r>
          </w:p>
        </w:tc>
      </w:tr>
      <w:tr w:rsidR="00DD10BA" w:rsidRPr="0078056B" w14:paraId="0F0B5736" w14:textId="77777777" w:rsidTr="00C042A1">
        <w:tc>
          <w:tcPr>
            <w:tcW w:w="2211" w:type="dxa"/>
            <w:shd w:val="clear" w:color="auto" w:fill="auto"/>
            <w:vAlign w:val="center"/>
          </w:tcPr>
          <w:p w14:paraId="71563D50" w14:textId="77777777" w:rsidR="00DD10BA" w:rsidRPr="0078056B" w:rsidRDefault="00DD10BA" w:rsidP="00DD10BA">
            <w:pPr>
              <w:pStyle w:val="TableText"/>
              <w:rPr>
                <w:szCs w:val="20"/>
              </w:rPr>
            </w:pPr>
            <w:r w:rsidRPr="0078056B">
              <w:rPr>
                <w:szCs w:val="20"/>
              </w:rPr>
              <w:t>Higher degree (taught)</w:t>
            </w:r>
          </w:p>
        </w:tc>
        <w:tc>
          <w:tcPr>
            <w:tcW w:w="2211" w:type="dxa"/>
            <w:shd w:val="clear" w:color="auto" w:fill="auto"/>
            <w:vAlign w:val="center"/>
          </w:tcPr>
          <w:p w14:paraId="147B237F" w14:textId="52915160" w:rsidR="00DD10BA" w:rsidRPr="0078056B" w:rsidRDefault="00DD10BA" w:rsidP="00DD10BA">
            <w:pPr>
              <w:pStyle w:val="TableText"/>
              <w:jc w:val="center"/>
              <w:rPr>
                <w:szCs w:val="20"/>
              </w:rPr>
            </w:pPr>
            <w:r w:rsidRPr="0078056B">
              <w:rPr>
                <w:rFonts w:cs="Calibri"/>
                <w:bCs/>
                <w:szCs w:val="20"/>
              </w:rPr>
              <w:t>10</w:t>
            </w:r>
          </w:p>
        </w:tc>
        <w:tc>
          <w:tcPr>
            <w:tcW w:w="2211" w:type="dxa"/>
            <w:shd w:val="clear" w:color="auto" w:fill="auto"/>
            <w:vAlign w:val="center"/>
          </w:tcPr>
          <w:p w14:paraId="530D754F" w14:textId="2BEBA7B1" w:rsidR="00DD10BA" w:rsidRPr="0078056B" w:rsidRDefault="00DD10BA" w:rsidP="00DD10BA">
            <w:pPr>
              <w:pStyle w:val="TableText"/>
              <w:jc w:val="center"/>
              <w:rPr>
                <w:szCs w:val="20"/>
              </w:rPr>
            </w:pPr>
            <w:r w:rsidRPr="0078056B">
              <w:rPr>
                <w:rFonts w:cs="Calibri"/>
                <w:color w:val="000000"/>
                <w:szCs w:val="20"/>
              </w:rPr>
              <w:t>70</w:t>
            </w:r>
          </w:p>
        </w:tc>
        <w:tc>
          <w:tcPr>
            <w:tcW w:w="2211" w:type="dxa"/>
            <w:shd w:val="clear" w:color="auto" w:fill="auto"/>
            <w:vAlign w:val="center"/>
          </w:tcPr>
          <w:p w14:paraId="465A3E0D" w14:textId="0A8D06A6" w:rsidR="00DD10BA" w:rsidRPr="0078056B" w:rsidRDefault="00DD10BA" w:rsidP="00DD10BA">
            <w:pPr>
              <w:pStyle w:val="TableHeading"/>
              <w:jc w:val="center"/>
              <w:rPr>
                <w:color w:val="06357A" w:themeColor="text2"/>
                <w:szCs w:val="20"/>
              </w:rPr>
            </w:pPr>
            <w:r w:rsidRPr="0078056B">
              <w:rPr>
                <w:rFonts w:cs="Calibri"/>
                <w:color w:val="06357A" w:themeColor="text2"/>
                <w:szCs w:val="20"/>
              </w:rPr>
              <w:t>80</w:t>
            </w:r>
          </w:p>
        </w:tc>
      </w:tr>
      <w:tr w:rsidR="00DD10BA" w:rsidRPr="0078056B" w14:paraId="521D5884" w14:textId="77777777" w:rsidTr="00C042A1">
        <w:tc>
          <w:tcPr>
            <w:tcW w:w="2211" w:type="dxa"/>
            <w:shd w:val="clear" w:color="auto" w:fill="auto"/>
            <w:vAlign w:val="center"/>
          </w:tcPr>
          <w:p w14:paraId="411D67F7" w14:textId="77777777" w:rsidR="00DD10BA" w:rsidRPr="0078056B" w:rsidRDefault="00DD10BA" w:rsidP="00DD10BA">
            <w:pPr>
              <w:pStyle w:val="TableText"/>
              <w:rPr>
                <w:szCs w:val="20"/>
              </w:rPr>
            </w:pPr>
            <w:r w:rsidRPr="0078056B">
              <w:rPr>
                <w:szCs w:val="20"/>
              </w:rPr>
              <w:t xml:space="preserve">Higher degree (research) </w:t>
            </w:r>
          </w:p>
        </w:tc>
        <w:tc>
          <w:tcPr>
            <w:tcW w:w="2211" w:type="dxa"/>
            <w:shd w:val="clear" w:color="auto" w:fill="auto"/>
            <w:vAlign w:val="center"/>
          </w:tcPr>
          <w:p w14:paraId="202A5529" w14:textId="5F44BD82" w:rsidR="00DD10BA" w:rsidRPr="0078056B" w:rsidRDefault="00DD10BA" w:rsidP="00DD10BA">
            <w:pPr>
              <w:pStyle w:val="TableText"/>
              <w:jc w:val="center"/>
              <w:rPr>
                <w:szCs w:val="20"/>
              </w:rPr>
            </w:pPr>
            <w:r w:rsidRPr="0078056B">
              <w:rPr>
                <w:rFonts w:cs="Calibri"/>
                <w:color w:val="000000"/>
                <w:szCs w:val="20"/>
              </w:rPr>
              <w:t>5</w:t>
            </w:r>
          </w:p>
        </w:tc>
        <w:tc>
          <w:tcPr>
            <w:tcW w:w="2211" w:type="dxa"/>
            <w:shd w:val="clear" w:color="auto" w:fill="auto"/>
            <w:vAlign w:val="center"/>
          </w:tcPr>
          <w:p w14:paraId="1311C4FD" w14:textId="6B270EB3" w:rsidR="00DD10BA" w:rsidRPr="0078056B" w:rsidRDefault="00DD10BA" w:rsidP="00DD10BA">
            <w:pPr>
              <w:pStyle w:val="TableText"/>
              <w:jc w:val="center"/>
              <w:rPr>
                <w:szCs w:val="20"/>
              </w:rPr>
            </w:pPr>
            <w:r w:rsidRPr="0078056B">
              <w:rPr>
                <w:rFonts w:cs="Calibri"/>
                <w:color w:val="000000"/>
                <w:szCs w:val="20"/>
              </w:rPr>
              <w:t>15</w:t>
            </w:r>
          </w:p>
        </w:tc>
        <w:tc>
          <w:tcPr>
            <w:tcW w:w="2211" w:type="dxa"/>
            <w:shd w:val="clear" w:color="auto" w:fill="auto"/>
            <w:vAlign w:val="center"/>
          </w:tcPr>
          <w:p w14:paraId="2BBECF24" w14:textId="546BC723" w:rsidR="00DD10BA" w:rsidRPr="0078056B" w:rsidRDefault="00DD10BA" w:rsidP="00DD10BA">
            <w:pPr>
              <w:pStyle w:val="TableHeading"/>
              <w:jc w:val="center"/>
              <w:rPr>
                <w:color w:val="06357A" w:themeColor="text2"/>
                <w:szCs w:val="20"/>
              </w:rPr>
            </w:pPr>
            <w:r w:rsidRPr="0078056B">
              <w:rPr>
                <w:rFonts w:cs="Calibri"/>
                <w:color w:val="06357A" w:themeColor="text2"/>
                <w:szCs w:val="20"/>
              </w:rPr>
              <w:t>20</w:t>
            </w:r>
          </w:p>
        </w:tc>
      </w:tr>
      <w:tr w:rsidR="00DD10BA" w:rsidRPr="0078056B" w14:paraId="3B966648" w14:textId="77777777" w:rsidTr="00C042A1">
        <w:tc>
          <w:tcPr>
            <w:tcW w:w="2211" w:type="dxa"/>
            <w:tcBorders>
              <w:bottom w:val="nil"/>
            </w:tcBorders>
            <w:shd w:val="clear" w:color="auto" w:fill="auto"/>
            <w:vAlign w:val="center"/>
          </w:tcPr>
          <w:p w14:paraId="4AD9A1E2" w14:textId="77777777" w:rsidR="00DD10BA" w:rsidRPr="0078056B" w:rsidRDefault="00DD10BA" w:rsidP="00DD10BA">
            <w:pPr>
              <w:pStyle w:val="TableHeading"/>
              <w:rPr>
                <w:szCs w:val="20"/>
              </w:rPr>
            </w:pPr>
            <w:r w:rsidRPr="0078056B">
              <w:rPr>
                <w:szCs w:val="20"/>
              </w:rPr>
              <w:t>Total</w:t>
            </w:r>
          </w:p>
        </w:tc>
        <w:tc>
          <w:tcPr>
            <w:tcW w:w="2211" w:type="dxa"/>
            <w:tcBorders>
              <w:bottom w:val="nil"/>
            </w:tcBorders>
            <w:shd w:val="clear" w:color="auto" w:fill="auto"/>
            <w:vAlign w:val="center"/>
          </w:tcPr>
          <w:p w14:paraId="1A244474" w14:textId="45C368F3" w:rsidR="00DD10BA" w:rsidRPr="0078056B" w:rsidRDefault="00DD10BA" w:rsidP="00DD10BA">
            <w:pPr>
              <w:pStyle w:val="TableHeading"/>
              <w:jc w:val="center"/>
              <w:rPr>
                <w:color w:val="06357A" w:themeColor="text2"/>
                <w:szCs w:val="20"/>
              </w:rPr>
            </w:pPr>
            <w:r w:rsidRPr="0078056B">
              <w:rPr>
                <w:rFonts w:cs="Calibri"/>
                <w:color w:val="06357A" w:themeColor="text2"/>
                <w:szCs w:val="20"/>
              </w:rPr>
              <w:t>50</w:t>
            </w:r>
          </w:p>
        </w:tc>
        <w:tc>
          <w:tcPr>
            <w:tcW w:w="2211" w:type="dxa"/>
            <w:tcBorders>
              <w:bottom w:val="nil"/>
            </w:tcBorders>
            <w:shd w:val="clear" w:color="auto" w:fill="auto"/>
            <w:vAlign w:val="center"/>
          </w:tcPr>
          <w:p w14:paraId="7C62D873" w14:textId="749E06F2" w:rsidR="00DD10BA" w:rsidRPr="0078056B" w:rsidRDefault="00DD10BA" w:rsidP="00DD10BA">
            <w:pPr>
              <w:pStyle w:val="TableHeading"/>
              <w:jc w:val="center"/>
              <w:rPr>
                <w:color w:val="06357A" w:themeColor="text2"/>
                <w:szCs w:val="20"/>
              </w:rPr>
            </w:pPr>
            <w:r w:rsidRPr="0078056B">
              <w:rPr>
                <w:rFonts w:cs="Calibri"/>
                <w:color w:val="06357A" w:themeColor="text2"/>
                <w:szCs w:val="20"/>
              </w:rPr>
              <w:t>125</w:t>
            </w:r>
          </w:p>
        </w:tc>
        <w:tc>
          <w:tcPr>
            <w:tcW w:w="2211" w:type="dxa"/>
            <w:tcBorders>
              <w:bottom w:val="nil"/>
            </w:tcBorders>
            <w:shd w:val="clear" w:color="auto" w:fill="auto"/>
            <w:vAlign w:val="center"/>
          </w:tcPr>
          <w:p w14:paraId="7716AA76" w14:textId="6D7D557E" w:rsidR="00DD10BA" w:rsidRPr="0078056B" w:rsidRDefault="00DD10BA" w:rsidP="00DD10BA">
            <w:pPr>
              <w:pStyle w:val="TableHeading"/>
              <w:jc w:val="center"/>
              <w:rPr>
                <w:color w:val="06357A" w:themeColor="text2"/>
                <w:szCs w:val="20"/>
              </w:rPr>
            </w:pPr>
            <w:r w:rsidRPr="0078056B">
              <w:rPr>
                <w:rFonts w:cs="Calibri"/>
                <w:color w:val="06357A" w:themeColor="text2"/>
                <w:szCs w:val="20"/>
              </w:rPr>
              <w:t>175</w:t>
            </w:r>
          </w:p>
        </w:tc>
      </w:tr>
      <w:tr w:rsidR="00DD10BA" w:rsidRPr="0078056B" w14:paraId="5F42ED9F" w14:textId="77777777" w:rsidTr="00D060EC">
        <w:tc>
          <w:tcPr>
            <w:tcW w:w="8844" w:type="dxa"/>
            <w:gridSpan w:val="4"/>
            <w:tcBorders>
              <w:top w:val="nil"/>
            </w:tcBorders>
            <w:shd w:val="clear" w:color="auto" w:fill="000000" w:themeFill="text1"/>
            <w:vAlign w:val="center"/>
          </w:tcPr>
          <w:p w14:paraId="13DEA3E9" w14:textId="6202FE9C" w:rsidR="00DD10BA" w:rsidRPr="0078056B" w:rsidRDefault="00DD10BA" w:rsidP="00DD10BA">
            <w:pPr>
              <w:pStyle w:val="TableText"/>
              <w:jc w:val="both"/>
              <w:rPr>
                <w:b/>
                <w:color w:val="06357A" w:themeColor="text2"/>
                <w:szCs w:val="20"/>
              </w:rPr>
            </w:pPr>
          </w:p>
        </w:tc>
      </w:tr>
      <w:tr w:rsidR="00DD10BA" w:rsidRPr="0078056B" w14:paraId="57725CFB" w14:textId="77777777" w:rsidTr="00C042A1">
        <w:tc>
          <w:tcPr>
            <w:tcW w:w="2211" w:type="dxa"/>
            <w:shd w:val="clear" w:color="auto" w:fill="auto"/>
            <w:vAlign w:val="center"/>
          </w:tcPr>
          <w:p w14:paraId="25A2CDA5" w14:textId="77777777" w:rsidR="00DD10BA" w:rsidRPr="0078056B" w:rsidRDefault="00DD10BA" w:rsidP="00DD10BA">
            <w:pPr>
              <w:pStyle w:val="TableText"/>
              <w:rPr>
                <w:szCs w:val="20"/>
              </w:rPr>
            </w:pPr>
            <w:r w:rsidRPr="0078056B">
              <w:rPr>
                <w:szCs w:val="20"/>
              </w:rPr>
              <w:t>Other undergraduate</w:t>
            </w:r>
          </w:p>
        </w:tc>
        <w:tc>
          <w:tcPr>
            <w:tcW w:w="2211" w:type="dxa"/>
            <w:shd w:val="clear" w:color="auto" w:fill="auto"/>
            <w:vAlign w:val="center"/>
          </w:tcPr>
          <w:p w14:paraId="71B80775" w14:textId="7C45AC0B" w:rsidR="00DD10BA" w:rsidRPr="0078056B" w:rsidRDefault="00DD10BA" w:rsidP="00DD10BA">
            <w:pPr>
              <w:pStyle w:val="TableText"/>
              <w:jc w:val="center"/>
              <w:rPr>
                <w:szCs w:val="20"/>
              </w:rPr>
            </w:pPr>
            <w:r w:rsidRPr="0078056B">
              <w:rPr>
                <w:rFonts w:cs="Calibri"/>
                <w:color w:val="000000"/>
                <w:szCs w:val="20"/>
              </w:rPr>
              <w:t>20</w:t>
            </w:r>
          </w:p>
        </w:tc>
        <w:tc>
          <w:tcPr>
            <w:tcW w:w="2211" w:type="dxa"/>
            <w:shd w:val="clear" w:color="auto" w:fill="auto"/>
            <w:vAlign w:val="center"/>
          </w:tcPr>
          <w:p w14:paraId="3C030F83" w14:textId="17E62A25" w:rsidR="00DD10BA" w:rsidRPr="0078056B" w:rsidRDefault="00DD10BA" w:rsidP="00DD10BA">
            <w:pPr>
              <w:pStyle w:val="TableText"/>
              <w:jc w:val="center"/>
              <w:rPr>
                <w:szCs w:val="20"/>
              </w:rPr>
            </w:pPr>
            <w:r w:rsidRPr="0078056B">
              <w:rPr>
                <w:rFonts w:cs="Calibri"/>
                <w:color w:val="000000"/>
                <w:szCs w:val="20"/>
              </w:rPr>
              <w:t>130</w:t>
            </w:r>
          </w:p>
        </w:tc>
        <w:tc>
          <w:tcPr>
            <w:tcW w:w="2211" w:type="dxa"/>
            <w:shd w:val="clear" w:color="auto" w:fill="auto"/>
            <w:vAlign w:val="center"/>
          </w:tcPr>
          <w:p w14:paraId="5C76DFBE" w14:textId="73EB8290" w:rsidR="00DD10BA" w:rsidRPr="0078056B" w:rsidRDefault="00DD10BA" w:rsidP="00DD10BA">
            <w:pPr>
              <w:pStyle w:val="TableHeading"/>
              <w:jc w:val="center"/>
              <w:rPr>
                <w:color w:val="06357A" w:themeColor="text2"/>
                <w:szCs w:val="20"/>
              </w:rPr>
            </w:pPr>
            <w:r w:rsidRPr="0078056B">
              <w:rPr>
                <w:rFonts w:cs="Calibri"/>
                <w:color w:val="06357A" w:themeColor="text2"/>
                <w:szCs w:val="20"/>
              </w:rPr>
              <w:t>150</w:t>
            </w:r>
          </w:p>
        </w:tc>
      </w:tr>
      <w:tr w:rsidR="00DD10BA" w:rsidRPr="0078056B" w14:paraId="206C92B7" w14:textId="77777777" w:rsidTr="00C042A1">
        <w:tc>
          <w:tcPr>
            <w:tcW w:w="2211" w:type="dxa"/>
            <w:shd w:val="clear" w:color="auto" w:fill="auto"/>
            <w:vAlign w:val="center"/>
          </w:tcPr>
          <w:p w14:paraId="5965E4AB" w14:textId="77777777" w:rsidR="00DD10BA" w:rsidRPr="0078056B" w:rsidRDefault="00DD10BA" w:rsidP="00DD10BA">
            <w:pPr>
              <w:pStyle w:val="TableText"/>
              <w:rPr>
                <w:szCs w:val="20"/>
              </w:rPr>
            </w:pPr>
            <w:r w:rsidRPr="0078056B">
              <w:rPr>
                <w:szCs w:val="20"/>
              </w:rPr>
              <w:t>First degree</w:t>
            </w:r>
          </w:p>
        </w:tc>
        <w:tc>
          <w:tcPr>
            <w:tcW w:w="2211" w:type="dxa"/>
            <w:shd w:val="clear" w:color="auto" w:fill="auto"/>
            <w:vAlign w:val="center"/>
          </w:tcPr>
          <w:p w14:paraId="35026C02" w14:textId="2CFCC633" w:rsidR="00DD10BA" w:rsidRPr="0078056B" w:rsidRDefault="00DD10BA" w:rsidP="00DD10BA">
            <w:pPr>
              <w:pStyle w:val="TableText"/>
              <w:jc w:val="center"/>
              <w:rPr>
                <w:szCs w:val="20"/>
              </w:rPr>
            </w:pPr>
            <w:r w:rsidRPr="0078056B">
              <w:rPr>
                <w:rFonts w:cs="Calibri"/>
                <w:color w:val="000000"/>
                <w:szCs w:val="20"/>
              </w:rPr>
              <w:t>50</w:t>
            </w:r>
          </w:p>
        </w:tc>
        <w:tc>
          <w:tcPr>
            <w:tcW w:w="2211" w:type="dxa"/>
            <w:shd w:val="clear" w:color="auto" w:fill="auto"/>
            <w:vAlign w:val="center"/>
          </w:tcPr>
          <w:p w14:paraId="38F6542E" w14:textId="784C5DFA" w:rsidR="00DD10BA" w:rsidRPr="0078056B" w:rsidRDefault="00DD10BA" w:rsidP="00DD10BA">
            <w:pPr>
              <w:pStyle w:val="TableText"/>
              <w:jc w:val="center"/>
              <w:rPr>
                <w:szCs w:val="20"/>
              </w:rPr>
            </w:pPr>
            <w:r w:rsidRPr="0078056B">
              <w:rPr>
                <w:rFonts w:cs="Calibri"/>
                <w:color w:val="000000"/>
                <w:szCs w:val="20"/>
              </w:rPr>
              <w:t>1,385</w:t>
            </w:r>
          </w:p>
        </w:tc>
        <w:tc>
          <w:tcPr>
            <w:tcW w:w="2211" w:type="dxa"/>
            <w:shd w:val="clear" w:color="auto" w:fill="auto"/>
            <w:vAlign w:val="center"/>
          </w:tcPr>
          <w:p w14:paraId="5D083F2D" w14:textId="24BE3CA7" w:rsidR="00DD10BA" w:rsidRPr="0078056B" w:rsidRDefault="00DD10BA" w:rsidP="00DD10BA">
            <w:pPr>
              <w:pStyle w:val="TableHeading"/>
              <w:jc w:val="center"/>
              <w:rPr>
                <w:color w:val="06357A" w:themeColor="text2"/>
                <w:szCs w:val="20"/>
              </w:rPr>
            </w:pPr>
            <w:r w:rsidRPr="0078056B">
              <w:rPr>
                <w:rFonts w:cs="Calibri"/>
                <w:color w:val="06357A" w:themeColor="text2"/>
                <w:szCs w:val="20"/>
              </w:rPr>
              <w:t>1,435</w:t>
            </w:r>
          </w:p>
        </w:tc>
      </w:tr>
      <w:tr w:rsidR="00DD10BA" w:rsidRPr="0078056B" w14:paraId="4677383C" w14:textId="77777777" w:rsidTr="00C042A1">
        <w:tc>
          <w:tcPr>
            <w:tcW w:w="2211" w:type="dxa"/>
            <w:shd w:val="clear" w:color="auto" w:fill="auto"/>
            <w:vAlign w:val="center"/>
          </w:tcPr>
          <w:p w14:paraId="00454981" w14:textId="77777777" w:rsidR="00DD10BA" w:rsidRPr="0078056B" w:rsidRDefault="00DD10BA" w:rsidP="00DD10BA">
            <w:pPr>
              <w:pStyle w:val="TableText"/>
              <w:rPr>
                <w:szCs w:val="20"/>
              </w:rPr>
            </w:pPr>
            <w:r w:rsidRPr="0078056B">
              <w:rPr>
                <w:szCs w:val="20"/>
              </w:rPr>
              <w:t xml:space="preserve">Other postgraduate </w:t>
            </w:r>
          </w:p>
        </w:tc>
        <w:tc>
          <w:tcPr>
            <w:tcW w:w="2211" w:type="dxa"/>
            <w:shd w:val="clear" w:color="auto" w:fill="auto"/>
            <w:vAlign w:val="center"/>
          </w:tcPr>
          <w:p w14:paraId="7D21973A" w14:textId="31299DD3" w:rsidR="00DD10BA" w:rsidRPr="0078056B" w:rsidRDefault="00DD10BA" w:rsidP="00DD10BA">
            <w:pPr>
              <w:pStyle w:val="TableText"/>
              <w:jc w:val="center"/>
              <w:rPr>
                <w:szCs w:val="20"/>
              </w:rPr>
            </w:pPr>
            <w:r w:rsidRPr="0078056B">
              <w:rPr>
                <w:rFonts w:cs="Calibri"/>
                <w:color w:val="000000"/>
                <w:szCs w:val="20"/>
              </w:rPr>
              <w:t>20</w:t>
            </w:r>
          </w:p>
        </w:tc>
        <w:tc>
          <w:tcPr>
            <w:tcW w:w="2211" w:type="dxa"/>
            <w:shd w:val="clear" w:color="auto" w:fill="auto"/>
            <w:vAlign w:val="center"/>
          </w:tcPr>
          <w:p w14:paraId="0CB38336" w14:textId="24986240" w:rsidR="00DD10BA" w:rsidRPr="0078056B" w:rsidRDefault="00DD10BA" w:rsidP="00DD10BA">
            <w:pPr>
              <w:pStyle w:val="TableText"/>
              <w:jc w:val="center"/>
              <w:rPr>
                <w:szCs w:val="20"/>
              </w:rPr>
            </w:pPr>
            <w:r w:rsidRPr="0078056B">
              <w:rPr>
                <w:rFonts w:cs="Calibri"/>
                <w:color w:val="000000"/>
                <w:szCs w:val="20"/>
              </w:rPr>
              <w:t>40</w:t>
            </w:r>
          </w:p>
        </w:tc>
        <w:tc>
          <w:tcPr>
            <w:tcW w:w="2211" w:type="dxa"/>
            <w:shd w:val="clear" w:color="auto" w:fill="auto"/>
            <w:vAlign w:val="center"/>
          </w:tcPr>
          <w:p w14:paraId="5DBD6922" w14:textId="04FDE661" w:rsidR="00DD10BA" w:rsidRPr="0078056B" w:rsidRDefault="00DD10BA" w:rsidP="00DD10BA">
            <w:pPr>
              <w:pStyle w:val="TableHeading"/>
              <w:jc w:val="center"/>
              <w:rPr>
                <w:color w:val="06357A" w:themeColor="text2"/>
                <w:szCs w:val="20"/>
              </w:rPr>
            </w:pPr>
            <w:r w:rsidRPr="0078056B">
              <w:rPr>
                <w:rFonts w:cs="Calibri"/>
                <w:color w:val="06357A" w:themeColor="text2"/>
                <w:szCs w:val="20"/>
              </w:rPr>
              <w:t>60</w:t>
            </w:r>
          </w:p>
        </w:tc>
      </w:tr>
      <w:tr w:rsidR="00DD10BA" w:rsidRPr="0078056B" w14:paraId="7B1BAB1B" w14:textId="77777777" w:rsidTr="00C042A1">
        <w:tc>
          <w:tcPr>
            <w:tcW w:w="2211" w:type="dxa"/>
            <w:shd w:val="clear" w:color="auto" w:fill="auto"/>
            <w:vAlign w:val="center"/>
          </w:tcPr>
          <w:p w14:paraId="66B52B70" w14:textId="77777777" w:rsidR="00DD10BA" w:rsidRPr="0078056B" w:rsidRDefault="00DD10BA" w:rsidP="00DD10BA">
            <w:pPr>
              <w:pStyle w:val="TableText"/>
              <w:rPr>
                <w:szCs w:val="20"/>
              </w:rPr>
            </w:pPr>
            <w:r w:rsidRPr="0078056B">
              <w:rPr>
                <w:szCs w:val="20"/>
              </w:rPr>
              <w:t>Higher degree (taught)</w:t>
            </w:r>
          </w:p>
        </w:tc>
        <w:tc>
          <w:tcPr>
            <w:tcW w:w="2211" w:type="dxa"/>
            <w:shd w:val="clear" w:color="auto" w:fill="auto"/>
            <w:vAlign w:val="center"/>
          </w:tcPr>
          <w:p w14:paraId="4F505921" w14:textId="1B7BC266" w:rsidR="00DD10BA" w:rsidRPr="0078056B" w:rsidRDefault="00DD10BA" w:rsidP="00DD10BA">
            <w:pPr>
              <w:pStyle w:val="TableText"/>
              <w:jc w:val="center"/>
              <w:rPr>
                <w:szCs w:val="20"/>
              </w:rPr>
            </w:pPr>
            <w:r w:rsidRPr="0078056B">
              <w:rPr>
                <w:rFonts w:cs="Calibri"/>
                <w:szCs w:val="20"/>
              </w:rPr>
              <w:t>70</w:t>
            </w:r>
          </w:p>
        </w:tc>
        <w:tc>
          <w:tcPr>
            <w:tcW w:w="2211" w:type="dxa"/>
            <w:shd w:val="clear" w:color="auto" w:fill="auto"/>
            <w:vAlign w:val="center"/>
          </w:tcPr>
          <w:p w14:paraId="587820FA" w14:textId="75DD8E81" w:rsidR="00DD10BA" w:rsidRPr="0078056B" w:rsidRDefault="00DD10BA" w:rsidP="00DD10BA">
            <w:pPr>
              <w:pStyle w:val="TableText"/>
              <w:jc w:val="center"/>
              <w:rPr>
                <w:szCs w:val="20"/>
              </w:rPr>
            </w:pPr>
            <w:r w:rsidRPr="0078056B">
              <w:rPr>
                <w:rFonts w:cs="Calibri"/>
                <w:color w:val="000000"/>
                <w:szCs w:val="20"/>
              </w:rPr>
              <w:t>3,070</w:t>
            </w:r>
          </w:p>
        </w:tc>
        <w:tc>
          <w:tcPr>
            <w:tcW w:w="2211" w:type="dxa"/>
            <w:shd w:val="clear" w:color="auto" w:fill="auto"/>
            <w:vAlign w:val="center"/>
          </w:tcPr>
          <w:p w14:paraId="1395F66F" w14:textId="4FB0E7B1" w:rsidR="00DD10BA" w:rsidRPr="0078056B" w:rsidRDefault="00DD10BA" w:rsidP="00DD10BA">
            <w:pPr>
              <w:pStyle w:val="TableHeading"/>
              <w:jc w:val="center"/>
              <w:rPr>
                <w:color w:val="06357A" w:themeColor="text2"/>
                <w:szCs w:val="20"/>
              </w:rPr>
            </w:pPr>
            <w:r w:rsidRPr="0078056B">
              <w:rPr>
                <w:rFonts w:cs="Calibri"/>
                <w:color w:val="06357A" w:themeColor="text2"/>
                <w:szCs w:val="20"/>
              </w:rPr>
              <w:t>3,140</w:t>
            </w:r>
          </w:p>
        </w:tc>
      </w:tr>
      <w:tr w:rsidR="00DD10BA" w:rsidRPr="0078056B" w14:paraId="16EAAEF1" w14:textId="77777777" w:rsidTr="00C042A1">
        <w:tc>
          <w:tcPr>
            <w:tcW w:w="2211" w:type="dxa"/>
            <w:shd w:val="clear" w:color="auto" w:fill="auto"/>
            <w:vAlign w:val="center"/>
          </w:tcPr>
          <w:p w14:paraId="6F802025" w14:textId="77777777" w:rsidR="00DD10BA" w:rsidRPr="0078056B" w:rsidRDefault="00DD10BA" w:rsidP="00DD10BA">
            <w:pPr>
              <w:pStyle w:val="TableText"/>
              <w:rPr>
                <w:szCs w:val="20"/>
              </w:rPr>
            </w:pPr>
            <w:r w:rsidRPr="0078056B">
              <w:rPr>
                <w:szCs w:val="20"/>
              </w:rPr>
              <w:t xml:space="preserve">Higher degree (research) </w:t>
            </w:r>
          </w:p>
        </w:tc>
        <w:tc>
          <w:tcPr>
            <w:tcW w:w="2211" w:type="dxa"/>
            <w:shd w:val="clear" w:color="auto" w:fill="auto"/>
            <w:vAlign w:val="center"/>
          </w:tcPr>
          <w:p w14:paraId="215E16AA" w14:textId="50B562D1" w:rsidR="00DD10BA" w:rsidRPr="0078056B" w:rsidRDefault="00DD10BA" w:rsidP="00DD10BA">
            <w:pPr>
              <w:pStyle w:val="TableText"/>
              <w:jc w:val="center"/>
              <w:rPr>
                <w:szCs w:val="20"/>
              </w:rPr>
            </w:pPr>
            <w:r w:rsidRPr="0078056B">
              <w:rPr>
                <w:rFonts w:cs="Calibri"/>
                <w:color w:val="000000"/>
                <w:szCs w:val="20"/>
              </w:rPr>
              <w:t>15</w:t>
            </w:r>
          </w:p>
        </w:tc>
        <w:tc>
          <w:tcPr>
            <w:tcW w:w="2211" w:type="dxa"/>
            <w:shd w:val="clear" w:color="auto" w:fill="auto"/>
            <w:vAlign w:val="center"/>
          </w:tcPr>
          <w:p w14:paraId="31984EE7" w14:textId="599CCCE2" w:rsidR="00DD10BA" w:rsidRPr="0078056B" w:rsidRDefault="00DD10BA" w:rsidP="00DD10BA">
            <w:pPr>
              <w:pStyle w:val="TableText"/>
              <w:jc w:val="center"/>
              <w:rPr>
                <w:szCs w:val="20"/>
              </w:rPr>
            </w:pPr>
            <w:r w:rsidRPr="0078056B">
              <w:rPr>
                <w:rFonts w:cs="Calibri"/>
                <w:color w:val="000000"/>
                <w:szCs w:val="20"/>
              </w:rPr>
              <w:t>280</w:t>
            </w:r>
          </w:p>
        </w:tc>
        <w:tc>
          <w:tcPr>
            <w:tcW w:w="2211" w:type="dxa"/>
            <w:shd w:val="clear" w:color="auto" w:fill="auto"/>
            <w:vAlign w:val="center"/>
          </w:tcPr>
          <w:p w14:paraId="3B17B0E9" w14:textId="6F6CD596" w:rsidR="00DD10BA" w:rsidRPr="0078056B" w:rsidRDefault="00DD10BA" w:rsidP="00DD10BA">
            <w:pPr>
              <w:pStyle w:val="TableHeading"/>
              <w:jc w:val="center"/>
              <w:rPr>
                <w:color w:val="06357A" w:themeColor="text2"/>
                <w:szCs w:val="20"/>
              </w:rPr>
            </w:pPr>
            <w:r w:rsidRPr="0078056B">
              <w:rPr>
                <w:rFonts w:cs="Calibri"/>
                <w:color w:val="06357A" w:themeColor="text2"/>
                <w:szCs w:val="20"/>
              </w:rPr>
              <w:t>295</w:t>
            </w:r>
          </w:p>
        </w:tc>
      </w:tr>
      <w:tr w:rsidR="00DD10BA" w:rsidRPr="0078056B" w14:paraId="2BE8C4BA" w14:textId="77777777" w:rsidTr="00C042A1">
        <w:tc>
          <w:tcPr>
            <w:tcW w:w="2211" w:type="dxa"/>
            <w:tcBorders>
              <w:bottom w:val="single" w:sz="4" w:space="0" w:color="06357A"/>
            </w:tcBorders>
            <w:shd w:val="clear" w:color="auto" w:fill="auto"/>
            <w:vAlign w:val="center"/>
          </w:tcPr>
          <w:p w14:paraId="4446144A" w14:textId="77777777" w:rsidR="00DD10BA" w:rsidRPr="0078056B" w:rsidRDefault="00DD10BA" w:rsidP="00DD10BA">
            <w:pPr>
              <w:pStyle w:val="TableHeading"/>
              <w:rPr>
                <w:szCs w:val="20"/>
              </w:rPr>
            </w:pPr>
            <w:r w:rsidRPr="0078056B">
              <w:rPr>
                <w:szCs w:val="20"/>
              </w:rPr>
              <w:t>Total</w:t>
            </w:r>
          </w:p>
        </w:tc>
        <w:tc>
          <w:tcPr>
            <w:tcW w:w="2211" w:type="dxa"/>
            <w:tcBorders>
              <w:bottom w:val="single" w:sz="4" w:space="0" w:color="06357A"/>
            </w:tcBorders>
            <w:shd w:val="clear" w:color="auto" w:fill="auto"/>
            <w:vAlign w:val="center"/>
          </w:tcPr>
          <w:p w14:paraId="4F853253" w14:textId="3D4AD361" w:rsidR="00DD10BA" w:rsidRPr="0078056B" w:rsidRDefault="00DD10BA" w:rsidP="00DD10BA">
            <w:pPr>
              <w:pStyle w:val="TableHeading"/>
              <w:jc w:val="center"/>
              <w:rPr>
                <w:color w:val="06357A" w:themeColor="text2"/>
                <w:szCs w:val="20"/>
              </w:rPr>
            </w:pPr>
            <w:r w:rsidRPr="0078056B">
              <w:rPr>
                <w:rFonts w:cs="Calibri"/>
                <w:color w:val="06357A" w:themeColor="text2"/>
                <w:szCs w:val="20"/>
              </w:rPr>
              <w:t>175</w:t>
            </w:r>
          </w:p>
        </w:tc>
        <w:tc>
          <w:tcPr>
            <w:tcW w:w="2211" w:type="dxa"/>
            <w:tcBorders>
              <w:bottom w:val="single" w:sz="4" w:space="0" w:color="06357A"/>
            </w:tcBorders>
            <w:shd w:val="clear" w:color="auto" w:fill="auto"/>
            <w:vAlign w:val="center"/>
          </w:tcPr>
          <w:p w14:paraId="43E87304" w14:textId="7A9BFBB0" w:rsidR="00DD10BA" w:rsidRPr="0078056B" w:rsidRDefault="00DD10BA" w:rsidP="00DD10BA">
            <w:pPr>
              <w:pStyle w:val="TableHeading"/>
              <w:jc w:val="center"/>
              <w:rPr>
                <w:color w:val="06357A" w:themeColor="text2"/>
                <w:szCs w:val="20"/>
              </w:rPr>
            </w:pPr>
            <w:r w:rsidRPr="0078056B">
              <w:rPr>
                <w:rFonts w:cs="Calibri"/>
                <w:color w:val="06357A" w:themeColor="text2"/>
                <w:szCs w:val="20"/>
              </w:rPr>
              <w:t>4,905</w:t>
            </w:r>
          </w:p>
        </w:tc>
        <w:tc>
          <w:tcPr>
            <w:tcW w:w="2211" w:type="dxa"/>
            <w:tcBorders>
              <w:bottom w:val="single" w:sz="4" w:space="0" w:color="06357A"/>
            </w:tcBorders>
            <w:shd w:val="clear" w:color="auto" w:fill="auto"/>
            <w:vAlign w:val="center"/>
          </w:tcPr>
          <w:p w14:paraId="47914AA0" w14:textId="4D138BC4" w:rsidR="00DD10BA" w:rsidRPr="0078056B" w:rsidRDefault="00DD10BA" w:rsidP="00DD10BA">
            <w:pPr>
              <w:pStyle w:val="TableHeading"/>
              <w:jc w:val="center"/>
              <w:rPr>
                <w:color w:val="06357A" w:themeColor="text2"/>
                <w:szCs w:val="20"/>
              </w:rPr>
            </w:pPr>
            <w:r w:rsidRPr="0078056B">
              <w:rPr>
                <w:rFonts w:cs="Calibri"/>
                <w:color w:val="06357A" w:themeColor="text2"/>
                <w:szCs w:val="20"/>
              </w:rPr>
              <w:t>5,080</w:t>
            </w:r>
          </w:p>
        </w:tc>
      </w:tr>
    </w:tbl>
    <w:p w14:paraId="1BCFDCED" w14:textId="77777777" w:rsidR="00D060EC" w:rsidRPr="0078056B" w:rsidRDefault="00D060EC" w:rsidP="00D060EC">
      <w:pPr>
        <w:pStyle w:val="TableNote"/>
      </w:pPr>
      <w:r w:rsidRPr="0078056B">
        <w:t>Note: All numbers are rounded to the nearest 5, and the total values may not add up precisely due to this rounding. ‘Other undergraduate’ learning relates to undergraduate-level diplomas and certificates. ‘</w:t>
      </w:r>
      <w:r w:rsidRPr="0078056B">
        <w:rPr>
          <w:rFonts w:asciiTheme="minorHAnsi" w:hAnsiTheme="minorHAnsi" w:cstheme="minorHAnsi"/>
          <w:szCs w:val="16"/>
        </w:rPr>
        <w:t>Other postgraduate’ learning includes postgraduate-level diplomas and other qualifications, as well as taught work for credit at postgraduate level.</w:t>
      </w:r>
    </w:p>
    <w:p w14:paraId="53855452" w14:textId="2CA181BC" w:rsidR="00D060EC" w:rsidRPr="0078056B" w:rsidRDefault="00D060EC" w:rsidP="00DD10BA">
      <w:pPr>
        <w:pStyle w:val="TableNote"/>
        <w:rPr>
          <w:b/>
          <w:bCs/>
          <w:i/>
          <w:iCs/>
        </w:rPr>
      </w:pPr>
      <w:r w:rsidRPr="0078056B">
        <w:rPr>
          <w:b/>
          <w:bCs/>
          <w:i/>
          <w:iCs/>
        </w:rPr>
        <w:t>Source: London Economics’ analysis based on University of Birmingham HESA data</w:t>
      </w:r>
    </w:p>
    <w:p w14:paraId="5AF4E189" w14:textId="77777777" w:rsidR="000E398D" w:rsidRPr="0078056B" w:rsidRDefault="000E398D" w:rsidP="000E398D">
      <w:pPr>
        <w:pStyle w:val="AnnexHeading3"/>
      </w:pPr>
      <w:bookmarkStart w:id="531" w:name="_Ref146709926"/>
      <w:bookmarkStart w:id="532" w:name="_Ref144478492"/>
      <w:bookmarkStart w:id="533" w:name="_Ref144892601"/>
      <w:bookmarkStart w:id="534" w:name="_Ref144893411"/>
      <w:bookmarkStart w:id="535" w:name="_Toc160209964"/>
      <w:r w:rsidRPr="0078056B">
        <w:t>Net tuition fee income per international student</w:t>
      </w:r>
      <w:bookmarkEnd w:id="531"/>
    </w:p>
    <w:p w14:paraId="2D5D3FF0" w14:textId="6DF87113" w:rsidR="007E0E04" w:rsidRPr="0078056B" w:rsidRDefault="007E0E04" w:rsidP="007E0E04">
      <w:r w:rsidRPr="0078056B">
        <w:fldChar w:fldCharType="begin"/>
      </w:r>
      <w:r w:rsidRPr="0078056B">
        <w:instrText xml:space="preserve"> REF _Ref162271607 \r \h </w:instrText>
      </w:r>
      <w:r w:rsidR="00917E84" w:rsidRPr="0078056B">
        <w:instrText xml:space="preserve"> \* MERGEFORMAT </w:instrText>
      </w:r>
      <w:r w:rsidRPr="0078056B">
        <w:fldChar w:fldCharType="separate"/>
      </w:r>
      <w:r w:rsidR="00E33157">
        <w:t>Table 24</w:t>
      </w:r>
      <w:r w:rsidRPr="0078056B">
        <w:fldChar w:fldCharType="end"/>
      </w:r>
      <w:r w:rsidR="000E398D" w:rsidRPr="0078056B">
        <w:t xml:space="preserve"> presents estimates of the net tuition fee income per international student in the 2021-22 </w:t>
      </w:r>
      <w:r w:rsidRPr="0078056B">
        <w:t>University of Birmingham</w:t>
      </w:r>
      <w:r w:rsidR="000E398D" w:rsidRPr="0078056B">
        <w:t xml:space="preserve"> cohort (over the entire study duration), by domicile, level of study, and mode of study. Note that, as we assume the same average tuition fees</w:t>
      </w:r>
      <w:r w:rsidR="006F4242" w:rsidRPr="0078056B">
        <w:t>, fee waivers and bursaries</w:t>
      </w:r>
      <w:r w:rsidR="000E398D" w:rsidRPr="0078056B">
        <w:t xml:space="preserve"> charged for non-EU and EU students, </w:t>
      </w:r>
      <w:r w:rsidR="006F4242" w:rsidRPr="0078056B">
        <w:t>the net tuition fee income per student (for a given study level and mode) is the same for EU and non-EU students</w:t>
      </w:r>
      <w:r w:rsidR="000E398D" w:rsidRPr="0078056B">
        <w:t xml:space="preserve">. </w:t>
      </w:r>
      <w:bookmarkStart w:id="536" w:name="_Ref144483715"/>
      <w:bookmarkStart w:id="537" w:name="_Toc148543120"/>
    </w:p>
    <w:p w14:paraId="0230C8A0" w14:textId="3DDD4095" w:rsidR="000E398D" w:rsidRPr="0078056B" w:rsidRDefault="000E398D" w:rsidP="00FC66AE">
      <w:pPr>
        <w:pStyle w:val="TableTitle"/>
      </w:pPr>
      <w:bookmarkStart w:id="538" w:name="_Ref162271607"/>
      <w:bookmarkStart w:id="539" w:name="_Toc168652179"/>
      <w:r w:rsidRPr="0078056B">
        <w:lastRenderedPageBreak/>
        <w:t xml:space="preserve">Net tuition fee income per international student in the 2021-22 cohort of </w:t>
      </w:r>
      <w:r w:rsidR="006F4242" w:rsidRPr="0078056B">
        <w:t>University of Birmingham</w:t>
      </w:r>
      <w:r w:rsidRPr="0078056B">
        <w:t xml:space="preserve"> students, by level of study, mode</w:t>
      </w:r>
      <w:bookmarkEnd w:id="536"/>
      <w:bookmarkEnd w:id="537"/>
      <w:bookmarkEnd w:id="538"/>
      <w:bookmarkEnd w:id="539"/>
    </w:p>
    <w:tbl>
      <w:tblPr>
        <w:tblW w:w="8789" w:type="dxa"/>
        <w:tblBorders>
          <w:top w:val="single" w:sz="4" w:space="0" w:color="BFBFBF"/>
          <w:bottom w:val="single" w:sz="4" w:space="0" w:color="BFBFBF"/>
          <w:insideH w:val="single" w:sz="4" w:space="0" w:color="BFBFBF"/>
          <w:insideV w:val="single" w:sz="4" w:space="0" w:color="BFBFBF"/>
        </w:tblBorders>
        <w:tblLayout w:type="fixed"/>
        <w:tblCellMar>
          <w:left w:w="0" w:type="dxa"/>
          <w:right w:w="0" w:type="dxa"/>
        </w:tblCellMar>
        <w:tblLook w:val="0620" w:firstRow="1" w:lastRow="0" w:firstColumn="0" w:lastColumn="0" w:noHBand="1" w:noVBand="1"/>
      </w:tblPr>
      <w:tblGrid>
        <w:gridCol w:w="2929"/>
        <w:gridCol w:w="2930"/>
        <w:gridCol w:w="2930"/>
      </w:tblGrid>
      <w:tr w:rsidR="00FC66AE" w:rsidRPr="0078056B" w14:paraId="12D91468" w14:textId="77777777" w:rsidTr="00FC66AE">
        <w:trPr>
          <w:trHeight w:val="250"/>
          <w:tblHeader/>
        </w:trPr>
        <w:tc>
          <w:tcPr>
            <w:tcW w:w="2929" w:type="dxa"/>
            <w:tcBorders>
              <w:top w:val="single" w:sz="4" w:space="0" w:color="06357A"/>
            </w:tcBorders>
            <w:shd w:val="clear" w:color="auto" w:fill="auto"/>
            <w:vAlign w:val="center"/>
          </w:tcPr>
          <w:p w14:paraId="248D6317" w14:textId="77777777" w:rsidR="00FC66AE" w:rsidRPr="0078056B" w:rsidRDefault="00FC66AE" w:rsidP="00FC66AE">
            <w:pPr>
              <w:pStyle w:val="TableHeading"/>
              <w:keepNext/>
              <w:keepLines/>
            </w:pPr>
            <w:r w:rsidRPr="0078056B">
              <w:t>Level and mode of study</w:t>
            </w:r>
          </w:p>
        </w:tc>
        <w:tc>
          <w:tcPr>
            <w:tcW w:w="2930" w:type="dxa"/>
            <w:tcBorders>
              <w:top w:val="single" w:sz="4" w:space="0" w:color="06357A"/>
              <w:bottom w:val="single" w:sz="4" w:space="0" w:color="06357A"/>
            </w:tcBorders>
            <w:shd w:val="clear" w:color="auto" w:fill="auto"/>
            <w:vAlign w:val="center"/>
          </w:tcPr>
          <w:p w14:paraId="6429601E" w14:textId="7AC3F828" w:rsidR="00FC66AE" w:rsidRPr="0078056B" w:rsidRDefault="00FC66AE" w:rsidP="00FC66AE">
            <w:pPr>
              <w:pStyle w:val="TableHeading"/>
              <w:keepNext/>
              <w:keepLines/>
              <w:jc w:val="center"/>
            </w:pPr>
            <w:r w:rsidRPr="0078056B">
              <w:t>Full-time</w:t>
            </w:r>
          </w:p>
        </w:tc>
        <w:tc>
          <w:tcPr>
            <w:tcW w:w="2930" w:type="dxa"/>
            <w:tcBorders>
              <w:top w:val="single" w:sz="4" w:space="0" w:color="06357A"/>
              <w:bottom w:val="single" w:sz="4" w:space="0" w:color="06357A"/>
            </w:tcBorders>
            <w:shd w:val="clear" w:color="auto" w:fill="auto"/>
            <w:vAlign w:val="center"/>
          </w:tcPr>
          <w:p w14:paraId="5F1F2F57" w14:textId="0E6BC6DB" w:rsidR="00FC66AE" w:rsidRPr="0078056B" w:rsidRDefault="00FC66AE" w:rsidP="00FC66AE">
            <w:pPr>
              <w:pStyle w:val="TableHeading"/>
              <w:keepNext/>
              <w:keepLines/>
              <w:jc w:val="center"/>
            </w:pPr>
            <w:r w:rsidRPr="0078056B">
              <w:t>Part-time</w:t>
            </w:r>
          </w:p>
        </w:tc>
      </w:tr>
      <w:tr w:rsidR="00FC66AE" w:rsidRPr="0078056B" w14:paraId="21C80C26" w14:textId="77777777" w:rsidTr="00FC66AE">
        <w:trPr>
          <w:trHeight w:val="250"/>
        </w:trPr>
        <w:tc>
          <w:tcPr>
            <w:tcW w:w="2929" w:type="dxa"/>
            <w:tcBorders>
              <w:top w:val="single" w:sz="4" w:space="0" w:color="auto"/>
            </w:tcBorders>
            <w:shd w:val="clear" w:color="auto" w:fill="auto"/>
            <w:vAlign w:val="center"/>
          </w:tcPr>
          <w:p w14:paraId="33CEBE0A" w14:textId="77777777" w:rsidR="00FC66AE" w:rsidRPr="0078056B" w:rsidRDefault="00FC66AE" w:rsidP="00FC66AE">
            <w:pPr>
              <w:pStyle w:val="TableText"/>
              <w:keepNext/>
              <w:keepLines/>
            </w:pPr>
            <w:r w:rsidRPr="0078056B">
              <w:t>Other undergraduate</w:t>
            </w:r>
          </w:p>
        </w:tc>
        <w:tc>
          <w:tcPr>
            <w:tcW w:w="2930" w:type="dxa"/>
            <w:tcBorders>
              <w:top w:val="single" w:sz="4" w:space="0" w:color="auto"/>
            </w:tcBorders>
            <w:shd w:val="clear" w:color="auto" w:fill="auto"/>
            <w:vAlign w:val="center"/>
          </w:tcPr>
          <w:p w14:paraId="1D5D63AC" w14:textId="51AB1714" w:rsidR="00FC66AE" w:rsidRPr="0078056B" w:rsidRDefault="00FC66AE" w:rsidP="00FC66AE">
            <w:pPr>
              <w:pStyle w:val="TableText"/>
              <w:keepNext/>
              <w:keepLines/>
              <w:jc w:val="center"/>
              <w:rPr>
                <w:szCs w:val="20"/>
              </w:rPr>
            </w:pPr>
            <w:r w:rsidRPr="0078056B">
              <w:rPr>
                <w:rFonts w:cs="Calibri"/>
                <w:color w:val="000000"/>
                <w:szCs w:val="20"/>
              </w:rPr>
              <w:t>£20,000</w:t>
            </w:r>
          </w:p>
        </w:tc>
        <w:tc>
          <w:tcPr>
            <w:tcW w:w="2930" w:type="dxa"/>
            <w:tcBorders>
              <w:top w:val="single" w:sz="4" w:space="0" w:color="auto"/>
            </w:tcBorders>
            <w:shd w:val="clear" w:color="auto" w:fill="auto"/>
            <w:vAlign w:val="center"/>
          </w:tcPr>
          <w:p w14:paraId="22C56F64" w14:textId="61F42601" w:rsidR="00FC66AE" w:rsidRPr="0078056B" w:rsidRDefault="00FC66AE" w:rsidP="00FC66AE">
            <w:pPr>
              <w:pStyle w:val="TableText"/>
              <w:keepNext/>
              <w:keepLines/>
              <w:jc w:val="center"/>
              <w:rPr>
                <w:szCs w:val="20"/>
              </w:rPr>
            </w:pPr>
            <w:r w:rsidRPr="0078056B">
              <w:rPr>
                <w:rFonts w:cs="Calibri"/>
                <w:color w:val="000000"/>
                <w:szCs w:val="20"/>
              </w:rPr>
              <w:t>£15,000</w:t>
            </w:r>
          </w:p>
        </w:tc>
      </w:tr>
      <w:tr w:rsidR="00FC66AE" w:rsidRPr="0078056B" w14:paraId="140909B8" w14:textId="77777777" w:rsidTr="00FC66AE">
        <w:trPr>
          <w:trHeight w:val="250"/>
        </w:trPr>
        <w:tc>
          <w:tcPr>
            <w:tcW w:w="2929" w:type="dxa"/>
            <w:shd w:val="clear" w:color="auto" w:fill="auto"/>
            <w:vAlign w:val="center"/>
          </w:tcPr>
          <w:p w14:paraId="1286D6DD" w14:textId="77777777" w:rsidR="00FC66AE" w:rsidRPr="0078056B" w:rsidRDefault="00FC66AE" w:rsidP="00FC66AE">
            <w:pPr>
              <w:pStyle w:val="TableText"/>
              <w:keepNext/>
              <w:keepLines/>
            </w:pPr>
            <w:r w:rsidRPr="0078056B">
              <w:t>First degree</w:t>
            </w:r>
          </w:p>
        </w:tc>
        <w:tc>
          <w:tcPr>
            <w:tcW w:w="2930" w:type="dxa"/>
            <w:shd w:val="clear" w:color="auto" w:fill="auto"/>
            <w:vAlign w:val="center"/>
          </w:tcPr>
          <w:p w14:paraId="59ED9395" w14:textId="4DE57484" w:rsidR="00FC66AE" w:rsidRPr="0078056B" w:rsidRDefault="00FC66AE" w:rsidP="00FC66AE">
            <w:pPr>
              <w:pStyle w:val="TableText"/>
              <w:keepNext/>
              <w:keepLines/>
              <w:jc w:val="center"/>
              <w:rPr>
                <w:szCs w:val="20"/>
              </w:rPr>
            </w:pPr>
            <w:r w:rsidRPr="0078056B">
              <w:rPr>
                <w:rFonts w:cs="Calibri"/>
                <w:color w:val="000000"/>
                <w:szCs w:val="20"/>
              </w:rPr>
              <w:t>£58,000</w:t>
            </w:r>
          </w:p>
        </w:tc>
        <w:tc>
          <w:tcPr>
            <w:tcW w:w="2930" w:type="dxa"/>
            <w:shd w:val="clear" w:color="auto" w:fill="auto"/>
            <w:vAlign w:val="center"/>
          </w:tcPr>
          <w:p w14:paraId="0A4396EB" w14:textId="6BF9946C" w:rsidR="00FC66AE" w:rsidRPr="0078056B" w:rsidRDefault="00FC66AE" w:rsidP="00FC66AE">
            <w:pPr>
              <w:pStyle w:val="TableText"/>
              <w:keepNext/>
              <w:keepLines/>
              <w:jc w:val="center"/>
              <w:rPr>
                <w:szCs w:val="20"/>
              </w:rPr>
            </w:pPr>
            <w:r w:rsidRPr="0078056B">
              <w:rPr>
                <w:rFonts w:cs="Calibri"/>
                <w:color w:val="000000"/>
                <w:szCs w:val="20"/>
              </w:rPr>
              <w:t> </w:t>
            </w:r>
          </w:p>
        </w:tc>
      </w:tr>
      <w:tr w:rsidR="00FC66AE" w:rsidRPr="0078056B" w14:paraId="5F589BF1" w14:textId="77777777" w:rsidTr="00FC66AE">
        <w:trPr>
          <w:trHeight w:val="261"/>
        </w:trPr>
        <w:tc>
          <w:tcPr>
            <w:tcW w:w="2929" w:type="dxa"/>
            <w:shd w:val="clear" w:color="auto" w:fill="auto"/>
            <w:vAlign w:val="center"/>
          </w:tcPr>
          <w:p w14:paraId="39C694E9" w14:textId="77777777" w:rsidR="00FC66AE" w:rsidRPr="0078056B" w:rsidRDefault="00FC66AE" w:rsidP="00FC66AE">
            <w:pPr>
              <w:pStyle w:val="TableText"/>
              <w:keepNext/>
              <w:keepLines/>
            </w:pPr>
            <w:r w:rsidRPr="0078056B">
              <w:t xml:space="preserve">Other postgraduate </w:t>
            </w:r>
          </w:p>
        </w:tc>
        <w:tc>
          <w:tcPr>
            <w:tcW w:w="2930" w:type="dxa"/>
            <w:shd w:val="clear" w:color="auto" w:fill="auto"/>
            <w:vAlign w:val="center"/>
          </w:tcPr>
          <w:p w14:paraId="124B89E9" w14:textId="378EEBE1" w:rsidR="00FC66AE" w:rsidRPr="0078056B" w:rsidRDefault="00FC66AE" w:rsidP="00FC66AE">
            <w:pPr>
              <w:pStyle w:val="TableText"/>
              <w:keepNext/>
              <w:keepLines/>
              <w:jc w:val="center"/>
              <w:rPr>
                <w:szCs w:val="20"/>
              </w:rPr>
            </w:pPr>
            <w:r w:rsidRPr="0078056B">
              <w:rPr>
                <w:rFonts w:cs="Calibri"/>
                <w:color w:val="000000"/>
                <w:szCs w:val="20"/>
              </w:rPr>
              <w:t>£21,000</w:t>
            </w:r>
          </w:p>
        </w:tc>
        <w:tc>
          <w:tcPr>
            <w:tcW w:w="2930" w:type="dxa"/>
            <w:shd w:val="clear" w:color="auto" w:fill="auto"/>
            <w:vAlign w:val="center"/>
          </w:tcPr>
          <w:p w14:paraId="76F66C42" w14:textId="5A07696E" w:rsidR="00FC66AE" w:rsidRPr="0078056B" w:rsidRDefault="00FC66AE" w:rsidP="00FC66AE">
            <w:pPr>
              <w:pStyle w:val="TableText"/>
              <w:keepNext/>
              <w:keepLines/>
              <w:jc w:val="center"/>
              <w:rPr>
                <w:szCs w:val="20"/>
              </w:rPr>
            </w:pPr>
            <w:r w:rsidRPr="0078056B">
              <w:rPr>
                <w:rFonts w:cs="Calibri"/>
                <w:color w:val="000000"/>
                <w:szCs w:val="20"/>
              </w:rPr>
              <w:t>£12,000</w:t>
            </w:r>
          </w:p>
        </w:tc>
      </w:tr>
      <w:tr w:rsidR="00FC66AE" w:rsidRPr="0078056B" w14:paraId="269B94E4" w14:textId="77777777" w:rsidTr="00FC66AE">
        <w:trPr>
          <w:trHeight w:val="250"/>
        </w:trPr>
        <w:tc>
          <w:tcPr>
            <w:tcW w:w="2929" w:type="dxa"/>
            <w:shd w:val="clear" w:color="auto" w:fill="auto"/>
            <w:vAlign w:val="center"/>
          </w:tcPr>
          <w:p w14:paraId="65635706" w14:textId="77777777" w:rsidR="00FC66AE" w:rsidRPr="0078056B" w:rsidRDefault="00FC66AE" w:rsidP="00FC66AE">
            <w:pPr>
              <w:pStyle w:val="TableText"/>
              <w:keepNext/>
              <w:keepLines/>
            </w:pPr>
            <w:r w:rsidRPr="0078056B">
              <w:t>Higher degree (taught)</w:t>
            </w:r>
          </w:p>
        </w:tc>
        <w:tc>
          <w:tcPr>
            <w:tcW w:w="2930" w:type="dxa"/>
            <w:shd w:val="clear" w:color="auto" w:fill="auto"/>
            <w:vAlign w:val="center"/>
          </w:tcPr>
          <w:p w14:paraId="2F0E5F4A" w14:textId="32AA8789" w:rsidR="00FC66AE" w:rsidRPr="0078056B" w:rsidRDefault="00FC66AE" w:rsidP="00FC66AE">
            <w:pPr>
              <w:pStyle w:val="TableText"/>
              <w:keepNext/>
              <w:keepLines/>
              <w:jc w:val="center"/>
              <w:rPr>
                <w:szCs w:val="20"/>
              </w:rPr>
            </w:pPr>
            <w:r w:rsidRPr="0078056B">
              <w:rPr>
                <w:rFonts w:cs="Calibri"/>
                <w:color w:val="000000"/>
                <w:szCs w:val="20"/>
              </w:rPr>
              <w:t>£21,000</w:t>
            </w:r>
          </w:p>
        </w:tc>
        <w:tc>
          <w:tcPr>
            <w:tcW w:w="2930" w:type="dxa"/>
            <w:shd w:val="clear" w:color="auto" w:fill="auto"/>
            <w:vAlign w:val="center"/>
          </w:tcPr>
          <w:p w14:paraId="556A791E" w14:textId="4F7062E8" w:rsidR="00FC66AE" w:rsidRPr="0078056B" w:rsidRDefault="00FC66AE" w:rsidP="00FC66AE">
            <w:pPr>
              <w:pStyle w:val="TableText"/>
              <w:keepNext/>
              <w:keepLines/>
              <w:jc w:val="center"/>
              <w:rPr>
                <w:szCs w:val="20"/>
              </w:rPr>
            </w:pPr>
            <w:r w:rsidRPr="0078056B">
              <w:rPr>
                <w:rFonts w:cs="Calibri"/>
                <w:color w:val="000000"/>
                <w:szCs w:val="20"/>
              </w:rPr>
              <w:t>£18,000</w:t>
            </w:r>
          </w:p>
        </w:tc>
      </w:tr>
      <w:tr w:rsidR="00FC66AE" w:rsidRPr="0078056B" w14:paraId="65CE334C" w14:textId="77777777" w:rsidTr="00FC66AE">
        <w:trPr>
          <w:trHeight w:val="250"/>
        </w:trPr>
        <w:tc>
          <w:tcPr>
            <w:tcW w:w="2929" w:type="dxa"/>
            <w:tcBorders>
              <w:bottom w:val="single" w:sz="4" w:space="0" w:color="06357A"/>
            </w:tcBorders>
            <w:shd w:val="clear" w:color="auto" w:fill="auto"/>
            <w:vAlign w:val="center"/>
          </w:tcPr>
          <w:p w14:paraId="39ABAA3F" w14:textId="77777777" w:rsidR="00FC66AE" w:rsidRPr="0078056B" w:rsidRDefault="00FC66AE" w:rsidP="00FC66AE">
            <w:pPr>
              <w:pStyle w:val="TableText"/>
              <w:keepNext/>
              <w:keepLines/>
            </w:pPr>
            <w:r w:rsidRPr="0078056B">
              <w:t xml:space="preserve">Higher degree (research) </w:t>
            </w:r>
          </w:p>
        </w:tc>
        <w:tc>
          <w:tcPr>
            <w:tcW w:w="2930" w:type="dxa"/>
            <w:tcBorders>
              <w:bottom w:val="single" w:sz="4" w:space="0" w:color="06357A"/>
            </w:tcBorders>
            <w:shd w:val="clear" w:color="auto" w:fill="auto"/>
            <w:vAlign w:val="center"/>
          </w:tcPr>
          <w:p w14:paraId="09AF0E4E" w14:textId="3DA94BBA" w:rsidR="00FC66AE" w:rsidRPr="0078056B" w:rsidRDefault="00FC66AE" w:rsidP="00FC66AE">
            <w:pPr>
              <w:pStyle w:val="TableText"/>
              <w:keepNext/>
              <w:keepLines/>
              <w:jc w:val="center"/>
              <w:rPr>
                <w:szCs w:val="20"/>
              </w:rPr>
            </w:pPr>
            <w:r w:rsidRPr="0078056B">
              <w:rPr>
                <w:rFonts w:cs="Calibri"/>
                <w:color w:val="000000"/>
                <w:szCs w:val="20"/>
              </w:rPr>
              <w:t>£18,000</w:t>
            </w:r>
          </w:p>
        </w:tc>
        <w:tc>
          <w:tcPr>
            <w:tcW w:w="2930" w:type="dxa"/>
            <w:tcBorders>
              <w:bottom w:val="single" w:sz="4" w:space="0" w:color="06357A"/>
            </w:tcBorders>
            <w:shd w:val="clear" w:color="auto" w:fill="auto"/>
            <w:vAlign w:val="center"/>
          </w:tcPr>
          <w:p w14:paraId="1BC46A87" w14:textId="5F2A2B81" w:rsidR="00FC66AE" w:rsidRPr="0078056B" w:rsidRDefault="00FC66AE" w:rsidP="00FC66AE">
            <w:pPr>
              <w:pStyle w:val="TableText"/>
              <w:keepNext/>
              <w:keepLines/>
              <w:jc w:val="center"/>
              <w:rPr>
                <w:szCs w:val="20"/>
              </w:rPr>
            </w:pPr>
            <w:r w:rsidRPr="0078056B">
              <w:rPr>
                <w:rFonts w:cs="Calibri"/>
                <w:color w:val="000000"/>
                <w:szCs w:val="20"/>
              </w:rPr>
              <w:t>£41,000</w:t>
            </w:r>
          </w:p>
        </w:tc>
      </w:tr>
    </w:tbl>
    <w:p w14:paraId="3292D23D" w14:textId="772883B4" w:rsidR="000E398D" w:rsidRPr="0078056B" w:rsidRDefault="000E398D" w:rsidP="00FC66AE">
      <w:pPr>
        <w:pStyle w:val="TableNote"/>
        <w:keepNext/>
        <w:keepLines/>
      </w:pPr>
      <w:r w:rsidRPr="0078056B">
        <w:t xml:space="preserve">Note: Gaps may arise where there are no students in the 2021-22 </w:t>
      </w:r>
      <w:r w:rsidR="00917E84" w:rsidRPr="0078056B">
        <w:t>University of Birmingham</w:t>
      </w:r>
      <w:r w:rsidRPr="0078056B">
        <w:t xml:space="preserve"> cohort expected to complete the given qualification (of the given characteristics). All estimates are presented in 2021-22 prices, discounted to reflect net present values, and rounded to the nearest £1,000.</w:t>
      </w:r>
    </w:p>
    <w:p w14:paraId="459829A7" w14:textId="77777777" w:rsidR="000E398D" w:rsidRPr="0078056B" w:rsidRDefault="000E398D" w:rsidP="000E398D">
      <w:pPr>
        <w:pStyle w:val="TableSource"/>
      </w:pPr>
      <w:r w:rsidRPr="0078056B">
        <w:t>Source: London Economics' analysis</w:t>
      </w:r>
    </w:p>
    <w:p w14:paraId="7982CE0C" w14:textId="77777777" w:rsidR="000E398D" w:rsidRPr="0078056B" w:rsidRDefault="000E398D" w:rsidP="000E398D">
      <w:pPr>
        <w:pStyle w:val="AnnexHeading3"/>
      </w:pPr>
      <w:bookmarkStart w:id="540" w:name="_Ref146710731"/>
      <w:r w:rsidRPr="0078056B">
        <w:t>Assumed average stay durations among international student entrants</w:t>
      </w:r>
      <w:bookmarkEnd w:id="540"/>
    </w:p>
    <w:p w14:paraId="2A278F28" w14:textId="58F454AE" w:rsidR="000E398D" w:rsidRPr="0078056B" w:rsidRDefault="000E398D" w:rsidP="000E398D">
      <w:r w:rsidRPr="0078056B">
        <w:t xml:space="preserve">As outlined in Section </w:t>
      </w:r>
      <w:r w:rsidR="00883A78" w:rsidRPr="0078056B">
        <w:fldChar w:fldCharType="begin"/>
      </w:r>
      <w:r w:rsidR="00883A78" w:rsidRPr="0078056B">
        <w:instrText xml:space="preserve"> REF _Ref162270067 \r \h  \* MERGEFORMAT </w:instrText>
      </w:r>
      <w:r w:rsidR="00883A78" w:rsidRPr="0078056B">
        <w:fldChar w:fldCharType="separate"/>
      </w:r>
      <w:r w:rsidR="00E33157">
        <w:t>4.3</w:t>
      </w:r>
      <w:r w:rsidR="00883A78" w:rsidRPr="0078056B">
        <w:fldChar w:fldCharType="end"/>
      </w:r>
      <w:r w:rsidRPr="0078056B">
        <w:t xml:space="preserve">, to estimate the non-tuition fee income associated with non-UK students in the 2021-22 </w:t>
      </w:r>
      <w:r w:rsidR="00883A78" w:rsidRPr="0078056B">
        <w:t>University of Birmingham</w:t>
      </w:r>
      <w:r w:rsidRPr="0078056B">
        <w:t xml:space="preserve"> cohort, we adjusted the estimates of non-tuition fee expenditure per academic year from the Student Income and Expenditure Survey (based on English domiciled students) to reflect longer stay durations in the UK for international students. </w:t>
      </w:r>
    </w:p>
    <w:p w14:paraId="4AABC17B" w14:textId="27237B69" w:rsidR="000E398D" w:rsidRPr="0078056B" w:rsidRDefault="000E398D" w:rsidP="000E398D">
      <w:pPr>
        <w:rPr>
          <w:sz w:val="20"/>
          <w:szCs w:val="20"/>
        </w:rPr>
      </w:pPr>
      <w:r w:rsidRPr="0078056B">
        <w:t xml:space="preserve">In particular, following a similar approach as a study for the (former) Department for Business, Innovation and Skills (2011b), we assume that </w:t>
      </w:r>
      <w:r w:rsidRPr="0078056B">
        <w:rPr>
          <w:rFonts w:eastAsia="Times New Roman" w:cs="Microsoft Sans Serif"/>
          <w:b/>
          <w:color w:val="06357A"/>
        </w:rPr>
        <w:t>EU domiciled postgraduate</w:t>
      </w:r>
      <w:r w:rsidRPr="0078056B">
        <w:rPr>
          <w:sz w:val="20"/>
          <w:szCs w:val="20"/>
        </w:rPr>
        <w:t xml:space="preserve"> </w:t>
      </w:r>
      <w:r w:rsidRPr="0078056B">
        <w:t xml:space="preserve">and </w:t>
      </w:r>
      <w:r w:rsidRPr="0078056B">
        <w:rPr>
          <w:rFonts w:eastAsia="Times New Roman" w:cs="Microsoft Sans Serif"/>
          <w:b/>
          <w:color w:val="06357A"/>
        </w:rPr>
        <w:t xml:space="preserve">non-EU domiciled undergraduate and postgraduate students </w:t>
      </w:r>
      <w:r w:rsidRPr="0078056B">
        <w:t>spend a</w:t>
      </w:r>
      <w:r w:rsidRPr="0078056B">
        <w:rPr>
          <w:rFonts w:eastAsia="Times New Roman" w:cs="Microsoft Sans Serif"/>
          <w:b/>
          <w:color w:val="06357A"/>
        </w:rPr>
        <w:t xml:space="preserve"> </w:t>
      </w:r>
      <w:r w:rsidRPr="0078056B">
        <w:t>larger amount of time in the UK than prescribed by the duration of the academic year (39 weeks), on average</w:t>
      </w:r>
      <w:r w:rsidRPr="0078056B">
        <w:rPr>
          <w:vertAlign w:val="superscript"/>
        </w:rPr>
        <w:footnoteReference w:id="143"/>
      </w:r>
      <w:r w:rsidRPr="0078056B">
        <w:t xml:space="preserve">. Hence, we assume that all international postgraduate students (both EU and non-EU domiciled) spend </w:t>
      </w:r>
      <w:r w:rsidRPr="0078056B">
        <w:rPr>
          <w:rFonts w:eastAsia="Times New Roman" w:cs="Microsoft Sans Serif"/>
          <w:b/>
          <w:color w:val="06357A"/>
        </w:rPr>
        <w:t>52 weeks</w:t>
      </w:r>
      <w:r w:rsidRPr="0078056B">
        <w:rPr>
          <w:sz w:val="20"/>
          <w:szCs w:val="20"/>
        </w:rPr>
        <w:t xml:space="preserve"> </w:t>
      </w:r>
      <w:r w:rsidRPr="0078056B">
        <w:t xml:space="preserve">per year in the UK (as they write their dissertations during the summer). Further, we assume that non-EU domiciled and EU domiciled undergraduate students spend </w:t>
      </w:r>
      <w:r w:rsidR="007F2A6E" w:rsidRPr="0078056B">
        <w:t>a</w:t>
      </w:r>
      <w:r w:rsidRPr="0078056B">
        <w:t xml:space="preserve">n average of 42 and 39 weeks per year in the UK (respectively). The lower stay duration for EU undergraduate students reflects the expectation that these students, given the relative geographical proximity to their home countries and the resulting relative ease and low cost of transport, are more likely to return home during holidays. These assumptions are summarised in </w:t>
      </w:r>
      <w:r w:rsidR="00883A78" w:rsidRPr="0078056B">
        <w:fldChar w:fldCharType="begin"/>
      </w:r>
      <w:r w:rsidR="00883A78" w:rsidRPr="0078056B">
        <w:instrText xml:space="preserve"> REF _Ref144482263 \r \h  \* MERGEFORMAT </w:instrText>
      </w:r>
      <w:r w:rsidR="00883A78" w:rsidRPr="0078056B">
        <w:fldChar w:fldCharType="separate"/>
      </w:r>
      <w:r w:rsidR="00E33157">
        <w:t>Table 25</w:t>
      </w:r>
      <w:r w:rsidR="00883A78" w:rsidRPr="0078056B">
        <w:fldChar w:fldCharType="end"/>
      </w:r>
      <w:r w:rsidRPr="0078056B">
        <w:t>.</w:t>
      </w:r>
    </w:p>
    <w:p w14:paraId="3A2A5E41" w14:textId="77777777" w:rsidR="000E398D" w:rsidRPr="0078056B" w:rsidRDefault="000E398D" w:rsidP="00883A78">
      <w:pPr>
        <w:pStyle w:val="TableTitle"/>
      </w:pPr>
      <w:bookmarkStart w:id="541" w:name="_Ref144482263"/>
      <w:bookmarkStart w:id="542" w:name="_Toc148543121"/>
      <w:bookmarkStart w:id="543" w:name="_Toc168652180"/>
      <w:r w:rsidRPr="0078056B">
        <w:t>Assumed average stay durations (in weeks per year) for non-UK domiciled students, by study level and study mode</w:t>
      </w:r>
      <w:bookmarkEnd w:id="541"/>
      <w:bookmarkEnd w:id="542"/>
      <w:bookmarkEnd w:id="543"/>
    </w:p>
    <w:tbl>
      <w:tblPr>
        <w:tblW w:w="8844" w:type="dxa"/>
        <w:tblBorders>
          <w:top w:val="single" w:sz="4" w:space="0" w:color="BFBFBF"/>
          <w:bottom w:val="single" w:sz="4" w:space="0" w:color="BFBFBF"/>
          <w:insideH w:val="single" w:sz="4" w:space="0" w:color="BFBFBF"/>
          <w:insideV w:val="single" w:sz="4" w:space="0" w:color="BFBFBF"/>
        </w:tblBorders>
        <w:tblLayout w:type="fixed"/>
        <w:tblCellMar>
          <w:left w:w="0" w:type="dxa"/>
          <w:right w:w="0" w:type="dxa"/>
        </w:tblCellMar>
        <w:tblLook w:val="0620" w:firstRow="1" w:lastRow="0" w:firstColumn="0" w:lastColumn="0" w:noHBand="1" w:noVBand="1"/>
      </w:tblPr>
      <w:tblGrid>
        <w:gridCol w:w="2948"/>
        <w:gridCol w:w="2948"/>
        <w:gridCol w:w="2948"/>
      </w:tblGrid>
      <w:tr w:rsidR="000E398D" w:rsidRPr="0078056B" w14:paraId="4DD9838C" w14:textId="77777777" w:rsidTr="00C042A1">
        <w:trPr>
          <w:trHeight w:val="283"/>
          <w:tblHeader/>
        </w:trPr>
        <w:tc>
          <w:tcPr>
            <w:tcW w:w="2948" w:type="dxa"/>
            <w:vMerge w:val="restart"/>
            <w:tcBorders>
              <w:top w:val="single" w:sz="4" w:space="0" w:color="06357A"/>
            </w:tcBorders>
            <w:shd w:val="clear" w:color="auto" w:fill="auto"/>
            <w:vAlign w:val="center"/>
          </w:tcPr>
          <w:p w14:paraId="066EC3E6" w14:textId="77777777" w:rsidR="000E398D" w:rsidRPr="0078056B" w:rsidRDefault="000E398D" w:rsidP="00C042A1">
            <w:pPr>
              <w:pStyle w:val="TableHeading"/>
            </w:pPr>
            <w:r w:rsidRPr="0078056B">
              <w:t>Level of study</w:t>
            </w:r>
          </w:p>
        </w:tc>
        <w:tc>
          <w:tcPr>
            <w:tcW w:w="5896" w:type="dxa"/>
            <w:gridSpan w:val="2"/>
            <w:tcBorders>
              <w:top w:val="single" w:sz="4" w:space="0" w:color="06357A"/>
              <w:bottom w:val="single" w:sz="4" w:space="0" w:color="06357A"/>
            </w:tcBorders>
            <w:shd w:val="clear" w:color="auto" w:fill="auto"/>
            <w:vAlign w:val="center"/>
          </w:tcPr>
          <w:p w14:paraId="625E11B0" w14:textId="77777777" w:rsidR="000E398D" w:rsidRPr="0078056B" w:rsidRDefault="000E398D" w:rsidP="00C042A1">
            <w:pPr>
              <w:pStyle w:val="TableHeading"/>
              <w:jc w:val="center"/>
            </w:pPr>
            <w:r w:rsidRPr="0078056B">
              <w:t>Domicile</w:t>
            </w:r>
          </w:p>
        </w:tc>
      </w:tr>
      <w:tr w:rsidR="000E398D" w:rsidRPr="0078056B" w14:paraId="7CCE55DB" w14:textId="77777777" w:rsidTr="00C042A1">
        <w:trPr>
          <w:trHeight w:val="283"/>
        </w:trPr>
        <w:tc>
          <w:tcPr>
            <w:tcW w:w="2948" w:type="dxa"/>
            <w:vMerge/>
            <w:tcBorders>
              <w:bottom w:val="single" w:sz="4" w:space="0" w:color="auto"/>
            </w:tcBorders>
            <w:shd w:val="clear" w:color="auto" w:fill="auto"/>
            <w:vAlign w:val="center"/>
          </w:tcPr>
          <w:p w14:paraId="2C98804E" w14:textId="77777777" w:rsidR="000E398D" w:rsidRPr="0078056B" w:rsidRDefault="000E398D" w:rsidP="00C042A1">
            <w:pPr>
              <w:pStyle w:val="TableText"/>
            </w:pPr>
          </w:p>
        </w:tc>
        <w:tc>
          <w:tcPr>
            <w:tcW w:w="2948" w:type="dxa"/>
            <w:tcBorders>
              <w:top w:val="single" w:sz="4" w:space="0" w:color="06357A"/>
              <w:bottom w:val="single" w:sz="4" w:space="0" w:color="auto"/>
            </w:tcBorders>
            <w:shd w:val="clear" w:color="auto" w:fill="auto"/>
            <w:vAlign w:val="center"/>
          </w:tcPr>
          <w:p w14:paraId="717F0022" w14:textId="77777777" w:rsidR="000E398D" w:rsidRPr="0078056B" w:rsidRDefault="000E398D" w:rsidP="00C042A1">
            <w:pPr>
              <w:pStyle w:val="TableHeading"/>
              <w:jc w:val="center"/>
            </w:pPr>
            <w:r w:rsidRPr="0078056B">
              <w:t>EU</w:t>
            </w:r>
          </w:p>
        </w:tc>
        <w:tc>
          <w:tcPr>
            <w:tcW w:w="2948" w:type="dxa"/>
            <w:tcBorders>
              <w:top w:val="single" w:sz="4" w:space="0" w:color="06357A"/>
              <w:bottom w:val="single" w:sz="4" w:space="0" w:color="auto"/>
            </w:tcBorders>
            <w:shd w:val="clear" w:color="auto" w:fill="auto"/>
            <w:vAlign w:val="center"/>
          </w:tcPr>
          <w:p w14:paraId="3035035A" w14:textId="77777777" w:rsidR="000E398D" w:rsidRPr="0078056B" w:rsidRDefault="000E398D" w:rsidP="00C042A1">
            <w:pPr>
              <w:pStyle w:val="TableHeading"/>
              <w:jc w:val="center"/>
            </w:pPr>
            <w:r w:rsidRPr="0078056B">
              <w:t>Non-EU</w:t>
            </w:r>
          </w:p>
        </w:tc>
      </w:tr>
      <w:tr w:rsidR="000E398D" w:rsidRPr="0078056B" w14:paraId="0E90D5BB" w14:textId="77777777" w:rsidTr="00C042A1">
        <w:trPr>
          <w:trHeight w:val="283"/>
        </w:trPr>
        <w:tc>
          <w:tcPr>
            <w:tcW w:w="2948" w:type="dxa"/>
            <w:tcBorders>
              <w:top w:val="single" w:sz="4" w:space="0" w:color="auto"/>
            </w:tcBorders>
            <w:shd w:val="clear" w:color="auto" w:fill="auto"/>
            <w:vAlign w:val="center"/>
          </w:tcPr>
          <w:p w14:paraId="12C09B50" w14:textId="77777777" w:rsidR="000E398D" w:rsidRPr="0078056B" w:rsidRDefault="000E398D" w:rsidP="00C042A1">
            <w:pPr>
              <w:pStyle w:val="TableText"/>
            </w:pPr>
            <w:r w:rsidRPr="0078056B">
              <w:t>Undergraduate</w:t>
            </w:r>
          </w:p>
        </w:tc>
        <w:tc>
          <w:tcPr>
            <w:tcW w:w="2948" w:type="dxa"/>
            <w:tcBorders>
              <w:top w:val="single" w:sz="4" w:space="0" w:color="auto"/>
            </w:tcBorders>
            <w:shd w:val="clear" w:color="auto" w:fill="auto"/>
            <w:vAlign w:val="center"/>
          </w:tcPr>
          <w:p w14:paraId="0212FD25" w14:textId="77777777" w:rsidR="000E398D" w:rsidRPr="0078056B" w:rsidRDefault="000E398D" w:rsidP="00C042A1">
            <w:pPr>
              <w:pStyle w:val="TableText"/>
              <w:jc w:val="center"/>
            </w:pPr>
            <w:r w:rsidRPr="0078056B">
              <w:t>39 weeks</w:t>
            </w:r>
          </w:p>
        </w:tc>
        <w:tc>
          <w:tcPr>
            <w:tcW w:w="2948" w:type="dxa"/>
            <w:tcBorders>
              <w:top w:val="single" w:sz="4" w:space="0" w:color="auto"/>
            </w:tcBorders>
            <w:shd w:val="clear" w:color="auto" w:fill="auto"/>
            <w:vAlign w:val="center"/>
          </w:tcPr>
          <w:p w14:paraId="2D8626F2" w14:textId="77777777" w:rsidR="000E398D" w:rsidRPr="0078056B" w:rsidRDefault="000E398D" w:rsidP="00C042A1">
            <w:pPr>
              <w:pStyle w:val="TableText"/>
              <w:jc w:val="center"/>
            </w:pPr>
            <w:r w:rsidRPr="0078056B">
              <w:t>42 weeks</w:t>
            </w:r>
          </w:p>
        </w:tc>
      </w:tr>
      <w:tr w:rsidR="000E398D" w:rsidRPr="0078056B" w14:paraId="1BEC4608" w14:textId="77777777" w:rsidTr="00C042A1">
        <w:trPr>
          <w:trHeight w:val="283"/>
        </w:trPr>
        <w:tc>
          <w:tcPr>
            <w:tcW w:w="2948" w:type="dxa"/>
            <w:tcBorders>
              <w:bottom w:val="single" w:sz="4" w:space="0" w:color="06357A"/>
            </w:tcBorders>
            <w:shd w:val="clear" w:color="auto" w:fill="auto"/>
            <w:vAlign w:val="center"/>
          </w:tcPr>
          <w:p w14:paraId="656419CF" w14:textId="77777777" w:rsidR="000E398D" w:rsidRPr="0078056B" w:rsidRDefault="000E398D" w:rsidP="00C042A1">
            <w:pPr>
              <w:pStyle w:val="TableText"/>
            </w:pPr>
            <w:r w:rsidRPr="0078056B">
              <w:t>Postgraduate</w:t>
            </w:r>
          </w:p>
        </w:tc>
        <w:tc>
          <w:tcPr>
            <w:tcW w:w="2948" w:type="dxa"/>
            <w:tcBorders>
              <w:bottom w:val="single" w:sz="4" w:space="0" w:color="06357A"/>
            </w:tcBorders>
            <w:shd w:val="clear" w:color="auto" w:fill="auto"/>
            <w:vAlign w:val="center"/>
          </w:tcPr>
          <w:p w14:paraId="4C3F00DA" w14:textId="77777777" w:rsidR="000E398D" w:rsidRPr="0078056B" w:rsidRDefault="000E398D" w:rsidP="00C042A1">
            <w:pPr>
              <w:pStyle w:val="TableText"/>
              <w:jc w:val="center"/>
            </w:pPr>
            <w:r w:rsidRPr="0078056B">
              <w:t>52 weeks</w:t>
            </w:r>
          </w:p>
        </w:tc>
        <w:tc>
          <w:tcPr>
            <w:tcW w:w="2948" w:type="dxa"/>
            <w:tcBorders>
              <w:bottom w:val="single" w:sz="4" w:space="0" w:color="06357A"/>
            </w:tcBorders>
            <w:shd w:val="clear" w:color="auto" w:fill="auto"/>
            <w:vAlign w:val="center"/>
          </w:tcPr>
          <w:p w14:paraId="28107F31" w14:textId="77777777" w:rsidR="000E398D" w:rsidRPr="0078056B" w:rsidRDefault="000E398D" w:rsidP="00C042A1">
            <w:pPr>
              <w:pStyle w:val="TableText"/>
              <w:jc w:val="center"/>
            </w:pPr>
            <w:r w:rsidRPr="0078056B">
              <w:t>52 weeks</w:t>
            </w:r>
          </w:p>
        </w:tc>
      </w:tr>
    </w:tbl>
    <w:p w14:paraId="52476278" w14:textId="77777777" w:rsidR="000E398D" w:rsidRPr="0078056B" w:rsidRDefault="000E398D" w:rsidP="000E398D">
      <w:pPr>
        <w:pStyle w:val="TableSource"/>
      </w:pPr>
      <w:r w:rsidRPr="0078056B">
        <w:t>Source: London Economics' analysis based on Department for Business, Innovation and Skills (2011b)</w:t>
      </w:r>
    </w:p>
    <w:p w14:paraId="17996CF7" w14:textId="77777777" w:rsidR="000E398D" w:rsidRPr="0078056B" w:rsidRDefault="000E398D" w:rsidP="000E398D">
      <w:pPr>
        <w:pStyle w:val="AnnexHeading3"/>
      </w:pPr>
      <w:bookmarkStart w:id="544" w:name="_Ref146710741"/>
      <w:r w:rsidRPr="0078056B">
        <w:t>Non-fee income per international student</w:t>
      </w:r>
      <w:bookmarkEnd w:id="544"/>
    </w:p>
    <w:p w14:paraId="73F5EB43" w14:textId="62CADB53" w:rsidR="000E398D" w:rsidRPr="0078056B" w:rsidRDefault="00F720CA" w:rsidP="000E398D">
      <w:r w:rsidRPr="0078056B">
        <w:fldChar w:fldCharType="begin"/>
      </w:r>
      <w:r w:rsidRPr="0078056B">
        <w:instrText xml:space="preserve"> REF _Ref144483091 \r \h  \* MERGEFORMAT </w:instrText>
      </w:r>
      <w:r w:rsidRPr="0078056B">
        <w:fldChar w:fldCharType="separate"/>
      </w:r>
      <w:r w:rsidR="00E33157">
        <w:t>Table 26</w:t>
      </w:r>
      <w:r w:rsidRPr="0078056B">
        <w:fldChar w:fldCharType="end"/>
      </w:r>
      <w:r w:rsidR="000E398D" w:rsidRPr="0078056B">
        <w:t xml:space="preserve"> presents estimates of the non-tuition fee income per international student in the 2021-22 </w:t>
      </w:r>
      <w:r w:rsidR="00D17998" w:rsidRPr="0078056B">
        <w:t>University of Birmingham</w:t>
      </w:r>
      <w:r w:rsidR="000E398D" w:rsidRPr="0078056B">
        <w:t xml:space="preserve"> cohort (over the entire study duration), by domicile, level of study, and mode of study.</w:t>
      </w:r>
      <w:r w:rsidR="00FC66AE" w:rsidRPr="0078056B">
        <w:rPr>
          <w:rStyle w:val="FootnoteReference"/>
        </w:rPr>
        <w:footnoteReference w:id="144"/>
      </w:r>
    </w:p>
    <w:p w14:paraId="3C4F57A3" w14:textId="0CDC39A2" w:rsidR="000E398D" w:rsidRPr="0078056B" w:rsidRDefault="000E398D" w:rsidP="00F720CA">
      <w:pPr>
        <w:pStyle w:val="TableTitle"/>
      </w:pPr>
      <w:bookmarkStart w:id="545" w:name="_Ref144483091"/>
      <w:bookmarkStart w:id="546" w:name="_Toc148543122"/>
      <w:bookmarkStart w:id="547" w:name="_Toc168652181"/>
      <w:r w:rsidRPr="0078056B">
        <w:lastRenderedPageBreak/>
        <w:t xml:space="preserve">Non-fee income per international student in the 2021-22 cohort of </w:t>
      </w:r>
      <w:r w:rsidR="00D17998" w:rsidRPr="0078056B">
        <w:t>University of Birmingham</w:t>
      </w:r>
      <w:r w:rsidRPr="0078056B">
        <w:t xml:space="preserve"> students, be level of study, mode, and domicile</w:t>
      </w:r>
      <w:bookmarkEnd w:id="545"/>
      <w:bookmarkEnd w:id="546"/>
      <w:bookmarkEnd w:id="547"/>
    </w:p>
    <w:tbl>
      <w:tblPr>
        <w:tblW w:w="8844" w:type="dxa"/>
        <w:tblBorders>
          <w:top w:val="single" w:sz="4" w:space="0" w:color="BFBFBF"/>
          <w:bottom w:val="single" w:sz="4" w:space="0" w:color="BFBFBF"/>
          <w:insideH w:val="single" w:sz="4" w:space="0" w:color="BFBFBF"/>
          <w:insideV w:val="single" w:sz="4" w:space="0" w:color="BFBFBF"/>
        </w:tblBorders>
        <w:tblLayout w:type="fixed"/>
        <w:tblCellMar>
          <w:left w:w="0" w:type="dxa"/>
          <w:right w:w="0" w:type="dxa"/>
        </w:tblCellMar>
        <w:tblLook w:val="0620" w:firstRow="1" w:lastRow="0" w:firstColumn="0" w:lastColumn="0" w:noHBand="1" w:noVBand="1"/>
      </w:tblPr>
      <w:tblGrid>
        <w:gridCol w:w="2552"/>
        <w:gridCol w:w="1701"/>
        <w:gridCol w:w="1417"/>
        <w:gridCol w:w="1560"/>
        <w:gridCol w:w="1614"/>
      </w:tblGrid>
      <w:tr w:rsidR="000E398D" w:rsidRPr="0078056B" w14:paraId="1F5754FE" w14:textId="77777777" w:rsidTr="00C042A1">
        <w:trPr>
          <w:tblHeader/>
        </w:trPr>
        <w:tc>
          <w:tcPr>
            <w:tcW w:w="2552" w:type="dxa"/>
            <w:vMerge w:val="restart"/>
            <w:tcBorders>
              <w:top w:val="single" w:sz="4" w:space="0" w:color="06357A"/>
              <w:bottom w:val="single" w:sz="4" w:space="0" w:color="auto"/>
            </w:tcBorders>
            <w:shd w:val="clear" w:color="auto" w:fill="auto"/>
            <w:vAlign w:val="center"/>
          </w:tcPr>
          <w:p w14:paraId="4AE1CA14" w14:textId="77777777" w:rsidR="000E398D" w:rsidRPr="0078056B" w:rsidRDefault="000E398D" w:rsidP="00FC66AE">
            <w:pPr>
              <w:pStyle w:val="TableHeading"/>
              <w:keepNext/>
            </w:pPr>
            <w:r w:rsidRPr="0078056B">
              <w:t>Level</w:t>
            </w:r>
          </w:p>
        </w:tc>
        <w:tc>
          <w:tcPr>
            <w:tcW w:w="3118" w:type="dxa"/>
            <w:gridSpan w:val="2"/>
            <w:tcBorders>
              <w:top w:val="single" w:sz="4" w:space="0" w:color="06357A"/>
              <w:bottom w:val="single" w:sz="4" w:space="0" w:color="06357A"/>
            </w:tcBorders>
            <w:shd w:val="clear" w:color="auto" w:fill="auto"/>
            <w:vAlign w:val="center"/>
          </w:tcPr>
          <w:p w14:paraId="53122E24" w14:textId="77777777" w:rsidR="000E398D" w:rsidRPr="0078056B" w:rsidRDefault="000E398D" w:rsidP="00FC66AE">
            <w:pPr>
              <w:pStyle w:val="TableHeading"/>
              <w:keepNext/>
              <w:jc w:val="center"/>
            </w:pPr>
            <w:r w:rsidRPr="0078056B">
              <w:t>EU domiciled students</w:t>
            </w:r>
          </w:p>
        </w:tc>
        <w:tc>
          <w:tcPr>
            <w:tcW w:w="3174" w:type="dxa"/>
            <w:gridSpan w:val="2"/>
            <w:tcBorders>
              <w:top w:val="single" w:sz="4" w:space="0" w:color="06357A"/>
              <w:bottom w:val="single" w:sz="4" w:space="0" w:color="06357A"/>
            </w:tcBorders>
            <w:shd w:val="clear" w:color="auto" w:fill="auto"/>
            <w:vAlign w:val="center"/>
          </w:tcPr>
          <w:p w14:paraId="7B8102DA" w14:textId="77777777" w:rsidR="000E398D" w:rsidRPr="0078056B" w:rsidRDefault="000E398D" w:rsidP="00FC66AE">
            <w:pPr>
              <w:pStyle w:val="TableHeading"/>
              <w:keepNext/>
              <w:jc w:val="center"/>
            </w:pPr>
            <w:r w:rsidRPr="0078056B">
              <w:t>Non-EU domiciled students</w:t>
            </w:r>
          </w:p>
        </w:tc>
      </w:tr>
      <w:tr w:rsidR="000E398D" w:rsidRPr="0078056B" w14:paraId="6F950DC9" w14:textId="77777777" w:rsidTr="00C042A1">
        <w:tc>
          <w:tcPr>
            <w:tcW w:w="2552" w:type="dxa"/>
            <w:vMerge/>
            <w:tcBorders>
              <w:bottom w:val="single" w:sz="4" w:space="0" w:color="auto"/>
            </w:tcBorders>
            <w:shd w:val="clear" w:color="auto" w:fill="auto"/>
            <w:vAlign w:val="center"/>
          </w:tcPr>
          <w:p w14:paraId="7464480C" w14:textId="77777777" w:rsidR="000E398D" w:rsidRPr="0078056B" w:rsidRDefault="000E398D" w:rsidP="00FC66AE">
            <w:pPr>
              <w:pStyle w:val="TableText"/>
              <w:keepNext/>
            </w:pPr>
          </w:p>
        </w:tc>
        <w:tc>
          <w:tcPr>
            <w:tcW w:w="1701" w:type="dxa"/>
            <w:tcBorders>
              <w:top w:val="single" w:sz="4" w:space="0" w:color="06357A"/>
              <w:bottom w:val="single" w:sz="4" w:space="0" w:color="auto"/>
            </w:tcBorders>
            <w:shd w:val="clear" w:color="auto" w:fill="auto"/>
            <w:vAlign w:val="center"/>
          </w:tcPr>
          <w:p w14:paraId="462CE1E8" w14:textId="77777777" w:rsidR="000E398D" w:rsidRPr="0078056B" w:rsidRDefault="000E398D" w:rsidP="00FC66AE">
            <w:pPr>
              <w:pStyle w:val="TableHeading"/>
              <w:keepNext/>
              <w:jc w:val="center"/>
            </w:pPr>
            <w:r w:rsidRPr="0078056B">
              <w:t>Full-time</w:t>
            </w:r>
          </w:p>
        </w:tc>
        <w:tc>
          <w:tcPr>
            <w:tcW w:w="1417" w:type="dxa"/>
            <w:tcBorders>
              <w:top w:val="single" w:sz="4" w:space="0" w:color="06357A"/>
              <w:bottom w:val="single" w:sz="4" w:space="0" w:color="auto"/>
            </w:tcBorders>
            <w:shd w:val="clear" w:color="auto" w:fill="auto"/>
            <w:vAlign w:val="center"/>
          </w:tcPr>
          <w:p w14:paraId="42E34A56" w14:textId="77777777" w:rsidR="000E398D" w:rsidRPr="0078056B" w:rsidRDefault="000E398D" w:rsidP="00FC66AE">
            <w:pPr>
              <w:pStyle w:val="TableHeading"/>
              <w:keepNext/>
              <w:jc w:val="center"/>
            </w:pPr>
            <w:r w:rsidRPr="0078056B">
              <w:t>Part-time</w:t>
            </w:r>
          </w:p>
        </w:tc>
        <w:tc>
          <w:tcPr>
            <w:tcW w:w="1560" w:type="dxa"/>
            <w:tcBorders>
              <w:top w:val="single" w:sz="4" w:space="0" w:color="06357A"/>
              <w:bottom w:val="single" w:sz="4" w:space="0" w:color="auto"/>
            </w:tcBorders>
            <w:shd w:val="clear" w:color="auto" w:fill="auto"/>
            <w:vAlign w:val="center"/>
          </w:tcPr>
          <w:p w14:paraId="24A7A2E8" w14:textId="77777777" w:rsidR="000E398D" w:rsidRPr="0078056B" w:rsidRDefault="000E398D" w:rsidP="00FC66AE">
            <w:pPr>
              <w:pStyle w:val="TableHeading"/>
              <w:keepNext/>
              <w:jc w:val="center"/>
            </w:pPr>
            <w:r w:rsidRPr="0078056B">
              <w:t>Full-time</w:t>
            </w:r>
          </w:p>
        </w:tc>
        <w:tc>
          <w:tcPr>
            <w:tcW w:w="1614" w:type="dxa"/>
            <w:tcBorders>
              <w:top w:val="single" w:sz="4" w:space="0" w:color="06357A"/>
              <w:bottom w:val="single" w:sz="4" w:space="0" w:color="auto"/>
            </w:tcBorders>
            <w:shd w:val="clear" w:color="auto" w:fill="auto"/>
            <w:vAlign w:val="center"/>
          </w:tcPr>
          <w:p w14:paraId="4E2153B4" w14:textId="77777777" w:rsidR="000E398D" w:rsidRPr="0078056B" w:rsidRDefault="000E398D" w:rsidP="00FC66AE">
            <w:pPr>
              <w:pStyle w:val="TableHeading"/>
              <w:keepNext/>
              <w:jc w:val="center"/>
            </w:pPr>
            <w:r w:rsidRPr="0078056B">
              <w:t>Part-time</w:t>
            </w:r>
          </w:p>
        </w:tc>
      </w:tr>
      <w:tr w:rsidR="00F720CA" w:rsidRPr="0078056B" w14:paraId="241F27B1" w14:textId="77777777" w:rsidTr="00C042A1">
        <w:tc>
          <w:tcPr>
            <w:tcW w:w="2552" w:type="dxa"/>
            <w:tcBorders>
              <w:top w:val="single" w:sz="4" w:space="0" w:color="auto"/>
            </w:tcBorders>
            <w:shd w:val="clear" w:color="auto" w:fill="auto"/>
            <w:vAlign w:val="center"/>
          </w:tcPr>
          <w:p w14:paraId="443EB95A" w14:textId="12E3169A" w:rsidR="00F720CA" w:rsidRPr="0078056B" w:rsidRDefault="00F720CA" w:rsidP="00FC66AE">
            <w:pPr>
              <w:pStyle w:val="TableText"/>
              <w:keepNext/>
            </w:pPr>
            <w:r w:rsidRPr="0078056B">
              <w:t>Ot</w:t>
            </w:r>
            <w:r w:rsidR="007F2A6E" w:rsidRPr="0078056B">
              <w:t>h</w:t>
            </w:r>
            <w:r w:rsidRPr="0078056B">
              <w:t>er undergraduate</w:t>
            </w:r>
          </w:p>
        </w:tc>
        <w:tc>
          <w:tcPr>
            <w:tcW w:w="1701" w:type="dxa"/>
            <w:tcBorders>
              <w:top w:val="single" w:sz="4" w:space="0" w:color="auto"/>
            </w:tcBorders>
            <w:shd w:val="clear" w:color="auto" w:fill="auto"/>
            <w:vAlign w:val="center"/>
          </w:tcPr>
          <w:p w14:paraId="355989BD" w14:textId="480E0EDC" w:rsidR="00F720CA" w:rsidRPr="0078056B" w:rsidRDefault="00F720CA" w:rsidP="00FC66AE">
            <w:pPr>
              <w:pStyle w:val="TableText"/>
              <w:keepNext/>
              <w:jc w:val="center"/>
              <w:rPr>
                <w:szCs w:val="20"/>
              </w:rPr>
            </w:pPr>
            <w:r w:rsidRPr="0078056B">
              <w:rPr>
                <w:rFonts w:cs="Calibri"/>
                <w:color w:val="000000"/>
                <w:szCs w:val="20"/>
              </w:rPr>
              <w:t>£12,000</w:t>
            </w:r>
          </w:p>
        </w:tc>
        <w:tc>
          <w:tcPr>
            <w:tcW w:w="1417" w:type="dxa"/>
            <w:tcBorders>
              <w:top w:val="single" w:sz="4" w:space="0" w:color="auto"/>
            </w:tcBorders>
            <w:shd w:val="clear" w:color="auto" w:fill="auto"/>
            <w:vAlign w:val="center"/>
          </w:tcPr>
          <w:p w14:paraId="4705DB8C" w14:textId="304A71F3" w:rsidR="00F720CA" w:rsidRPr="0078056B" w:rsidRDefault="00F720CA" w:rsidP="00FC66AE">
            <w:pPr>
              <w:pStyle w:val="TableText"/>
              <w:keepNext/>
              <w:jc w:val="center"/>
              <w:rPr>
                <w:szCs w:val="20"/>
              </w:rPr>
            </w:pPr>
            <w:r w:rsidRPr="0078056B">
              <w:rPr>
                <w:rFonts w:cs="Calibri"/>
                <w:color w:val="000000"/>
                <w:szCs w:val="20"/>
              </w:rPr>
              <w:t>£46,000</w:t>
            </w:r>
          </w:p>
        </w:tc>
        <w:tc>
          <w:tcPr>
            <w:tcW w:w="1560" w:type="dxa"/>
            <w:tcBorders>
              <w:top w:val="single" w:sz="4" w:space="0" w:color="auto"/>
            </w:tcBorders>
            <w:shd w:val="clear" w:color="auto" w:fill="auto"/>
            <w:vAlign w:val="center"/>
          </w:tcPr>
          <w:p w14:paraId="46C45310" w14:textId="77C1422B" w:rsidR="00F720CA" w:rsidRPr="0078056B" w:rsidRDefault="00F720CA" w:rsidP="00FC66AE">
            <w:pPr>
              <w:pStyle w:val="TableText"/>
              <w:keepNext/>
              <w:jc w:val="center"/>
              <w:rPr>
                <w:szCs w:val="20"/>
              </w:rPr>
            </w:pPr>
            <w:r w:rsidRPr="0078056B">
              <w:rPr>
                <w:rFonts w:cs="Calibri"/>
                <w:color w:val="000000"/>
                <w:szCs w:val="20"/>
              </w:rPr>
              <w:t>£13,000</w:t>
            </w:r>
          </w:p>
        </w:tc>
        <w:tc>
          <w:tcPr>
            <w:tcW w:w="1614" w:type="dxa"/>
            <w:tcBorders>
              <w:top w:val="single" w:sz="4" w:space="0" w:color="auto"/>
            </w:tcBorders>
            <w:shd w:val="clear" w:color="auto" w:fill="auto"/>
            <w:vAlign w:val="center"/>
          </w:tcPr>
          <w:p w14:paraId="74B37868" w14:textId="42F597F4" w:rsidR="00F720CA" w:rsidRPr="0078056B" w:rsidRDefault="00F720CA" w:rsidP="00FC66AE">
            <w:pPr>
              <w:pStyle w:val="TableText"/>
              <w:keepNext/>
              <w:jc w:val="center"/>
              <w:rPr>
                <w:szCs w:val="20"/>
              </w:rPr>
            </w:pPr>
            <w:r w:rsidRPr="0078056B">
              <w:rPr>
                <w:rFonts w:cs="Calibri"/>
                <w:color w:val="000000"/>
                <w:szCs w:val="20"/>
              </w:rPr>
              <w:t>£49,000</w:t>
            </w:r>
          </w:p>
        </w:tc>
      </w:tr>
      <w:tr w:rsidR="00F720CA" w:rsidRPr="0078056B" w14:paraId="21BE7BCA" w14:textId="77777777" w:rsidTr="00C042A1">
        <w:tc>
          <w:tcPr>
            <w:tcW w:w="2552" w:type="dxa"/>
            <w:shd w:val="clear" w:color="auto" w:fill="auto"/>
            <w:vAlign w:val="center"/>
          </w:tcPr>
          <w:p w14:paraId="5A427928" w14:textId="77777777" w:rsidR="00F720CA" w:rsidRPr="0078056B" w:rsidRDefault="00F720CA" w:rsidP="00FC66AE">
            <w:pPr>
              <w:pStyle w:val="TableText"/>
              <w:keepNext/>
            </w:pPr>
            <w:r w:rsidRPr="0078056B">
              <w:t>First degree</w:t>
            </w:r>
          </w:p>
        </w:tc>
        <w:tc>
          <w:tcPr>
            <w:tcW w:w="1701" w:type="dxa"/>
            <w:shd w:val="clear" w:color="auto" w:fill="auto"/>
            <w:vAlign w:val="center"/>
          </w:tcPr>
          <w:p w14:paraId="432ED4CA" w14:textId="5DF7F309" w:rsidR="00F720CA" w:rsidRPr="0078056B" w:rsidRDefault="00F720CA" w:rsidP="00FC66AE">
            <w:pPr>
              <w:pStyle w:val="TableText"/>
              <w:keepNext/>
              <w:jc w:val="center"/>
              <w:rPr>
                <w:szCs w:val="20"/>
              </w:rPr>
            </w:pPr>
            <w:r w:rsidRPr="0078056B">
              <w:rPr>
                <w:rFonts w:cs="Calibri"/>
                <w:color w:val="000000"/>
                <w:szCs w:val="20"/>
              </w:rPr>
              <w:t>£36,000</w:t>
            </w:r>
          </w:p>
        </w:tc>
        <w:tc>
          <w:tcPr>
            <w:tcW w:w="1417" w:type="dxa"/>
            <w:shd w:val="clear" w:color="auto" w:fill="auto"/>
            <w:vAlign w:val="center"/>
          </w:tcPr>
          <w:p w14:paraId="76A61A61" w14:textId="30169C5E" w:rsidR="00F720CA" w:rsidRPr="0078056B" w:rsidRDefault="00F720CA" w:rsidP="00FC66AE">
            <w:pPr>
              <w:pStyle w:val="TableText"/>
              <w:keepNext/>
              <w:jc w:val="center"/>
              <w:rPr>
                <w:szCs w:val="20"/>
              </w:rPr>
            </w:pPr>
            <w:r w:rsidRPr="0078056B">
              <w:rPr>
                <w:rFonts w:cs="Calibri"/>
                <w:color w:val="000000"/>
                <w:szCs w:val="20"/>
              </w:rPr>
              <w:t> </w:t>
            </w:r>
          </w:p>
        </w:tc>
        <w:tc>
          <w:tcPr>
            <w:tcW w:w="1560" w:type="dxa"/>
            <w:shd w:val="clear" w:color="auto" w:fill="auto"/>
            <w:vAlign w:val="center"/>
          </w:tcPr>
          <w:p w14:paraId="5D4EE2A3" w14:textId="49623617" w:rsidR="00F720CA" w:rsidRPr="0078056B" w:rsidRDefault="00F720CA" w:rsidP="00FC66AE">
            <w:pPr>
              <w:pStyle w:val="TableText"/>
              <w:keepNext/>
              <w:jc w:val="center"/>
              <w:rPr>
                <w:szCs w:val="20"/>
              </w:rPr>
            </w:pPr>
            <w:r w:rsidRPr="0078056B">
              <w:rPr>
                <w:rFonts w:cs="Calibri"/>
                <w:color w:val="000000"/>
                <w:szCs w:val="20"/>
              </w:rPr>
              <w:t>£39,000</w:t>
            </w:r>
          </w:p>
        </w:tc>
        <w:tc>
          <w:tcPr>
            <w:tcW w:w="1614" w:type="dxa"/>
            <w:shd w:val="clear" w:color="auto" w:fill="auto"/>
            <w:vAlign w:val="center"/>
          </w:tcPr>
          <w:p w14:paraId="36597A88" w14:textId="486CED5E" w:rsidR="00F720CA" w:rsidRPr="0078056B" w:rsidRDefault="00F720CA" w:rsidP="00FC66AE">
            <w:pPr>
              <w:pStyle w:val="TableText"/>
              <w:keepNext/>
              <w:jc w:val="center"/>
              <w:rPr>
                <w:szCs w:val="20"/>
              </w:rPr>
            </w:pPr>
            <w:r w:rsidRPr="0078056B">
              <w:rPr>
                <w:rFonts w:cs="Calibri"/>
                <w:color w:val="000000"/>
                <w:szCs w:val="20"/>
              </w:rPr>
              <w:t> </w:t>
            </w:r>
          </w:p>
        </w:tc>
      </w:tr>
      <w:tr w:rsidR="00F720CA" w:rsidRPr="0078056B" w14:paraId="5A0A1F7C" w14:textId="77777777" w:rsidTr="00C042A1">
        <w:tc>
          <w:tcPr>
            <w:tcW w:w="2552" w:type="dxa"/>
            <w:shd w:val="clear" w:color="auto" w:fill="auto"/>
            <w:vAlign w:val="center"/>
          </w:tcPr>
          <w:p w14:paraId="239FB9B2" w14:textId="77777777" w:rsidR="00F720CA" w:rsidRPr="0078056B" w:rsidRDefault="00F720CA" w:rsidP="00FC66AE">
            <w:pPr>
              <w:pStyle w:val="TableText"/>
              <w:keepNext/>
            </w:pPr>
            <w:r w:rsidRPr="0078056B">
              <w:t>Other postgraduate</w:t>
            </w:r>
          </w:p>
        </w:tc>
        <w:tc>
          <w:tcPr>
            <w:tcW w:w="1701" w:type="dxa"/>
            <w:shd w:val="clear" w:color="auto" w:fill="auto"/>
            <w:vAlign w:val="center"/>
          </w:tcPr>
          <w:p w14:paraId="41A395D0" w14:textId="0D3437C3" w:rsidR="00F720CA" w:rsidRPr="0078056B" w:rsidRDefault="00F720CA" w:rsidP="00FC66AE">
            <w:pPr>
              <w:pStyle w:val="TableText"/>
              <w:keepNext/>
              <w:jc w:val="center"/>
              <w:rPr>
                <w:szCs w:val="20"/>
              </w:rPr>
            </w:pPr>
            <w:r w:rsidRPr="0078056B">
              <w:rPr>
                <w:rFonts w:cs="Calibri"/>
                <w:color w:val="000000"/>
                <w:szCs w:val="20"/>
              </w:rPr>
              <w:t>£16,000</w:t>
            </w:r>
          </w:p>
        </w:tc>
        <w:tc>
          <w:tcPr>
            <w:tcW w:w="1417" w:type="dxa"/>
            <w:shd w:val="clear" w:color="auto" w:fill="auto"/>
            <w:vAlign w:val="center"/>
          </w:tcPr>
          <w:p w14:paraId="3BB73696" w14:textId="248030E9" w:rsidR="00F720CA" w:rsidRPr="0078056B" w:rsidRDefault="00F720CA" w:rsidP="00FC66AE">
            <w:pPr>
              <w:pStyle w:val="TableText"/>
              <w:keepNext/>
              <w:jc w:val="center"/>
              <w:rPr>
                <w:szCs w:val="20"/>
              </w:rPr>
            </w:pPr>
            <w:r w:rsidRPr="0078056B">
              <w:rPr>
                <w:rFonts w:cs="Calibri"/>
                <w:color w:val="000000"/>
                <w:szCs w:val="20"/>
              </w:rPr>
              <w:t>£41,000</w:t>
            </w:r>
          </w:p>
        </w:tc>
        <w:tc>
          <w:tcPr>
            <w:tcW w:w="1560" w:type="dxa"/>
            <w:shd w:val="clear" w:color="auto" w:fill="auto"/>
            <w:vAlign w:val="center"/>
          </w:tcPr>
          <w:p w14:paraId="7EB5F327" w14:textId="2E624DD3" w:rsidR="00F720CA" w:rsidRPr="0078056B" w:rsidRDefault="00F720CA" w:rsidP="00FC66AE">
            <w:pPr>
              <w:pStyle w:val="TableText"/>
              <w:keepNext/>
              <w:jc w:val="center"/>
              <w:rPr>
                <w:szCs w:val="20"/>
              </w:rPr>
            </w:pPr>
            <w:r w:rsidRPr="0078056B">
              <w:rPr>
                <w:rFonts w:cs="Calibri"/>
                <w:color w:val="000000"/>
                <w:szCs w:val="20"/>
              </w:rPr>
              <w:t>£16,000</w:t>
            </w:r>
          </w:p>
        </w:tc>
        <w:tc>
          <w:tcPr>
            <w:tcW w:w="1614" w:type="dxa"/>
            <w:shd w:val="clear" w:color="auto" w:fill="auto"/>
            <w:vAlign w:val="center"/>
          </w:tcPr>
          <w:p w14:paraId="253E1721" w14:textId="02A09D29" w:rsidR="00F720CA" w:rsidRPr="0078056B" w:rsidRDefault="00F720CA" w:rsidP="00FC66AE">
            <w:pPr>
              <w:pStyle w:val="TableText"/>
              <w:keepNext/>
              <w:jc w:val="center"/>
              <w:rPr>
                <w:szCs w:val="20"/>
              </w:rPr>
            </w:pPr>
            <w:r w:rsidRPr="0078056B">
              <w:rPr>
                <w:rFonts w:cs="Calibri"/>
                <w:color w:val="000000"/>
                <w:szCs w:val="20"/>
              </w:rPr>
              <w:t>£41,000</w:t>
            </w:r>
          </w:p>
        </w:tc>
      </w:tr>
      <w:tr w:rsidR="00F720CA" w:rsidRPr="0078056B" w14:paraId="111C5799" w14:textId="77777777" w:rsidTr="00C042A1">
        <w:tc>
          <w:tcPr>
            <w:tcW w:w="2552" w:type="dxa"/>
            <w:shd w:val="clear" w:color="auto" w:fill="auto"/>
            <w:vAlign w:val="center"/>
          </w:tcPr>
          <w:p w14:paraId="5166B15C" w14:textId="77777777" w:rsidR="00F720CA" w:rsidRPr="0078056B" w:rsidRDefault="00F720CA" w:rsidP="00FC66AE">
            <w:pPr>
              <w:pStyle w:val="TableText"/>
              <w:keepNext/>
            </w:pPr>
            <w:r w:rsidRPr="0078056B">
              <w:t>Higher degree (taught)</w:t>
            </w:r>
          </w:p>
        </w:tc>
        <w:tc>
          <w:tcPr>
            <w:tcW w:w="1701" w:type="dxa"/>
            <w:shd w:val="clear" w:color="auto" w:fill="auto"/>
            <w:vAlign w:val="center"/>
          </w:tcPr>
          <w:p w14:paraId="6BAF040A" w14:textId="0316560E" w:rsidR="00F720CA" w:rsidRPr="0078056B" w:rsidRDefault="00F720CA" w:rsidP="00FC66AE">
            <w:pPr>
              <w:pStyle w:val="TableText"/>
              <w:keepNext/>
              <w:jc w:val="center"/>
              <w:rPr>
                <w:szCs w:val="20"/>
              </w:rPr>
            </w:pPr>
            <w:r w:rsidRPr="0078056B">
              <w:rPr>
                <w:rFonts w:cs="Calibri"/>
                <w:color w:val="000000"/>
                <w:szCs w:val="20"/>
              </w:rPr>
              <w:t>£16,000</w:t>
            </w:r>
          </w:p>
        </w:tc>
        <w:tc>
          <w:tcPr>
            <w:tcW w:w="1417" w:type="dxa"/>
            <w:shd w:val="clear" w:color="auto" w:fill="auto"/>
            <w:vAlign w:val="center"/>
          </w:tcPr>
          <w:p w14:paraId="343AE9DF" w14:textId="339601B9" w:rsidR="00F720CA" w:rsidRPr="0078056B" w:rsidRDefault="00F720CA" w:rsidP="00FC66AE">
            <w:pPr>
              <w:pStyle w:val="TableText"/>
              <w:keepNext/>
              <w:jc w:val="center"/>
              <w:rPr>
                <w:szCs w:val="20"/>
              </w:rPr>
            </w:pPr>
            <w:r w:rsidRPr="0078056B">
              <w:rPr>
                <w:rFonts w:cs="Calibri"/>
                <w:color w:val="000000"/>
                <w:szCs w:val="20"/>
              </w:rPr>
              <w:t>£61,000</w:t>
            </w:r>
          </w:p>
        </w:tc>
        <w:tc>
          <w:tcPr>
            <w:tcW w:w="1560" w:type="dxa"/>
            <w:shd w:val="clear" w:color="auto" w:fill="auto"/>
            <w:vAlign w:val="center"/>
          </w:tcPr>
          <w:p w14:paraId="532ADBC3" w14:textId="7CEDB462" w:rsidR="00F720CA" w:rsidRPr="0078056B" w:rsidRDefault="00F720CA" w:rsidP="00FC66AE">
            <w:pPr>
              <w:pStyle w:val="TableText"/>
              <w:keepNext/>
              <w:jc w:val="center"/>
              <w:rPr>
                <w:szCs w:val="20"/>
              </w:rPr>
            </w:pPr>
            <w:r w:rsidRPr="0078056B">
              <w:rPr>
                <w:rFonts w:cs="Calibri"/>
                <w:color w:val="000000"/>
                <w:szCs w:val="20"/>
              </w:rPr>
              <w:t>£16,000</w:t>
            </w:r>
          </w:p>
        </w:tc>
        <w:tc>
          <w:tcPr>
            <w:tcW w:w="1614" w:type="dxa"/>
            <w:shd w:val="clear" w:color="auto" w:fill="auto"/>
            <w:vAlign w:val="center"/>
          </w:tcPr>
          <w:p w14:paraId="2E3DBA2F" w14:textId="6D9CEB6E" w:rsidR="00F720CA" w:rsidRPr="0078056B" w:rsidRDefault="00F720CA" w:rsidP="00FC66AE">
            <w:pPr>
              <w:pStyle w:val="TableText"/>
              <w:keepNext/>
              <w:jc w:val="center"/>
              <w:rPr>
                <w:szCs w:val="20"/>
              </w:rPr>
            </w:pPr>
            <w:r w:rsidRPr="0078056B">
              <w:rPr>
                <w:rFonts w:cs="Calibri"/>
                <w:color w:val="000000"/>
                <w:szCs w:val="20"/>
              </w:rPr>
              <w:t>£61,000</w:t>
            </w:r>
          </w:p>
        </w:tc>
      </w:tr>
      <w:tr w:rsidR="00F720CA" w:rsidRPr="0078056B" w14:paraId="3FE91013" w14:textId="77777777" w:rsidTr="00C042A1">
        <w:tc>
          <w:tcPr>
            <w:tcW w:w="2552" w:type="dxa"/>
            <w:tcBorders>
              <w:bottom w:val="single" w:sz="4" w:space="0" w:color="06357A"/>
            </w:tcBorders>
            <w:shd w:val="clear" w:color="auto" w:fill="auto"/>
            <w:vAlign w:val="center"/>
          </w:tcPr>
          <w:p w14:paraId="075936BE" w14:textId="77777777" w:rsidR="00F720CA" w:rsidRPr="0078056B" w:rsidRDefault="00F720CA" w:rsidP="00FC66AE">
            <w:pPr>
              <w:pStyle w:val="TableText"/>
              <w:keepNext/>
            </w:pPr>
            <w:r w:rsidRPr="0078056B">
              <w:t>Higher degree (research)</w:t>
            </w:r>
          </w:p>
        </w:tc>
        <w:tc>
          <w:tcPr>
            <w:tcW w:w="1701" w:type="dxa"/>
            <w:tcBorders>
              <w:bottom w:val="single" w:sz="4" w:space="0" w:color="06357A"/>
            </w:tcBorders>
            <w:shd w:val="clear" w:color="auto" w:fill="auto"/>
            <w:vAlign w:val="center"/>
          </w:tcPr>
          <w:p w14:paraId="0495C64F" w14:textId="1340D374" w:rsidR="00F720CA" w:rsidRPr="0078056B" w:rsidRDefault="00F720CA" w:rsidP="00FC66AE">
            <w:pPr>
              <w:pStyle w:val="TableText"/>
              <w:keepNext/>
              <w:jc w:val="center"/>
              <w:rPr>
                <w:szCs w:val="20"/>
              </w:rPr>
            </w:pPr>
            <w:r w:rsidRPr="0078056B">
              <w:rPr>
                <w:rFonts w:cs="Calibri"/>
                <w:color w:val="000000"/>
                <w:szCs w:val="20"/>
              </w:rPr>
              <w:t>£64,000</w:t>
            </w:r>
          </w:p>
        </w:tc>
        <w:tc>
          <w:tcPr>
            <w:tcW w:w="1417" w:type="dxa"/>
            <w:tcBorders>
              <w:bottom w:val="single" w:sz="4" w:space="0" w:color="06357A"/>
            </w:tcBorders>
            <w:shd w:val="clear" w:color="auto" w:fill="auto"/>
            <w:vAlign w:val="center"/>
          </w:tcPr>
          <w:p w14:paraId="00E5696B" w14:textId="55974BA5" w:rsidR="00F720CA" w:rsidRPr="0078056B" w:rsidRDefault="00F720CA" w:rsidP="00FC66AE">
            <w:pPr>
              <w:pStyle w:val="TableText"/>
              <w:keepNext/>
              <w:jc w:val="center"/>
              <w:rPr>
                <w:szCs w:val="20"/>
              </w:rPr>
            </w:pPr>
            <w:r w:rsidRPr="0078056B">
              <w:rPr>
                <w:rFonts w:cs="Calibri"/>
                <w:color w:val="000000"/>
                <w:szCs w:val="20"/>
              </w:rPr>
              <w:t>£118,000</w:t>
            </w:r>
          </w:p>
        </w:tc>
        <w:tc>
          <w:tcPr>
            <w:tcW w:w="1560" w:type="dxa"/>
            <w:tcBorders>
              <w:bottom w:val="single" w:sz="4" w:space="0" w:color="06357A"/>
            </w:tcBorders>
            <w:shd w:val="clear" w:color="auto" w:fill="auto"/>
            <w:vAlign w:val="center"/>
          </w:tcPr>
          <w:p w14:paraId="7C09E17E" w14:textId="66227BF5" w:rsidR="00F720CA" w:rsidRPr="0078056B" w:rsidRDefault="00F720CA" w:rsidP="00FC66AE">
            <w:pPr>
              <w:pStyle w:val="TableText"/>
              <w:keepNext/>
              <w:jc w:val="center"/>
              <w:rPr>
                <w:szCs w:val="20"/>
              </w:rPr>
            </w:pPr>
            <w:r w:rsidRPr="0078056B">
              <w:rPr>
                <w:rFonts w:cs="Calibri"/>
                <w:color w:val="000000"/>
                <w:szCs w:val="20"/>
              </w:rPr>
              <w:t>£64,000</w:t>
            </w:r>
          </w:p>
        </w:tc>
        <w:tc>
          <w:tcPr>
            <w:tcW w:w="1614" w:type="dxa"/>
            <w:tcBorders>
              <w:bottom w:val="single" w:sz="4" w:space="0" w:color="06357A"/>
            </w:tcBorders>
            <w:shd w:val="clear" w:color="auto" w:fill="auto"/>
            <w:vAlign w:val="center"/>
          </w:tcPr>
          <w:p w14:paraId="221CA4C0" w14:textId="44501D8B" w:rsidR="00F720CA" w:rsidRPr="0078056B" w:rsidRDefault="00F720CA" w:rsidP="00FC66AE">
            <w:pPr>
              <w:pStyle w:val="TableText"/>
              <w:keepNext/>
              <w:jc w:val="center"/>
              <w:rPr>
                <w:szCs w:val="20"/>
              </w:rPr>
            </w:pPr>
            <w:r w:rsidRPr="0078056B">
              <w:rPr>
                <w:rFonts w:cs="Calibri"/>
                <w:color w:val="000000"/>
                <w:szCs w:val="20"/>
              </w:rPr>
              <w:t>£118,000</w:t>
            </w:r>
          </w:p>
        </w:tc>
      </w:tr>
    </w:tbl>
    <w:p w14:paraId="6B1A76D3" w14:textId="64C8FE42" w:rsidR="000E398D" w:rsidRPr="0078056B" w:rsidRDefault="000E398D" w:rsidP="00FC66AE">
      <w:pPr>
        <w:pStyle w:val="TableNote"/>
        <w:keepNext/>
      </w:pPr>
      <w:r w:rsidRPr="0078056B">
        <w:t xml:space="preserve">Note: Gaps may arise where there are no students in the 2021-22 </w:t>
      </w:r>
      <w:r w:rsidR="00D17998" w:rsidRPr="0078056B">
        <w:t>University of Birmingham</w:t>
      </w:r>
      <w:r w:rsidRPr="0078056B">
        <w:t xml:space="preserve"> cohort expected to complete the given qualification (of the given characteristics). All estimates are presented in 2021-22 prices, discounted to reflect net present values, and rounded to the nearest £1,000. </w:t>
      </w:r>
    </w:p>
    <w:p w14:paraId="48E3E0A6" w14:textId="710F6F1C" w:rsidR="000E398D" w:rsidRPr="0078056B" w:rsidRDefault="000E398D" w:rsidP="00FC66AE">
      <w:pPr>
        <w:pStyle w:val="TableSource"/>
        <w:keepNext/>
      </w:pPr>
      <w:r w:rsidRPr="0078056B">
        <w:t>Source: London Economics' analysis</w:t>
      </w:r>
    </w:p>
    <w:p w14:paraId="3820B9E8" w14:textId="282BAC99" w:rsidR="005252F7" w:rsidRPr="0078056B" w:rsidRDefault="005252F7" w:rsidP="005252F7">
      <w:pPr>
        <w:sectPr w:rsidR="005252F7" w:rsidRPr="0078056B" w:rsidSect="00FB2B49">
          <w:headerReference w:type="even" r:id="rId253"/>
          <w:headerReference w:type="default" r:id="rId254"/>
          <w:footerReference w:type="even" r:id="rId255"/>
          <w:footerReference w:type="default" r:id="rId256"/>
          <w:headerReference w:type="first" r:id="rId257"/>
          <w:footerReference w:type="first" r:id="rId258"/>
          <w:pgSz w:w="11906" w:h="16838"/>
          <w:pgMar w:top="1418" w:right="1531" w:bottom="1418" w:left="1531" w:header="709" w:footer="850" w:gutter="0"/>
          <w:cols w:space="708"/>
          <w:docGrid w:linePitch="360"/>
        </w:sectPr>
      </w:pPr>
      <w:bookmarkStart w:id="548" w:name="_Hlk160527512"/>
      <w:bookmarkEnd w:id="532"/>
      <w:bookmarkEnd w:id="533"/>
      <w:bookmarkEnd w:id="534"/>
      <w:bookmarkEnd w:id="535"/>
    </w:p>
    <w:bookmarkEnd w:id="548"/>
    <w:p w14:paraId="4ED19378" w14:textId="77777777" w:rsidR="006758D1" w:rsidRPr="0078056B" w:rsidRDefault="006758D1" w:rsidP="006758D1"/>
    <w:p w14:paraId="09B3DA32" w14:textId="53B32EA6" w:rsidR="00C32B93" w:rsidRPr="003541E0" w:rsidRDefault="00140CB1" w:rsidP="00F70938">
      <w:r w:rsidRPr="0078056B">
        <w:rPr>
          <w:noProof/>
        </w:rPr>
        <mc:AlternateContent>
          <mc:Choice Requires="wps">
            <w:drawing>
              <wp:anchor distT="0" distB="0" distL="114300" distR="114300" simplePos="0" relativeHeight="251664384" behindDoc="0" locked="1" layoutInCell="1" allowOverlap="1" wp14:anchorId="5ED084D9" wp14:editId="05EFF9A4">
                <wp:simplePos x="0" y="0"/>
                <wp:positionH relativeFrom="page">
                  <wp:posOffset>-1270</wp:posOffset>
                </wp:positionH>
                <wp:positionV relativeFrom="page">
                  <wp:posOffset>103505</wp:posOffset>
                </wp:positionV>
                <wp:extent cx="7559675" cy="10745470"/>
                <wp:effectExtent l="0" t="0" r="3175" b="0"/>
                <wp:wrapNone/>
                <wp:docPr id="24" name="Rectangle 24"/>
                <wp:cNvGraphicFramePr/>
                <a:graphic xmlns:a="http://schemas.openxmlformats.org/drawingml/2006/main">
                  <a:graphicData uri="http://schemas.microsoft.com/office/word/2010/wordprocessingShape">
                    <wps:wsp>
                      <wps:cNvSpPr/>
                      <wps:spPr>
                        <a:xfrm>
                          <a:off x="0" y="0"/>
                          <a:ext cx="7559675" cy="10745470"/>
                        </a:xfrm>
                        <a:prstGeom prst="rect">
                          <a:avLst/>
                        </a:prstGeom>
                        <a:solidFill>
                          <a:srgbClr val="0635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22D680B" id="Rectangle 24" o:spid="_x0000_s1026" style="position:absolute;margin-left:-.1pt;margin-top:8.15pt;width:595.25pt;height:846.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4RhAIAAGEFAAAOAAAAZHJzL2Uyb0RvYy54bWysVE1v2zAMvQ/YfxB0X+1kSbMGdYqgRYcB&#10;RVesHXpWZCk2IIsapcTJfv0o+SNdV+wwLAdFEh8fyWdSl1eHxrC9Ql+DLfjkLOdMWQllbbcF//50&#10;++ETZz4IWwoDVhX8qDy/Wr1/d9m6pZpCBaZUyIjE+mXrCl6F4JZZ5mWlGuHPwClLRg3YiEBH3GYl&#10;ipbYG5NN8/w8awFLhyCV93R70xn5KvFrrWT4qrVXgZmCU24hrZjWTVyz1aVYblG4qpZ9GuIfsmhE&#10;bSnoSHUjgmA7rP+gamqJ4EGHMwlNBlrXUqUaqJpJ/qqax0o4lWohcbwbZfL/j1be7x/dA5IMrfNL&#10;T9tYxUFjE/8pP3ZIYh1HsdQhMEmXi/n84nwx50ySbZIvZvPZIumZnfwd+vBZQcPipuBInyOpJPZ3&#10;PlBMgg6QGM6Dqcvb2ph0wO3m2iDbi/jpzj/OF+v4tcjlN5ixEWwhunXmeJOdqkm7cDQq4oz9pjSr&#10;S8p/mjJJjabGOEJKZcOkM1WiVF34eU6/IXpszeiRckmEkVlT/JG7JxiQHcnA3WXZ46OrSn06Oud/&#10;S6xzHj1SZLBhdG5qC/gWgaGq+sgdfhCpkyaqtIHy+IAMoZsS7+RtTd/tTvjwIJDGggaIRj18pUUb&#10;aAsO/Y6zCvDnW/cRT91KVs5aGrOC+x87gYoz88VSH19MZrM4l+kwmy+mdMCXls1Li90110DtMKFH&#10;xcm0jfhghq1GaJ7pRVjHqGQSVlLsgsuAw+E6dONPb4pU63WC0Sw6Ee7so5ORPKoa+/Lp8CzQ9c0b&#10;qPHvYRhJsXzVwx02elpY7wLoOjX4Sddeb5rj1Dj9mxMfipfnhDq9jKtfAAAA//8DAFBLAwQUAAYA&#10;CAAAACEAzVdHsOAAAAAKAQAADwAAAGRycy9kb3ducmV2LnhtbEyPQU/DMAyF70j8h8hIXNCWrIiy&#10;laYTQkxIHCqxIc5Z67WFxilN1nb/Hu/Ebs9+T8+f0/VkWzFg7xtHGhZzBQKpcGVDlYbP3Wa2BOGD&#10;odK0jlDDCT2ss+ur1CSlG+kDh22oBJeQT4yGOoQukdIXNVrj565DYu/gemsCj30ly96MXG5bGSkV&#10;S2sa4gu16fClxuJne7Qahnz00+97tGvy07d8/dq83cU5aX17Mz0/gQg4hf8wnPEZHTJm2rsjlV60&#10;GmYRB3kd34M424uVYrVn9aiWDyCzVF6+kP0BAAD//wMAUEsBAi0AFAAGAAgAAAAhALaDOJL+AAAA&#10;4QEAABMAAAAAAAAAAAAAAAAAAAAAAFtDb250ZW50X1R5cGVzXS54bWxQSwECLQAUAAYACAAAACEA&#10;OP0h/9YAAACUAQAACwAAAAAAAAAAAAAAAAAvAQAAX3JlbHMvLnJlbHNQSwECLQAUAAYACAAAACEA&#10;WIAuEYQCAABhBQAADgAAAAAAAAAAAAAAAAAuAgAAZHJzL2Uyb0RvYy54bWxQSwECLQAUAAYACAAA&#10;ACEAzVdHsOAAAAAKAQAADwAAAAAAAAAAAAAAAADeBAAAZHJzL2Rvd25yZXYueG1sUEsFBgAAAAAE&#10;AAQA8wAAAOsFAAAAAA==&#10;" fillcolor="#06357a" stroked="f" strokeweight="2pt">
                <w10:wrap anchorx="page" anchory="page"/>
                <w10:anchorlock/>
              </v:rect>
            </w:pict>
          </mc:Fallback>
        </mc:AlternateContent>
      </w:r>
      <w:r w:rsidRPr="0078056B">
        <w:rPr>
          <w:noProof/>
        </w:rPr>
        <w:drawing>
          <wp:anchor distT="0" distB="0" distL="114300" distR="114300" simplePos="0" relativeHeight="251665408" behindDoc="0" locked="0" layoutInCell="1" allowOverlap="1" wp14:anchorId="161D5E05" wp14:editId="04DD9AB0">
            <wp:simplePos x="0" y="0"/>
            <wp:positionH relativeFrom="column">
              <wp:posOffset>2565400</wp:posOffset>
            </wp:positionH>
            <wp:positionV relativeFrom="paragraph">
              <wp:posOffset>6371590</wp:posOffset>
            </wp:positionV>
            <wp:extent cx="3034030" cy="1400810"/>
            <wp:effectExtent l="0" t="0" r="0" b="8890"/>
            <wp:wrapNone/>
            <wp:docPr id="44" name="Picture 31" descr="L:\London Economics\Admin\LOGOs\LE logo inverse\LE-Logo-Wh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1" descr="L:\London Economics\Admin\LOGOs\LE logo inverse\LE-Logo-White-S.png"/>
                    <pic:cNvPicPr>
                      <a:picLocks noChangeAspect="1"/>
                    </pic:cNvPicPr>
                  </pic:nvPicPr>
                  <pic:blipFill>
                    <a:blip r:embed="rId8" cstate="print"/>
                    <a:srcRect/>
                    <a:stretch>
                      <a:fillRect/>
                    </a:stretch>
                  </pic:blipFill>
                  <pic:spPr bwMode="auto">
                    <a:xfrm>
                      <a:off x="0" y="0"/>
                      <a:ext cx="3034030" cy="1400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8056B">
        <w:rPr>
          <w:noProof/>
        </w:rPr>
        <mc:AlternateContent>
          <mc:Choice Requires="wps">
            <w:drawing>
              <wp:anchor distT="0" distB="0" distL="114300" distR="114300" simplePos="0" relativeHeight="251666432" behindDoc="0" locked="0" layoutInCell="1" allowOverlap="1" wp14:anchorId="1EAC4AF4" wp14:editId="4483F2D5">
                <wp:simplePos x="0" y="0"/>
                <wp:positionH relativeFrom="column">
                  <wp:posOffset>3794125</wp:posOffset>
                </wp:positionH>
                <wp:positionV relativeFrom="paragraph">
                  <wp:posOffset>7918450</wp:posOffset>
                </wp:positionV>
                <wp:extent cx="2456815" cy="1707515"/>
                <wp:effectExtent l="0" t="0" r="0" b="6985"/>
                <wp:wrapNone/>
                <wp:docPr id="36" name="Text Box 36"/>
                <wp:cNvGraphicFramePr/>
                <a:graphic xmlns:a="http://schemas.openxmlformats.org/drawingml/2006/main">
                  <a:graphicData uri="http://schemas.microsoft.com/office/word/2010/wordprocessingShape">
                    <wps:wsp>
                      <wps:cNvSpPr txBox="1"/>
                      <wps:spPr>
                        <a:xfrm>
                          <a:off x="0" y="0"/>
                          <a:ext cx="2456815" cy="1707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DCE9D" w14:textId="77777777" w:rsidR="00140CB1" w:rsidRPr="003541E0" w:rsidRDefault="00140CB1" w:rsidP="00140CB1">
                            <w:pPr>
                              <w:spacing w:before="0" w:after="0"/>
                              <w:rPr>
                                <w:color w:val="D9D9D9" w:themeColor="background1" w:themeShade="D9"/>
                                <w:sz w:val="20"/>
                                <w:szCs w:val="20"/>
                              </w:rPr>
                            </w:pPr>
                            <w:r w:rsidRPr="003541E0">
                              <w:rPr>
                                <w:color w:val="D9D9D9" w:themeColor="background1" w:themeShade="D9"/>
                                <w:sz w:val="20"/>
                                <w:szCs w:val="20"/>
                              </w:rPr>
                              <w:t>Somerset House, New Wing, Strand</w:t>
                            </w:r>
                          </w:p>
                          <w:p w14:paraId="6CBC402A" w14:textId="77777777" w:rsidR="00140CB1" w:rsidRPr="003541E0" w:rsidRDefault="00140CB1" w:rsidP="00140CB1">
                            <w:pPr>
                              <w:spacing w:before="0" w:after="0"/>
                              <w:rPr>
                                <w:color w:val="D9D9D9" w:themeColor="background1" w:themeShade="D9"/>
                                <w:sz w:val="20"/>
                                <w:szCs w:val="20"/>
                              </w:rPr>
                            </w:pPr>
                            <w:r w:rsidRPr="003541E0">
                              <w:rPr>
                                <w:color w:val="D9D9D9" w:themeColor="background1" w:themeShade="D9"/>
                                <w:sz w:val="20"/>
                                <w:szCs w:val="20"/>
                              </w:rPr>
                              <w:t>London, WC2R 1LA, United Kingdom</w:t>
                            </w:r>
                          </w:p>
                          <w:p w14:paraId="0CF67104" w14:textId="77777777" w:rsidR="00140CB1" w:rsidRPr="003541E0" w:rsidRDefault="00000000" w:rsidP="00140CB1">
                            <w:pPr>
                              <w:spacing w:before="0" w:after="0"/>
                              <w:rPr>
                                <w:color w:val="D9D9D9" w:themeColor="background1" w:themeShade="D9"/>
                                <w:sz w:val="20"/>
                                <w:szCs w:val="20"/>
                              </w:rPr>
                            </w:pPr>
                            <w:hyperlink r:id="rId259" w:history="1">
                              <w:r w:rsidR="00140CB1" w:rsidRPr="003541E0">
                                <w:rPr>
                                  <w:color w:val="D9D9D9" w:themeColor="background1" w:themeShade="D9"/>
                                  <w:sz w:val="20"/>
                                  <w:szCs w:val="20"/>
                                </w:rPr>
                                <w:t>info@londoneconomics.co.uk</w:t>
                              </w:r>
                            </w:hyperlink>
                          </w:p>
                          <w:p w14:paraId="655A4D57" w14:textId="77777777" w:rsidR="00140CB1" w:rsidRPr="003541E0" w:rsidRDefault="00140CB1" w:rsidP="00140CB1">
                            <w:pPr>
                              <w:spacing w:before="0" w:after="0"/>
                              <w:rPr>
                                <w:color w:val="D9D9D9" w:themeColor="background1" w:themeShade="D9"/>
                                <w:sz w:val="20"/>
                                <w:szCs w:val="20"/>
                              </w:rPr>
                            </w:pPr>
                            <w:r w:rsidRPr="003541E0">
                              <w:rPr>
                                <w:color w:val="D9D9D9" w:themeColor="background1" w:themeShade="D9"/>
                                <w:sz w:val="20"/>
                                <w:szCs w:val="20"/>
                              </w:rPr>
                              <w:t>londoneconomics.co.uk</w:t>
                            </w:r>
                          </w:p>
                          <w:p w14:paraId="5455E6DC" w14:textId="1F3B4F9E" w:rsidR="00140CB1" w:rsidRPr="003541E0" w:rsidRDefault="00000000" w:rsidP="00140CB1">
                            <w:pPr>
                              <w:spacing w:before="0" w:after="0"/>
                              <w:rPr>
                                <w:rFonts w:asciiTheme="minorHAnsi" w:hAnsiTheme="minorHAnsi"/>
                                <w:color w:val="D9D9D9" w:themeColor="background1" w:themeShade="D9"/>
                                <w:sz w:val="20"/>
                                <w:szCs w:val="20"/>
                              </w:rPr>
                            </w:pPr>
                            <w:hyperlink r:id="rId260" w:history="1">
                              <w:r w:rsidR="00140CB1" w:rsidRPr="003541E0">
                                <w:rPr>
                                  <w:color w:val="D9D9D9" w:themeColor="background1" w:themeShade="D9"/>
                                  <w:sz w:val="20"/>
                                  <w:szCs w:val="20"/>
                                </w:rPr>
                                <w:t>@LE_Education</w:t>
                              </w:r>
                            </w:hyperlink>
                            <w:r w:rsidR="00140CB1" w:rsidRPr="003541E0">
                              <w:rPr>
                                <w:color w:val="D9D9D9" w:themeColor="background1" w:themeShade="D9"/>
                                <w:sz w:val="20"/>
                                <w:szCs w:val="20"/>
                              </w:rPr>
                              <w:t xml:space="preserve">     </w:t>
                            </w:r>
                            <w:r w:rsidR="00140CB1" w:rsidRPr="003541E0">
                              <w:rPr>
                                <w:rFonts w:asciiTheme="minorHAnsi" w:hAnsiTheme="minorHAnsi"/>
                                <w:color w:val="D9D9D9" w:themeColor="background1" w:themeShade="D9"/>
                                <w:sz w:val="20"/>
                                <w:szCs w:val="20"/>
                              </w:rPr>
                              <w:t>@LondonEconomics</w:t>
                            </w:r>
                          </w:p>
                          <w:p w14:paraId="7E86611B" w14:textId="77777777" w:rsidR="00140CB1" w:rsidRPr="003541E0" w:rsidRDefault="00140CB1" w:rsidP="00140CB1">
                            <w:pPr>
                              <w:spacing w:before="0" w:after="0"/>
                              <w:rPr>
                                <w:color w:val="D9D9D9" w:themeColor="background1" w:themeShade="D9"/>
                                <w:sz w:val="20"/>
                                <w:szCs w:val="20"/>
                              </w:rPr>
                            </w:pPr>
                            <w:r w:rsidRPr="003541E0">
                              <w:rPr>
                                <w:color w:val="D9D9D9" w:themeColor="background1" w:themeShade="D9"/>
                                <w:sz w:val="20"/>
                                <w:szCs w:val="20"/>
                              </w:rPr>
                              <w:t>+44 (0)20 3701 7700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1EAC4AF4" id="Text Box 36" o:spid="_x0000_s1044" type="#_x0000_t202" style="position:absolute;left:0;text-align:left;margin-left:298.75pt;margin-top:623.5pt;width:193.45pt;height:134.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M0bwIAAEYFAAAOAAAAZHJzL2Uyb0RvYy54bWysVMFu2zAMvQ/YPwi6r3aypM2COkXWosOA&#10;oi2WDj0rstQYk0VNYmJnXz9KtpOg26XDLhIlPlIkH6nLq7Y2bKd8qMAWfHSWc6ashLKyLwX//nT7&#10;YcZZQGFLYcCqgu9V4FeL9+8uGzdXY9iAKZVn5MSGeeMKvkF08ywLcqNqEc7AKUtKDb4WSEf/kpVe&#10;NOS9Ntk4z8+zBnzpPEgVAt3edEq+SP61VhIftA4KmSk4xYZp9WldxzVbXIr5ixduU8k+DPEPUdSi&#10;svTowdWNQMG2vvrDVV1JDwE0nkmoM9C6kirlQNmM8lfZrDbCqZQLFSe4Q5nC/3Mr73cr9+gZtp+h&#10;JQJjQRoX5oEuYz6t9nXcKVJGeirh/lA21SKTdDmeTM9noylnknSji/xiSgfykx3NnQ/4RUHNolBw&#10;T7ykcondXcAOOkDiaxZuK2MSN8aypuDnH6d5MjhoyLmxEasSy72bY+hJwr1REWPsN6VZVaYM4kXq&#10;L3VtPNsJ6gwhpbKYkk9+CR1RmoJ4i2GPP0b1FuMuj+FlsHgwrisLPmX/KuzyxxCy7vBU85O8o4jt&#10;uqXEiZfZQO0ayj0x7qEbhuDkbUWs3ImAj8JT9xPJNNH4QIs2QNWHXuJsA/7X3+4jnpqStJw1NE0F&#10;Dz+3wivOzFdL7fppNJnE8UuHyfRiTAd/qlmfauy2vgaiZUR/h5NJjHg0g6g91M80+Mv4KqmElfR2&#10;wXEQr7Gbcfo4pFouE4gGzgm8sysno+vIUuy5p/ZZeNc3JlJP38Mwd2L+qj87bLS0sNwi6Co1byx0&#10;V9WeABrW1P79xxJ/g9NzQh2/v8VvAAAA//8DAFBLAwQUAAYACAAAACEAezt22eQAAAANAQAADwAA&#10;AGRycy9kb3ducmV2LnhtbEyPwU7DMBBE70j8g7VI3KjTKKZJiFNVkSokBIeWXrg58TaJiO0Qu23g&#10;61lO5bgzT7MzxXo2Azvj5HtnJSwXETC0jdO9bSUc3rcPKTAflNVqcBYlfKOHdXl7U6hcu4vd4Xkf&#10;WkYh1udKQhfCmHPumw6N8gs3oiXv6CajAp1Ty/WkLhRuBh5H0SM3qrf0oVMjVh02n/uTkfBSbd/U&#10;ro5N+jNUz6/Hzfh1+BBS3t/NmydgAedwheGvPlWHkjrV7mS1Z4MEka0EoWTEyYpWEZKlSQKsJkks&#10;RQa8LPj/FeUvAAAA//8DAFBLAQItABQABgAIAAAAIQC2gziS/gAAAOEBAAATAAAAAAAAAAAAAAAA&#10;AAAAAABbQ29udGVudF9UeXBlc10ueG1sUEsBAi0AFAAGAAgAAAAhADj9If/WAAAAlAEAAAsAAAAA&#10;AAAAAAAAAAAALwEAAF9yZWxzLy5yZWxzUEsBAi0AFAAGAAgAAAAhAPCoczRvAgAARgUAAA4AAAAA&#10;AAAAAAAAAAAALgIAAGRycy9lMm9Eb2MueG1sUEsBAi0AFAAGAAgAAAAhAHs7dtnkAAAADQEAAA8A&#10;AAAAAAAAAAAAAAAAyQQAAGRycy9kb3ducmV2LnhtbFBLBQYAAAAABAAEAPMAAADaBQAAAAA=&#10;" filled="f" stroked="f" strokeweight=".5pt">
                <v:textbox>
                  <w:txbxContent>
                    <w:p w14:paraId="400DCE9D" w14:textId="77777777" w:rsidR="00140CB1" w:rsidRPr="003541E0" w:rsidRDefault="00140CB1" w:rsidP="00140CB1">
                      <w:pPr>
                        <w:spacing w:before="0" w:after="0"/>
                        <w:rPr>
                          <w:color w:val="D9D9D9" w:themeColor="background1" w:themeShade="D9"/>
                          <w:sz w:val="20"/>
                          <w:szCs w:val="20"/>
                        </w:rPr>
                      </w:pPr>
                      <w:r w:rsidRPr="003541E0">
                        <w:rPr>
                          <w:color w:val="D9D9D9" w:themeColor="background1" w:themeShade="D9"/>
                          <w:sz w:val="20"/>
                          <w:szCs w:val="20"/>
                        </w:rPr>
                        <w:t>Somerset House, New Wing, Strand</w:t>
                      </w:r>
                    </w:p>
                    <w:p w14:paraId="6CBC402A" w14:textId="77777777" w:rsidR="00140CB1" w:rsidRPr="003541E0" w:rsidRDefault="00140CB1" w:rsidP="00140CB1">
                      <w:pPr>
                        <w:spacing w:before="0" w:after="0"/>
                        <w:rPr>
                          <w:color w:val="D9D9D9" w:themeColor="background1" w:themeShade="D9"/>
                          <w:sz w:val="20"/>
                          <w:szCs w:val="20"/>
                        </w:rPr>
                      </w:pPr>
                      <w:r w:rsidRPr="003541E0">
                        <w:rPr>
                          <w:color w:val="D9D9D9" w:themeColor="background1" w:themeShade="D9"/>
                          <w:sz w:val="20"/>
                          <w:szCs w:val="20"/>
                        </w:rPr>
                        <w:t>London, WC2R 1LA, United Kingdom</w:t>
                      </w:r>
                    </w:p>
                    <w:p w14:paraId="0CF67104" w14:textId="77777777" w:rsidR="00140CB1" w:rsidRPr="003541E0" w:rsidRDefault="00814B32" w:rsidP="00140CB1">
                      <w:pPr>
                        <w:spacing w:before="0" w:after="0"/>
                        <w:rPr>
                          <w:color w:val="D9D9D9" w:themeColor="background1" w:themeShade="D9"/>
                          <w:sz w:val="20"/>
                          <w:szCs w:val="20"/>
                        </w:rPr>
                      </w:pPr>
                      <w:hyperlink r:id="rId261" w:history="1">
                        <w:r w:rsidR="00140CB1" w:rsidRPr="003541E0">
                          <w:rPr>
                            <w:color w:val="D9D9D9" w:themeColor="background1" w:themeShade="D9"/>
                            <w:sz w:val="20"/>
                            <w:szCs w:val="20"/>
                          </w:rPr>
                          <w:t>info@londoneconomics.co.uk</w:t>
                        </w:r>
                      </w:hyperlink>
                    </w:p>
                    <w:p w14:paraId="655A4D57" w14:textId="77777777" w:rsidR="00140CB1" w:rsidRPr="003541E0" w:rsidRDefault="00140CB1" w:rsidP="00140CB1">
                      <w:pPr>
                        <w:spacing w:before="0" w:after="0"/>
                        <w:rPr>
                          <w:color w:val="D9D9D9" w:themeColor="background1" w:themeShade="D9"/>
                          <w:sz w:val="20"/>
                          <w:szCs w:val="20"/>
                        </w:rPr>
                      </w:pPr>
                      <w:r w:rsidRPr="003541E0">
                        <w:rPr>
                          <w:color w:val="D9D9D9" w:themeColor="background1" w:themeShade="D9"/>
                          <w:sz w:val="20"/>
                          <w:szCs w:val="20"/>
                        </w:rPr>
                        <w:t>londoneconomics.co.uk</w:t>
                      </w:r>
                    </w:p>
                    <w:p w14:paraId="5455E6DC" w14:textId="1F3B4F9E" w:rsidR="00140CB1" w:rsidRPr="003541E0" w:rsidRDefault="00814B32" w:rsidP="00140CB1">
                      <w:pPr>
                        <w:spacing w:before="0" w:after="0"/>
                        <w:rPr>
                          <w:rFonts w:asciiTheme="minorHAnsi" w:hAnsiTheme="minorHAnsi"/>
                          <w:color w:val="D9D9D9" w:themeColor="background1" w:themeShade="D9"/>
                          <w:sz w:val="20"/>
                          <w:szCs w:val="20"/>
                        </w:rPr>
                      </w:pPr>
                      <w:hyperlink r:id="rId262" w:history="1">
                        <w:r w:rsidR="00140CB1" w:rsidRPr="003541E0">
                          <w:rPr>
                            <w:color w:val="D9D9D9" w:themeColor="background1" w:themeShade="D9"/>
                            <w:sz w:val="20"/>
                            <w:szCs w:val="20"/>
                          </w:rPr>
                          <w:t>@LE_Education</w:t>
                        </w:r>
                      </w:hyperlink>
                      <w:r w:rsidR="00140CB1" w:rsidRPr="003541E0">
                        <w:rPr>
                          <w:color w:val="D9D9D9" w:themeColor="background1" w:themeShade="D9"/>
                          <w:sz w:val="20"/>
                          <w:szCs w:val="20"/>
                        </w:rPr>
                        <w:t xml:space="preserve">     </w:t>
                      </w:r>
                      <w:r w:rsidR="00140CB1" w:rsidRPr="003541E0">
                        <w:rPr>
                          <w:rFonts w:asciiTheme="minorHAnsi" w:hAnsiTheme="minorHAnsi"/>
                          <w:color w:val="D9D9D9" w:themeColor="background1" w:themeShade="D9"/>
                          <w:sz w:val="20"/>
                          <w:szCs w:val="20"/>
                        </w:rPr>
                        <w:t>@LondonEconomics</w:t>
                      </w:r>
                    </w:p>
                    <w:p w14:paraId="7E86611B" w14:textId="77777777" w:rsidR="00140CB1" w:rsidRPr="003541E0" w:rsidRDefault="00140CB1" w:rsidP="00140CB1">
                      <w:pPr>
                        <w:spacing w:before="0" w:after="0"/>
                        <w:rPr>
                          <w:color w:val="D9D9D9" w:themeColor="background1" w:themeShade="D9"/>
                          <w:sz w:val="20"/>
                          <w:szCs w:val="20"/>
                        </w:rPr>
                      </w:pPr>
                      <w:r w:rsidRPr="003541E0">
                        <w:rPr>
                          <w:color w:val="D9D9D9" w:themeColor="background1" w:themeShade="D9"/>
                          <w:sz w:val="20"/>
                          <w:szCs w:val="20"/>
                        </w:rPr>
                        <w:t>+44 (0)20 3701 7700</w:t>
                      </w:r>
                    </w:p>
                  </w:txbxContent>
                </v:textbox>
              </v:shape>
            </w:pict>
          </mc:Fallback>
        </mc:AlternateContent>
      </w:r>
    </w:p>
    <w:p w14:paraId="38DB64B4" w14:textId="77777777" w:rsidR="001239A2" w:rsidRDefault="001239A2" w:rsidP="00F70938"/>
    <w:p w14:paraId="5CD90D42" w14:textId="77777777" w:rsidR="00852868" w:rsidRDefault="00852868" w:rsidP="00F70938"/>
    <w:p w14:paraId="78A7A37B" w14:textId="77777777" w:rsidR="00B32115" w:rsidRDefault="00B32115"/>
    <w:sectPr w:rsidR="00B32115" w:rsidSect="00B0172D">
      <w:headerReference w:type="even" r:id="rId263"/>
      <w:headerReference w:type="default" r:id="rId264"/>
      <w:footerReference w:type="even" r:id="rId265"/>
      <w:footerReference w:type="default" r:id="rId266"/>
      <w:headerReference w:type="first" r:id="rId267"/>
      <w:footerReference w:type="first" r:id="rId268"/>
      <w:pgSz w:w="11906" w:h="16838"/>
      <w:pgMar w:top="1418" w:right="1531" w:bottom="1418" w:left="1531" w:header="709" w:footer="147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9986C" w14:textId="77777777" w:rsidR="00415AD8" w:rsidRPr="003541E0" w:rsidRDefault="00415AD8" w:rsidP="002F2D4F">
      <w:pPr>
        <w:spacing w:after="0"/>
      </w:pPr>
      <w:r w:rsidRPr="003541E0">
        <w:separator/>
      </w:r>
    </w:p>
  </w:endnote>
  <w:endnote w:type="continuationSeparator" w:id="0">
    <w:p w14:paraId="642DA1B2" w14:textId="77777777" w:rsidR="00415AD8" w:rsidRPr="003541E0" w:rsidRDefault="00415AD8" w:rsidP="002F2D4F">
      <w:pPr>
        <w:spacing w:after="0"/>
      </w:pPr>
      <w:r w:rsidRPr="003541E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7F7981" w:rsidRPr="003541E0" w14:paraId="23458576" w14:textId="77777777" w:rsidTr="00834CE4">
      <w:trPr>
        <w:trHeight w:hRule="exact" w:val="964"/>
      </w:trPr>
      <w:tc>
        <w:tcPr>
          <w:tcW w:w="9060" w:type="dxa"/>
          <w:vAlign w:val="bottom"/>
        </w:tcPr>
        <w:p w14:paraId="7BE1DF6E" w14:textId="77777777" w:rsidR="007F7981" w:rsidRPr="003541E0" w:rsidRDefault="007F7981" w:rsidP="00834CE4">
          <w:pPr>
            <w:rPr>
              <w:rFonts w:cs="Microsoft Sans Serif"/>
            </w:rPr>
          </w:pPr>
          <w:r w:rsidRPr="003541E0">
            <w:rPr>
              <w:noProof/>
            </w:rPr>
            <w:drawing>
              <wp:inline distT="0" distB="0" distL="0" distR="0" wp14:anchorId="51D77FC5" wp14:editId="534D7CC9">
                <wp:extent cx="720000" cy="367200"/>
                <wp:effectExtent l="0" t="0" r="4445" b="0"/>
                <wp:docPr id="867114131" name="Picture 86711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rk-of-trust-certified-ISO-9001-quality-management-systems-black-logo-En-GB-10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367200"/>
                        </a:xfrm>
                        <a:prstGeom prst="rect">
                          <a:avLst/>
                        </a:prstGeom>
                      </pic:spPr>
                    </pic:pic>
                  </a:graphicData>
                </a:graphic>
              </wp:inline>
            </w:drawing>
          </w:r>
          <w:r w:rsidRPr="003541E0">
            <w:t xml:space="preserve">    </w:t>
          </w:r>
          <w:r w:rsidRPr="003541E0">
            <w:rPr>
              <w:noProof/>
            </w:rPr>
            <w:drawing>
              <wp:inline distT="0" distB="0" distL="0" distR="0" wp14:anchorId="5EB90B27" wp14:editId="7BEDB2BA">
                <wp:extent cx="720695" cy="293426"/>
                <wp:effectExtent l="0" t="0" r="3810" b="0"/>
                <wp:docPr id="1941127815" name="Picture 1941127815" descr="ESOMAR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0" descr="ESOMAR Member"/>
                        <pic:cNvPicPr>
                          <a:picLocks noChangeAspect="1" noChangeArrowheads="1"/>
                        </pic:cNvPicPr>
                      </pic:nvPicPr>
                      <pic:blipFill>
                        <a:blip r:embed="rId2"/>
                        <a:srcRect/>
                        <a:stretch>
                          <a:fillRect/>
                        </a:stretch>
                      </pic:blipFill>
                      <pic:spPr bwMode="auto">
                        <a:xfrm>
                          <a:off x="0" y="0"/>
                          <a:ext cx="753219" cy="306668"/>
                        </a:xfrm>
                        <a:prstGeom prst="rect">
                          <a:avLst/>
                        </a:prstGeom>
                        <a:noFill/>
                        <a:ln w="9525">
                          <a:noFill/>
                          <a:miter lim="800000"/>
                          <a:headEnd/>
                          <a:tailEnd/>
                        </a:ln>
                      </pic:spPr>
                    </pic:pic>
                  </a:graphicData>
                </a:graphic>
              </wp:inline>
            </w:drawing>
          </w:r>
          <w:r w:rsidRPr="003541E0">
            <w:t xml:space="preserve">   </w:t>
          </w:r>
          <w:r w:rsidRPr="003541E0">
            <w:rPr>
              <w:noProof/>
            </w:rPr>
            <w:drawing>
              <wp:inline distT="0" distB="0" distL="0" distR="0" wp14:anchorId="68EE886C" wp14:editId="21F48502">
                <wp:extent cx="571988" cy="380682"/>
                <wp:effectExtent l="0" t="0" r="0" b="0"/>
                <wp:docPr id="260712269" name="Picture 260712269" descr="UKAS environmental Phase 3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UKAS environmental Phase 3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02474" cy="400972"/>
                        </a:xfrm>
                        <a:prstGeom prst="rect">
                          <a:avLst/>
                        </a:prstGeom>
                        <a:noFill/>
                        <a:ln>
                          <a:noFill/>
                        </a:ln>
                      </pic:spPr>
                    </pic:pic>
                  </a:graphicData>
                </a:graphic>
              </wp:inline>
            </w:drawing>
          </w:r>
          <w:r w:rsidRPr="003541E0">
            <w:t xml:space="preserve">   </w:t>
          </w:r>
          <w:r w:rsidRPr="003541E0">
            <w:rPr>
              <w:rFonts w:cs="Microsoft Sans Serif"/>
              <w:noProof/>
            </w:rPr>
            <w:drawing>
              <wp:inline distT="0" distB="0" distL="0" distR="0" wp14:anchorId="3C9F552D" wp14:editId="479362B5">
                <wp:extent cx="319156" cy="381600"/>
                <wp:effectExtent l="0" t="0" r="5080" b="0"/>
                <wp:docPr id="1628212791" name="Picture 1628212791" descr="Cyber Essentials Certified Pl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yber Essentials Certified Plus logo"/>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9156" cy="381600"/>
                        </a:xfrm>
                        <a:prstGeom prst="rect">
                          <a:avLst/>
                        </a:prstGeom>
                      </pic:spPr>
                    </pic:pic>
                  </a:graphicData>
                </a:graphic>
              </wp:inline>
            </w:drawing>
          </w:r>
        </w:p>
      </w:tc>
    </w:tr>
    <w:tr w:rsidR="007F7981" w:rsidRPr="003541E0" w14:paraId="7C8E012F" w14:textId="77777777" w:rsidTr="00834CE4">
      <w:trPr>
        <w:trHeight w:val="964"/>
      </w:trPr>
      <w:tc>
        <w:tcPr>
          <w:tcW w:w="9060" w:type="dxa"/>
          <w:tcMar>
            <w:top w:w="170" w:type="dxa"/>
            <w:bottom w:w="57" w:type="dxa"/>
          </w:tcMar>
        </w:tcPr>
        <w:p w14:paraId="3D1DB524" w14:textId="77777777" w:rsidR="007F7981" w:rsidRPr="003541E0" w:rsidRDefault="007F7981" w:rsidP="00834CE4">
          <w:pPr>
            <w:pStyle w:val="FooterFront"/>
          </w:pPr>
          <w:r w:rsidRPr="003541E0">
            <w:t>Wherever possible London Economics uses paper sourced from sustainably managed forests using production processes that meet the EU eco-label requirements.</w:t>
          </w:r>
        </w:p>
        <w:p w14:paraId="37BB058A" w14:textId="77777777" w:rsidR="007F7981" w:rsidRPr="003541E0" w:rsidRDefault="007F7981" w:rsidP="00834CE4">
          <w:pPr>
            <w:pStyle w:val="FooterFront"/>
          </w:pPr>
          <w:r w:rsidRPr="003541E0">
            <w:t>Copyright © 2023 London Economics. Except for the quotation of short passages for the purposes of criticism or review, no part of this document may be reproduced without permission.</w:t>
          </w:r>
        </w:p>
        <w:p w14:paraId="1CD04259" w14:textId="77777777" w:rsidR="007F7981" w:rsidRPr="003541E0" w:rsidRDefault="007F7981" w:rsidP="00834CE4">
          <w:pPr>
            <w:pStyle w:val="FooterFront"/>
          </w:pPr>
          <w:r w:rsidRPr="003541E0">
            <w:t>London Economics Ltd is a Limited Company registered in England and Wales with registered number 04083204 and registered offices at Somerset House, New Wing, Strand, London WC2R 1LA. London Economics Ltd's registration number for Value Added Tax in the United Kingdom is GB769529863.</w:t>
          </w:r>
        </w:p>
      </w:tc>
    </w:tr>
  </w:tbl>
  <w:p w14:paraId="6ED05265" w14:textId="77777777" w:rsidR="007F7981" w:rsidRPr="003541E0" w:rsidRDefault="007F7981" w:rsidP="009864D8">
    <w:pPr>
      <w:pStyle w:val="FooterBelowTab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EA014" w14:textId="77777777" w:rsidR="00B91716" w:rsidRPr="003541E0" w:rsidRDefault="00B91716" w:rsidP="009864D8">
    <w:pPr>
      <w:pStyle w:val="Footer"/>
    </w:pPr>
  </w:p>
  <w:tbl>
    <w:tblPr>
      <w:tblStyle w:val="TableGrid"/>
      <w:tblW w:w="5000" w:type="pct"/>
      <w:tblBorders>
        <w:top w:val="single" w:sz="4" w:space="0" w:color="7F7F7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8277"/>
    </w:tblGrid>
    <w:tr w:rsidR="00B91716" w:rsidRPr="003541E0" w14:paraId="4074C9F0" w14:textId="77777777" w:rsidTr="00736745">
      <w:tc>
        <w:tcPr>
          <w:tcW w:w="567" w:type="dxa"/>
          <w:vAlign w:val="bottom"/>
        </w:tcPr>
        <w:p w14:paraId="771FEAB7" w14:textId="77777777" w:rsidR="00B91716" w:rsidRPr="003541E0" w:rsidRDefault="00B91716" w:rsidP="005B5DF6">
          <w:pPr>
            <w:pStyle w:val="FooterPageEven"/>
          </w:pPr>
          <w:r w:rsidRPr="003541E0">
            <w:fldChar w:fldCharType="begin"/>
          </w:r>
          <w:r w:rsidRPr="003541E0">
            <w:instrText xml:space="preserve"> PAGE   \* MERGEFORMAT </w:instrText>
          </w:r>
          <w:r w:rsidRPr="003541E0">
            <w:fldChar w:fldCharType="separate"/>
          </w:r>
          <w:r w:rsidRPr="003541E0">
            <w:t>6</w:t>
          </w:r>
          <w:r w:rsidRPr="003541E0">
            <w:fldChar w:fldCharType="end"/>
          </w:r>
        </w:p>
      </w:tc>
      <w:tc>
        <w:tcPr>
          <w:tcW w:w="0" w:type="auto"/>
          <w:vAlign w:val="bottom"/>
        </w:tcPr>
        <w:p w14:paraId="1E7C6B50" w14:textId="4D8A11F6" w:rsidR="00B91716" w:rsidRPr="003541E0" w:rsidRDefault="00B91716" w:rsidP="0030437C">
          <w:pPr>
            <w:pStyle w:val="FooterTitleEven"/>
            <w:rPr>
              <w:noProof w:val="0"/>
            </w:rPr>
          </w:pP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sidRPr="00E33157">
            <w:rPr>
              <w:b w:val="0"/>
              <w:bCs/>
              <w:noProof w:val="0"/>
            </w:rPr>
            <w:instrText>London Economics</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Pr>
              <w:noProof w:val="0"/>
            </w:rPr>
            <w:instrText>London Economics</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London Economics</w:t>
          </w:r>
          <w:r w:rsidRPr="003541E0">
            <w:rPr>
              <w:noProof w:val="0"/>
            </w:rPr>
            <w:fldChar w:fldCharType="end"/>
          </w:r>
        </w:p>
        <w:p w14:paraId="262DA738" w14:textId="7DD4882F" w:rsidR="00B91716" w:rsidRPr="003541E0" w:rsidRDefault="00B91716" w:rsidP="005B5DF6">
          <w:pPr>
            <w:pStyle w:val="FooterEven"/>
          </w:pPr>
          <w:r w:rsidRPr="003541E0">
            <w:fldChar w:fldCharType="begin"/>
          </w:r>
          <w:r w:rsidRPr="003541E0">
            <w:instrText xml:space="preserve"> IF </w:instrText>
          </w:r>
          <w:fldSimple w:instr=" DOCVARIABLE  FooterTitle  \* MERGEFORMAT ">
            <w:r w:rsidR="00E33157" w:rsidRPr="00E33157">
              <w:rPr>
                <w:b w:val="0"/>
                <w:bCs/>
              </w:rPr>
              <w:instrText xml:space="preserve">The economic, social and cultural </w:instrText>
            </w:r>
            <w:r w:rsidR="00E33157">
              <w:instrText>impact of the University of Birmingham</w:instrText>
            </w:r>
          </w:fldSimple>
          <w:r w:rsidRPr="003541E0">
            <w:instrText xml:space="preserve"> = "Error! No document variable supplied." " " </w:instrText>
          </w:r>
          <w:fldSimple w:instr=" DOCVARIABLE  FooterTitle \* MERGEFORMAT ">
            <w:r w:rsidR="00E33157">
              <w:instrText>The economic, social and cultural impact of the University of Birmingham</w:instrText>
            </w:r>
          </w:fldSimple>
          <w:r w:rsidRPr="003541E0">
            <w:instrText xml:space="preserve"> \* MERGEFORMAT </w:instrText>
          </w:r>
          <w:r w:rsidRPr="003541E0">
            <w:fldChar w:fldCharType="separate"/>
          </w:r>
          <w:r w:rsidR="00E33157">
            <w:rPr>
              <w:noProof/>
            </w:rPr>
            <w:t>The economic, social and cultural impact of the University of Birmingham</w:t>
          </w:r>
          <w:r w:rsidRPr="003541E0">
            <w:fldChar w:fldCharType="end"/>
          </w:r>
        </w:p>
      </w:tc>
    </w:tr>
  </w:tbl>
  <w:p w14:paraId="5B73D7AC" w14:textId="77777777" w:rsidR="00B91716" w:rsidRPr="003541E0" w:rsidRDefault="00B91716" w:rsidP="009864D8">
    <w:pPr>
      <w:pStyle w:val="FooterBelowTable"/>
    </w:pPr>
  </w:p>
  <w:p w14:paraId="0625D960" w14:textId="77777777" w:rsidR="00B91716" w:rsidRPr="003541E0" w:rsidRDefault="00B91716" w:rsidP="009864D8">
    <w:pPr>
      <w:pStyle w:val="FooterBelowTabl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9C633" w14:textId="77777777" w:rsidR="00B91716" w:rsidRPr="003541E0" w:rsidRDefault="00B91716" w:rsidP="000B7FA6">
    <w:pPr>
      <w:pStyle w:val="Footer"/>
    </w:pPr>
  </w:p>
  <w:tbl>
    <w:tblPr>
      <w:tblStyle w:val="TableGrid"/>
      <w:tblW w:w="5000" w:type="pct"/>
      <w:tblBorders>
        <w:top w:val="single" w:sz="4" w:space="0" w:color="7F7F7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77"/>
      <w:gridCol w:w="567"/>
    </w:tblGrid>
    <w:tr w:rsidR="00B91716" w:rsidRPr="003541E0" w14:paraId="6E00F61B" w14:textId="77777777" w:rsidTr="00DB08CE">
      <w:tc>
        <w:tcPr>
          <w:tcW w:w="0" w:type="auto"/>
          <w:vAlign w:val="bottom"/>
        </w:tcPr>
        <w:p w14:paraId="63355DAE" w14:textId="7817DEBA" w:rsidR="00B91716" w:rsidRPr="003541E0" w:rsidRDefault="00B91716" w:rsidP="000B7FA6">
          <w:pPr>
            <w:pStyle w:val="FooterTitle"/>
            <w:rPr>
              <w:noProof w:val="0"/>
            </w:rPr>
          </w:pP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sidRPr="00E33157">
            <w:rPr>
              <w:b w:val="0"/>
              <w:bCs/>
              <w:noProof w:val="0"/>
            </w:rPr>
            <w:instrText>London Economics</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Pr>
              <w:noProof w:val="0"/>
            </w:rPr>
            <w:instrText>London Economics</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London Economics</w:t>
          </w:r>
          <w:r w:rsidRPr="003541E0">
            <w:rPr>
              <w:noProof w:val="0"/>
            </w:rPr>
            <w:fldChar w:fldCharType="end"/>
          </w:r>
          <w:r w:rsidRPr="003541E0">
            <w:rPr>
              <w:noProof w:val="0"/>
            </w:rPr>
            <w:t xml:space="preserve"> - </w:t>
          </w: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FooterTitle  \* MERGEFORMAT </w:instrText>
          </w:r>
          <w:r w:rsidRPr="003541E0">
            <w:rPr>
              <w:noProof w:val="0"/>
            </w:rPr>
            <w:fldChar w:fldCharType="separate"/>
          </w:r>
          <w:r w:rsidR="00E33157" w:rsidRPr="00E33157">
            <w:rPr>
              <w:b w:val="0"/>
              <w:bCs/>
              <w:noProof w:val="0"/>
            </w:rPr>
            <w:instrText xml:space="preserve">The economic, social and cultural </w:instrText>
          </w:r>
          <w:r w:rsidR="00E33157">
            <w:rPr>
              <w:noProof w:val="0"/>
            </w:rPr>
            <w:instrText>impact of the University of Birmingham</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FooterTitle \* MERGEFORMAT </w:instrText>
          </w:r>
          <w:r w:rsidRPr="003541E0">
            <w:rPr>
              <w:noProof w:val="0"/>
            </w:rPr>
            <w:fldChar w:fldCharType="separate"/>
          </w:r>
          <w:r w:rsidR="00E33157">
            <w:rPr>
              <w:noProof w:val="0"/>
            </w:rPr>
            <w:instrText>The economic, social and cultural impact of the University of Birmingham</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The economic, social and cultural impact of the University of Birmingham</w:t>
          </w:r>
          <w:r w:rsidRPr="003541E0">
            <w:rPr>
              <w:noProof w:val="0"/>
            </w:rPr>
            <w:fldChar w:fldCharType="end"/>
          </w:r>
        </w:p>
      </w:tc>
      <w:tc>
        <w:tcPr>
          <w:tcW w:w="567" w:type="dxa"/>
          <w:vAlign w:val="bottom"/>
        </w:tcPr>
        <w:p w14:paraId="1157BD2C" w14:textId="77777777" w:rsidR="00B91716" w:rsidRPr="003541E0" w:rsidRDefault="00B91716" w:rsidP="000B7FA6">
          <w:pPr>
            <w:pStyle w:val="FooterPage"/>
          </w:pPr>
          <w:r w:rsidRPr="003541E0">
            <w:fldChar w:fldCharType="begin"/>
          </w:r>
          <w:r w:rsidRPr="003541E0">
            <w:instrText xml:space="preserve"> PAGE   \* MERGEFORMAT </w:instrText>
          </w:r>
          <w:r w:rsidRPr="003541E0">
            <w:fldChar w:fldCharType="separate"/>
          </w:r>
          <w:r w:rsidRPr="003541E0">
            <w:t>i</w:t>
          </w:r>
          <w:r w:rsidRPr="003541E0">
            <w:fldChar w:fldCharType="end"/>
          </w:r>
        </w:p>
      </w:tc>
    </w:tr>
  </w:tbl>
  <w:p w14:paraId="35EE61B2" w14:textId="77777777" w:rsidR="00B91716" w:rsidRPr="003541E0" w:rsidRDefault="00B91716" w:rsidP="000B7FA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2AE30" w14:textId="77777777" w:rsidR="00B91716" w:rsidRPr="003541E0" w:rsidRDefault="00B9171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FCB19" w14:textId="77777777" w:rsidR="00B91716" w:rsidRPr="003541E0" w:rsidRDefault="00B91716" w:rsidP="009864D8">
    <w:pPr>
      <w:pStyle w:val="Footer"/>
    </w:pPr>
  </w:p>
  <w:tbl>
    <w:tblPr>
      <w:tblStyle w:val="TableGrid"/>
      <w:tblW w:w="5000" w:type="pct"/>
      <w:tblBorders>
        <w:top w:val="single" w:sz="4" w:space="0" w:color="7F7F7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13437"/>
    </w:tblGrid>
    <w:tr w:rsidR="00B91716" w:rsidRPr="003541E0" w14:paraId="4F923AEA" w14:textId="77777777" w:rsidTr="00736745">
      <w:tc>
        <w:tcPr>
          <w:tcW w:w="567" w:type="dxa"/>
          <w:vAlign w:val="bottom"/>
        </w:tcPr>
        <w:p w14:paraId="7E5F5AC4" w14:textId="77777777" w:rsidR="00B91716" w:rsidRPr="003541E0" w:rsidRDefault="00B91716" w:rsidP="005B5DF6">
          <w:pPr>
            <w:pStyle w:val="FooterPageEven"/>
          </w:pPr>
          <w:r w:rsidRPr="003541E0">
            <w:fldChar w:fldCharType="begin"/>
          </w:r>
          <w:r w:rsidRPr="003541E0">
            <w:instrText xml:space="preserve"> PAGE   \* MERGEFORMAT </w:instrText>
          </w:r>
          <w:r w:rsidRPr="003541E0">
            <w:fldChar w:fldCharType="separate"/>
          </w:r>
          <w:r w:rsidRPr="003541E0">
            <w:t>6</w:t>
          </w:r>
          <w:r w:rsidRPr="003541E0">
            <w:fldChar w:fldCharType="end"/>
          </w:r>
        </w:p>
      </w:tc>
      <w:tc>
        <w:tcPr>
          <w:tcW w:w="0" w:type="auto"/>
          <w:vAlign w:val="bottom"/>
        </w:tcPr>
        <w:p w14:paraId="2B2A057E" w14:textId="195AA845" w:rsidR="00B91716" w:rsidRPr="003541E0" w:rsidRDefault="00B91716" w:rsidP="0030437C">
          <w:pPr>
            <w:pStyle w:val="FooterTitleEven"/>
            <w:rPr>
              <w:noProof w:val="0"/>
            </w:rPr>
          </w:pP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sidRPr="00E33157">
            <w:rPr>
              <w:b w:val="0"/>
              <w:bCs/>
              <w:noProof w:val="0"/>
            </w:rPr>
            <w:instrText>London Economics</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Pr>
              <w:noProof w:val="0"/>
            </w:rPr>
            <w:instrText>London Economics</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London Economics</w:t>
          </w:r>
          <w:r w:rsidRPr="003541E0">
            <w:rPr>
              <w:noProof w:val="0"/>
            </w:rPr>
            <w:fldChar w:fldCharType="end"/>
          </w:r>
        </w:p>
        <w:p w14:paraId="06218905" w14:textId="3EB6FC37" w:rsidR="00B91716" w:rsidRPr="003541E0" w:rsidRDefault="00B91716" w:rsidP="005B5DF6">
          <w:pPr>
            <w:pStyle w:val="FooterEven"/>
          </w:pPr>
          <w:r w:rsidRPr="003541E0">
            <w:fldChar w:fldCharType="begin"/>
          </w:r>
          <w:r w:rsidRPr="003541E0">
            <w:instrText xml:space="preserve"> IF </w:instrText>
          </w:r>
          <w:fldSimple w:instr=" DOCVARIABLE  FooterTitle  \* MERGEFORMAT ">
            <w:r w:rsidR="00E33157" w:rsidRPr="00E33157">
              <w:rPr>
                <w:b w:val="0"/>
                <w:bCs/>
              </w:rPr>
              <w:instrText xml:space="preserve">The economic, social and cultural </w:instrText>
            </w:r>
            <w:r w:rsidR="00E33157">
              <w:instrText>impact of the University of Birmingham</w:instrText>
            </w:r>
          </w:fldSimple>
          <w:r w:rsidRPr="003541E0">
            <w:instrText xml:space="preserve"> = "Error! No document variable supplied." " " </w:instrText>
          </w:r>
          <w:fldSimple w:instr=" DOCVARIABLE  FooterTitle \* MERGEFORMAT ">
            <w:r w:rsidR="00E33157">
              <w:instrText>The economic, social and cultural impact of the University of Birmingham</w:instrText>
            </w:r>
          </w:fldSimple>
          <w:r w:rsidRPr="003541E0">
            <w:instrText xml:space="preserve"> \* MERGEFORMAT </w:instrText>
          </w:r>
          <w:r w:rsidRPr="003541E0">
            <w:fldChar w:fldCharType="separate"/>
          </w:r>
          <w:r w:rsidR="00E33157">
            <w:rPr>
              <w:noProof/>
            </w:rPr>
            <w:t>The economic, social and cultural impact of the University of Birmingham</w:t>
          </w:r>
          <w:r w:rsidRPr="003541E0">
            <w:fldChar w:fldCharType="end"/>
          </w:r>
        </w:p>
      </w:tc>
    </w:tr>
  </w:tbl>
  <w:p w14:paraId="37EB0264" w14:textId="77777777" w:rsidR="00B91716" w:rsidRPr="003541E0" w:rsidRDefault="00B91716" w:rsidP="009864D8">
    <w:pPr>
      <w:pStyle w:val="FooterBelowTable"/>
    </w:pPr>
  </w:p>
  <w:p w14:paraId="4DC798EF" w14:textId="77777777" w:rsidR="00B91716" w:rsidRPr="003541E0" w:rsidRDefault="00B91716" w:rsidP="009864D8">
    <w:pPr>
      <w:pStyle w:val="FooterBelowTabl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7E2D9" w14:textId="77777777" w:rsidR="00B91716" w:rsidRPr="003541E0" w:rsidRDefault="00B91716" w:rsidP="000B7FA6">
    <w:pPr>
      <w:pStyle w:val="Footer"/>
    </w:pPr>
  </w:p>
  <w:tbl>
    <w:tblPr>
      <w:tblStyle w:val="TableGrid"/>
      <w:tblW w:w="5000" w:type="pct"/>
      <w:tblBorders>
        <w:top w:val="single" w:sz="4" w:space="0" w:color="7F7F7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437"/>
      <w:gridCol w:w="567"/>
    </w:tblGrid>
    <w:tr w:rsidR="00B91716" w:rsidRPr="003541E0" w14:paraId="487F68A6" w14:textId="77777777" w:rsidTr="00DB08CE">
      <w:tc>
        <w:tcPr>
          <w:tcW w:w="0" w:type="auto"/>
          <w:vAlign w:val="bottom"/>
        </w:tcPr>
        <w:p w14:paraId="1D064C51" w14:textId="0BBEDAD3" w:rsidR="00B91716" w:rsidRPr="003541E0" w:rsidRDefault="00B91716" w:rsidP="000B7FA6">
          <w:pPr>
            <w:pStyle w:val="FooterTitle"/>
            <w:rPr>
              <w:noProof w:val="0"/>
            </w:rPr>
          </w:pP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sidRPr="00E33157">
            <w:rPr>
              <w:b w:val="0"/>
              <w:bCs/>
              <w:noProof w:val="0"/>
            </w:rPr>
            <w:instrText>London Economics</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Pr>
              <w:noProof w:val="0"/>
            </w:rPr>
            <w:instrText>London Economics</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London Economics</w:t>
          </w:r>
          <w:r w:rsidRPr="003541E0">
            <w:rPr>
              <w:noProof w:val="0"/>
            </w:rPr>
            <w:fldChar w:fldCharType="end"/>
          </w:r>
          <w:r w:rsidRPr="003541E0">
            <w:rPr>
              <w:noProof w:val="0"/>
            </w:rPr>
            <w:t xml:space="preserve"> - </w:t>
          </w: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FooterTitle  \* MERGEFORMAT </w:instrText>
          </w:r>
          <w:r w:rsidRPr="003541E0">
            <w:rPr>
              <w:noProof w:val="0"/>
            </w:rPr>
            <w:fldChar w:fldCharType="separate"/>
          </w:r>
          <w:r w:rsidR="00E33157" w:rsidRPr="00E33157">
            <w:rPr>
              <w:b w:val="0"/>
              <w:bCs/>
              <w:noProof w:val="0"/>
            </w:rPr>
            <w:instrText xml:space="preserve">The economic, social and cultural </w:instrText>
          </w:r>
          <w:r w:rsidR="00E33157">
            <w:rPr>
              <w:noProof w:val="0"/>
            </w:rPr>
            <w:instrText>impact of the University of Birmingham</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FooterTitle \* MERGEFORMAT </w:instrText>
          </w:r>
          <w:r w:rsidRPr="003541E0">
            <w:rPr>
              <w:noProof w:val="0"/>
            </w:rPr>
            <w:fldChar w:fldCharType="separate"/>
          </w:r>
          <w:r w:rsidR="00E33157">
            <w:rPr>
              <w:noProof w:val="0"/>
            </w:rPr>
            <w:instrText>The economic, social and cultural impact of the University of Birmingham</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The economic, social and cultural impact of the University of Birmingham</w:t>
          </w:r>
          <w:r w:rsidRPr="003541E0">
            <w:rPr>
              <w:noProof w:val="0"/>
            </w:rPr>
            <w:fldChar w:fldCharType="end"/>
          </w:r>
        </w:p>
      </w:tc>
      <w:tc>
        <w:tcPr>
          <w:tcW w:w="567" w:type="dxa"/>
          <w:vAlign w:val="bottom"/>
        </w:tcPr>
        <w:p w14:paraId="15AA7CB8" w14:textId="77777777" w:rsidR="00B91716" w:rsidRPr="003541E0" w:rsidRDefault="00B91716" w:rsidP="000B7FA6">
          <w:pPr>
            <w:pStyle w:val="FooterPage"/>
          </w:pPr>
          <w:r w:rsidRPr="003541E0">
            <w:fldChar w:fldCharType="begin"/>
          </w:r>
          <w:r w:rsidRPr="003541E0">
            <w:instrText xml:space="preserve"> PAGE   \* MERGEFORMAT </w:instrText>
          </w:r>
          <w:r w:rsidRPr="003541E0">
            <w:fldChar w:fldCharType="separate"/>
          </w:r>
          <w:r w:rsidRPr="003541E0">
            <w:t>i</w:t>
          </w:r>
          <w:r w:rsidRPr="003541E0">
            <w:fldChar w:fldCharType="end"/>
          </w:r>
        </w:p>
      </w:tc>
    </w:tr>
  </w:tbl>
  <w:p w14:paraId="5ADE7EEC" w14:textId="77777777" w:rsidR="00B91716" w:rsidRPr="003541E0" w:rsidRDefault="00B91716" w:rsidP="000B7FA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5450B" w14:textId="77777777" w:rsidR="00B91716" w:rsidRPr="003541E0" w:rsidRDefault="00B9171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EE21E" w14:textId="77777777" w:rsidR="00383BF9" w:rsidRPr="003541E0" w:rsidRDefault="00383BF9" w:rsidP="009864D8">
    <w:pPr>
      <w:pStyle w:val="Footer"/>
    </w:pPr>
  </w:p>
  <w:tbl>
    <w:tblPr>
      <w:tblStyle w:val="TableGrid"/>
      <w:tblW w:w="5000" w:type="pct"/>
      <w:tblBorders>
        <w:top w:val="single" w:sz="4" w:space="0" w:color="7F7F7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8277"/>
    </w:tblGrid>
    <w:tr w:rsidR="00383BF9" w:rsidRPr="003541E0" w14:paraId="65532D34" w14:textId="77777777" w:rsidTr="00736745">
      <w:tc>
        <w:tcPr>
          <w:tcW w:w="567" w:type="dxa"/>
          <w:vAlign w:val="bottom"/>
        </w:tcPr>
        <w:p w14:paraId="63458D56" w14:textId="77777777" w:rsidR="00383BF9" w:rsidRPr="003541E0" w:rsidRDefault="00383BF9" w:rsidP="005B5DF6">
          <w:pPr>
            <w:pStyle w:val="FooterPageEven"/>
          </w:pPr>
          <w:r w:rsidRPr="003541E0">
            <w:fldChar w:fldCharType="begin"/>
          </w:r>
          <w:r w:rsidRPr="003541E0">
            <w:instrText xml:space="preserve"> PAGE   \* MERGEFORMAT </w:instrText>
          </w:r>
          <w:r w:rsidRPr="003541E0">
            <w:fldChar w:fldCharType="separate"/>
          </w:r>
          <w:r w:rsidRPr="003541E0">
            <w:t>6</w:t>
          </w:r>
          <w:r w:rsidRPr="003541E0">
            <w:fldChar w:fldCharType="end"/>
          </w:r>
        </w:p>
      </w:tc>
      <w:tc>
        <w:tcPr>
          <w:tcW w:w="0" w:type="auto"/>
          <w:vAlign w:val="bottom"/>
        </w:tcPr>
        <w:p w14:paraId="7E4C0091" w14:textId="642BE977" w:rsidR="00383BF9" w:rsidRPr="003541E0" w:rsidRDefault="00383BF9" w:rsidP="0030437C">
          <w:pPr>
            <w:pStyle w:val="FooterTitleEven"/>
            <w:rPr>
              <w:noProof w:val="0"/>
            </w:rPr>
          </w:pPr>
          <w:r w:rsidRPr="003541E0">
            <w:rPr>
              <w:noProof w:val="0"/>
              <w:color w:val="06357A"/>
            </w:rPr>
            <w:t>London Economics</w:t>
          </w: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sidRPr="00E33157">
            <w:rPr>
              <w:b w:val="0"/>
              <w:bCs/>
              <w:noProof w:val="0"/>
            </w:rPr>
            <w:instrText>London Economics</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Pr>
              <w:noProof w:val="0"/>
            </w:rPr>
            <w:instrText>London Economics</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London Economics</w:t>
          </w:r>
          <w:r w:rsidRPr="003541E0">
            <w:rPr>
              <w:noProof w:val="0"/>
            </w:rPr>
            <w:fldChar w:fldCharType="end"/>
          </w:r>
        </w:p>
        <w:p w14:paraId="44BEC332" w14:textId="3FCABB70" w:rsidR="00383BF9" w:rsidRPr="003541E0" w:rsidRDefault="00383BF9" w:rsidP="005B5DF6">
          <w:pPr>
            <w:pStyle w:val="FooterEven"/>
          </w:pPr>
          <w:r w:rsidRPr="003541E0">
            <w:fldChar w:fldCharType="begin"/>
          </w:r>
          <w:r w:rsidRPr="003541E0">
            <w:instrText xml:space="preserve"> IF </w:instrText>
          </w:r>
          <w:fldSimple w:instr=" DOCVARIABLE  FooterTitle  \* MERGEFORMAT ">
            <w:r w:rsidR="00E33157" w:rsidRPr="00E33157">
              <w:rPr>
                <w:b w:val="0"/>
                <w:bCs/>
              </w:rPr>
              <w:instrText xml:space="preserve">The economic, social and cultural </w:instrText>
            </w:r>
            <w:r w:rsidR="00E33157">
              <w:instrText>impact of the University of Birmingham</w:instrText>
            </w:r>
          </w:fldSimple>
          <w:r w:rsidRPr="003541E0">
            <w:instrText xml:space="preserve"> = "Error! No document variable supplied." " " </w:instrText>
          </w:r>
          <w:fldSimple w:instr=" DOCVARIABLE  FooterTitle \* MERGEFORMAT ">
            <w:r w:rsidR="00E33157">
              <w:instrText>The economic, social and cultural impact of the University of Birmingham</w:instrText>
            </w:r>
          </w:fldSimple>
          <w:r w:rsidRPr="003541E0">
            <w:instrText xml:space="preserve"> \* MERGEFORMAT </w:instrText>
          </w:r>
          <w:r w:rsidRPr="003541E0">
            <w:fldChar w:fldCharType="separate"/>
          </w:r>
          <w:r w:rsidR="00E33157">
            <w:rPr>
              <w:noProof/>
            </w:rPr>
            <w:t>The economic, social and cultural impact of the University of Birmingham</w:t>
          </w:r>
          <w:r w:rsidRPr="003541E0">
            <w:fldChar w:fldCharType="end"/>
          </w:r>
        </w:p>
      </w:tc>
    </w:tr>
  </w:tbl>
  <w:p w14:paraId="42FA0E24" w14:textId="77777777" w:rsidR="00383BF9" w:rsidRPr="003541E0" w:rsidRDefault="00383BF9" w:rsidP="009864D8">
    <w:pPr>
      <w:pStyle w:val="FooterBelowTable"/>
    </w:pPr>
  </w:p>
  <w:p w14:paraId="0DFD4449" w14:textId="77777777" w:rsidR="00383BF9" w:rsidRPr="003541E0" w:rsidRDefault="00383BF9" w:rsidP="009864D8">
    <w:pPr>
      <w:pStyle w:val="FooterBelowTabl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3510F" w14:textId="77777777" w:rsidR="00383BF9" w:rsidRPr="003541E0" w:rsidRDefault="00383BF9" w:rsidP="009864D8">
    <w:pPr>
      <w:pStyle w:val="Footer"/>
    </w:pPr>
  </w:p>
  <w:tbl>
    <w:tblPr>
      <w:tblStyle w:val="TableGrid"/>
      <w:tblW w:w="5000" w:type="pct"/>
      <w:tblBorders>
        <w:top w:val="single" w:sz="4" w:space="0" w:color="7F7F7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13437"/>
    </w:tblGrid>
    <w:tr w:rsidR="00383BF9" w:rsidRPr="003541E0" w14:paraId="5C3DFE60" w14:textId="77777777" w:rsidTr="00736745">
      <w:tc>
        <w:tcPr>
          <w:tcW w:w="567" w:type="dxa"/>
          <w:vAlign w:val="bottom"/>
        </w:tcPr>
        <w:p w14:paraId="28F9AD41" w14:textId="77777777" w:rsidR="00383BF9" w:rsidRPr="003541E0" w:rsidRDefault="00383BF9" w:rsidP="005B5DF6">
          <w:pPr>
            <w:pStyle w:val="FooterPageEven"/>
          </w:pPr>
          <w:r w:rsidRPr="003541E0">
            <w:fldChar w:fldCharType="begin"/>
          </w:r>
          <w:r w:rsidRPr="003541E0">
            <w:instrText xml:space="preserve"> PAGE   \* MERGEFORMAT </w:instrText>
          </w:r>
          <w:r w:rsidRPr="003541E0">
            <w:fldChar w:fldCharType="separate"/>
          </w:r>
          <w:r w:rsidRPr="003541E0">
            <w:t>6</w:t>
          </w:r>
          <w:r w:rsidRPr="003541E0">
            <w:fldChar w:fldCharType="end"/>
          </w:r>
        </w:p>
      </w:tc>
      <w:tc>
        <w:tcPr>
          <w:tcW w:w="0" w:type="auto"/>
          <w:vAlign w:val="bottom"/>
        </w:tcPr>
        <w:p w14:paraId="0D785362" w14:textId="1D5D9470" w:rsidR="00383BF9" w:rsidRPr="003541E0" w:rsidRDefault="00383BF9" w:rsidP="0030437C">
          <w:pPr>
            <w:pStyle w:val="FooterTitleEven"/>
            <w:rPr>
              <w:noProof w:val="0"/>
            </w:rPr>
          </w:pPr>
          <w:r w:rsidRPr="003541E0">
            <w:rPr>
              <w:noProof w:val="0"/>
              <w:color w:val="06357A"/>
            </w:rPr>
            <w:t>London Economics</w:t>
          </w: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sidRPr="00E33157">
            <w:rPr>
              <w:b w:val="0"/>
              <w:bCs/>
              <w:noProof w:val="0"/>
            </w:rPr>
            <w:instrText>London Economics</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Pr>
              <w:noProof w:val="0"/>
            </w:rPr>
            <w:instrText>London Economics</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London Economics</w:t>
          </w:r>
          <w:r w:rsidRPr="003541E0">
            <w:rPr>
              <w:noProof w:val="0"/>
            </w:rPr>
            <w:fldChar w:fldCharType="end"/>
          </w:r>
        </w:p>
        <w:p w14:paraId="5C2395FD" w14:textId="4C96155D" w:rsidR="00383BF9" w:rsidRPr="003541E0" w:rsidRDefault="00383BF9" w:rsidP="005B5DF6">
          <w:pPr>
            <w:pStyle w:val="FooterEven"/>
          </w:pPr>
          <w:r w:rsidRPr="003541E0">
            <w:fldChar w:fldCharType="begin"/>
          </w:r>
          <w:r w:rsidRPr="003541E0">
            <w:instrText xml:space="preserve"> IF </w:instrText>
          </w:r>
          <w:fldSimple w:instr=" DOCVARIABLE  FooterTitle  \* MERGEFORMAT ">
            <w:r w:rsidR="00E33157" w:rsidRPr="00E33157">
              <w:rPr>
                <w:b w:val="0"/>
                <w:bCs/>
              </w:rPr>
              <w:instrText xml:space="preserve">The economic, social and cultural </w:instrText>
            </w:r>
            <w:r w:rsidR="00E33157">
              <w:instrText>impact of the University of Birmingham</w:instrText>
            </w:r>
          </w:fldSimple>
          <w:r w:rsidRPr="003541E0">
            <w:instrText xml:space="preserve"> = "Error! No document variable supplied." " " </w:instrText>
          </w:r>
          <w:fldSimple w:instr=" DOCVARIABLE  FooterTitle \* MERGEFORMAT ">
            <w:r w:rsidR="00E33157">
              <w:instrText>The economic, social and cultural impact of the University of Birmingham</w:instrText>
            </w:r>
          </w:fldSimple>
          <w:r w:rsidRPr="003541E0">
            <w:instrText xml:space="preserve"> \* MERGEFORMAT </w:instrText>
          </w:r>
          <w:r w:rsidRPr="003541E0">
            <w:fldChar w:fldCharType="separate"/>
          </w:r>
          <w:r w:rsidR="00E33157">
            <w:rPr>
              <w:noProof/>
            </w:rPr>
            <w:t>The economic, social and cultural impact of the University of Birmingham</w:t>
          </w:r>
          <w:r w:rsidRPr="003541E0">
            <w:fldChar w:fldCharType="end"/>
          </w:r>
        </w:p>
      </w:tc>
    </w:tr>
  </w:tbl>
  <w:p w14:paraId="51547F31" w14:textId="77777777" w:rsidR="00383BF9" w:rsidRPr="003541E0" w:rsidRDefault="00383BF9" w:rsidP="009864D8">
    <w:pPr>
      <w:pStyle w:val="FooterBelowTable"/>
    </w:pPr>
  </w:p>
  <w:p w14:paraId="31A05E3B" w14:textId="77777777" w:rsidR="00383BF9" w:rsidRPr="003541E0" w:rsidRDefault="00383BF9" w:rsidP="009864D8">
    <w:pPr>
      <w:pStyle w:val="FooterBelowTabl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507A5" w14:textId="77777777" w:rsidR="00383BF9" w:rsidRPr="003541E0" w:rsidRDefault="00383BF9" w:rsidP="000B7FA6">
    <w:pPr>
      <w:pStyle w:val="Footer"/>
    </w:pPr>
  </w:p>
  <w:tbl>
    <w:tblPr>
      <w:tblStyle w:val="TableGrid"/>
      <w:tblW w:w="5000" w:type="pct"/>
      <w:tblBorders>
        <w:top w:val="single" w:sz="4" w:space="0" w:color="7F7F7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437"/>
      <w:gridCol w:w="567"/>
    </w:tblGrid>
    <w:tr w:rsidR="00383BF9" w:rsidRPr="003541E0" w14:paraId="59D29EBF" w14:textId="77777777" w:rsidTr="00DB08CE">
      <w:tc>
        <w:tcPr>
          <w:tcW w:w="0" w:type="auto"/>
          <w:vAlign w:val="bottom"/>
        </w:tcPr>
        <w:p w14:paraId="29C31CD5" w14:textId="54319C55" w:rsidR="00383BF9" w:rsidRPr="003541E0" w:rsidRDefault="00383BF9" w:rsidP="000B7FA6">
          <w:pPr>
            <w:pStyle w:val="FooterTitle"/>
            <w:rPr>
              <w:noProof w:val="0"/>
            </w:rPr>
          </w:pP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sidRPr="00E33157">
            <w:rPr>
              <w:b w:val="0"/>
              <w:bCs/>
              <w:noProof w:val="0"/>
            </w:rPr>
            <w:instrText>London Economics</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Pr>
              <w:noProof w:val="0"/>
            </w:rPr>
            <w:instrText>London Economics</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London Economics</w:t>
          </w:r>
          <w:r w:rsidRPr="003541E0">
            <w:rPr>
              <w:noProof w:val="0"/>
            </w:rPr>
            <w:fldChar w:fldCharType="end"/>
          </w:r>
          <w:r w:rsidRPr="003541E0">
            <w:rPr>
              <w:noProof w:val="0"/>
            </w:rPr>
            <w:t xml:space="preserve"> - </w:t>
          </w: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FooterTitle  \* MERGEFORMAT </w:instrText>
          </w:r>
          <w:r w:rsidRPr="003541E0">
            <w:rPr>
              <w:noProof w:val="0"/>
            </w:rPr>
            <w:fldChar w:fldCharType="separate"/>
          </w:r>
          <w:r w:rsidR="00E33157" w:rsidRPr="00E33157">
            <w:rPr>
              <w:b w:val="0"/>
              <w:bCs/>
              <w:noProof w:val="0"/>
            </w:rPr>
            <w:instrText xml:space="preserve">The economic, social and cultural </w:instrText>
          </w:r>
          <w:r w:rsidR="00E33157">
            <w:rPr>
              <w:noProof w:val="0"/>
            </w:rPr>
            <w:instrText>impact of the University of Birmingham</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FooterTitle \* MERGEFORMAT </w:instrText>
          </w:r>
          <w:r w:rsidRPr="003541E0">
            <w:rPr>
              <w:noProof w:val="0"/>
            </w:rPr>
            <w:fldChar w:fldCharType="separate"/>
          </w:r>
          <w:r w:rsidR="00E33157">
            <w:rPr>
              <w:noProof w:val="0"/>
            </w:rPr>
            <w:instrText>The economic, social and cultural impact of the University of Birmingham</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The economic, social and cultural impact of the University of Birmingham</w:t>
          </w:r>
          <w:r w:rsidRPr="003541E0">
            <w:rPr>
              <w:noProof w:val="0"/>
            </w:rPr>
            <w:fldChar w:fldCharType="end"/>
          </w:r>
        </w:p>
      </w:tc>
      <w:tc>
        <w:tcPr>
          <w:tcW w:w="567" w:type="dxa"/>
          <w:vAlign w:val="bottom"/>
        </w:tcPr>
        <w:p w14:paraId="3D35F3B1" w14:textId="77777777" w:rsidR="00383BF9" w:rsidRPr="003541E0" w:rsidRDefault="00383BF9" w:rsidP="000B7FA6">
          <w:pPr>
            <w:pStyle w:val="FooterPage"/>
          </w:pPr>
          <w:r w:rsidRPr="003541E0">
            <w:fldChar w:fldCharType="begin"/>
          </w:r>
          <w:r w:rsidRPr="003541E0">
            <w:instrText xml:space="preserve"> PAGE   \* MERGEFORMAT </w:instrText>
          </w:r>
          <w:r w:rsidRPr="003541E0">
            <w:fldChar w:fldCharType="separate"/>
          </w:r>
          <w:r w:rsidRPr="003541E0">
            <w:t>i</w:t>
          </w:r>
          <w:r w:rsidRPr="003541E0">
            <w:fldChar w:fldCharType="end"/>
          </w:r>
        </w:p>
      </w:tc>
    </w:tr>
  </w:tbl>
  <w:p w14:paraId="0020F03D" w14:textId="77777777" w:rsidR="00383BF9" w:rsidRPr="003541E0" w:rsidRDefault="00383BF9" w:rsidP="000B7FA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16702" w14:textId="77777777" w:rsidR="00383BF9" w:rsidRPr="003541E0" w:rsidRDefault="00383B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C32B93" w:rsidRPr="003541E0" w14:paraId="26387833" w14:textId="77777777" w:rsidTr="00535CAB">
      <w:trPr>
        <w:trHeight w:hRule="exact" w:val="964"/>
      </w:trPr>
      <w:tc>
        <w:tcPr>
          <w:tcW w:w="9060" w:type="dxa"/>
          <w:vAlign w:val="bottom"/>
        </w:tcPr>
        <w:p w14:paraId="2A0BEAB9" w14:textId="77777777" w:rsidR="00C32B93" w:rsidRPr="003541E0" w:rsidRDefault="00C32B93" w:rsidP="00C32B93">
          <w:pPr>
            <w:rPr>
              <w:rFonts w:cs="Microsoft Sans Serif"/>
            </w:rPr>
          </w:pPr>
          <w:r w:rsidRPr="003541E0">
            <w:rPr>
              <w:noProof/>
            </w:rPr>
            <w:drawing>
              <wp:inline distT="0" distB="0" distL="0" distR="0" wp14:anchorId="6819EC6E" wp14:editId="45902222">
                <wp:extent cx="720000" cy="367200"/>
                <wp:effectExtent l="0" t="0" r="4445" b="0"/>
                <wp:docPr id="1813789776" name="Picture 5" descr="A black and white label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36196" name="Picture 5" descr="A black and white label with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367200"/>
                        </a:xfrm>
                        <a:prstGeom prst="rect">
                          <a:avLst/>
                        </a:prstGeom>
                      </pic:spPr>
                    </pic:pic>
                  </a:graphicData>
                </a:graphic>
              </wp:inline>
            </w:drawing>
          </w:r>
          <w:r w:rsidRPr="003541E0">
            <w:t xml:space="preserve">    </w:t>
          </w:r>
          <w:r w:rsidRPr="003541E0">
            <w:rPr>
              <w:noProof/>
            </w:rPr>
            <w:drawing>
              <wp:inline distT="0" distB="0" distL="0" distR="0" wp14:anchorId="457A5AF4" wp14:editId="02000C00">
                <wp:extent cx="571988" cy="380682"/>
                <wp:effectExtent l="0" t="0" r="0" b="0"/>
                <wp:docPr id="1899149412" name="Picture 6" descr="UKAS environmental Phase 3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UKAS environmental Phase 3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2474" cy="400972"/>
                        </a:xfrm>
                        <a:prstGeom prst="rect">
                          <a:avLst/>
                        </a:prstGeom>
                        <a:noFill/>
                        <a:ln>
                          <a:noFill/>
                        </a:ln>
                      </pic:spPr>
                    </pic:pic>
                  </a:graphicData>
                </a:graphic>
              </wp:inline>
            </w:drawing>
          </w:r>
          <w:r w:rsidRPr="003541E0">
            <w:t xml:space="preserve">   </w:t>
          </w:r>
          <w:r w:rsidRPr="003541E0">
            <w:rPr>
              <w:rFonts w:cs="Microsoft Sans Serif"/>
              <w:noProof/>
            </w:rPr>
            <w:drawing>
              <wp:inline distT="0" distB="0" distL="0" distR="0" wp14:anchorId="56D908CE" wp14:editId="5F33B881">
                <wp:extent cx="319156" cy="381600"/>
                <wp:effectExtent l="0" t="0" r="5080" b="0"/>
                <wp:docPr id="244629610" name="Picture 7" descr="Cyber Essentials Certified Pl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yber Essentials Certified Plus logo"/>
                        <pic:cNvPicPr/>
                      </pic:nvPicPr>
                      <pic:blipFill>
                        <a:blip r:embed="rId3" cstate="print">
                          <a:extLst>
                            <a:ext uri="{28A0092B-C50C-407E-A947-70E740481C1C}">
                              <a14:useLocalDpi xmlns:a14="http://schemas.microsoft.com/office/drawing/2010/main" val="0"/>
                            </a:ext>
                          </a:extLst>
                        </a:blip>
                        <a:stretch>
                          <a:fillRect/>
                        </a:stretch>
                      </pic:blipFill>
                      <pic:spPr>
                        <a:xfrm>
                          <a:off x="0" y="0"/>
                          <a:ext cx="319156" cy="381600"/>
                        </a:xfrm>
                        <a:prstGeom prst="rect">
                          <a:avLst/>
                        </a:prstGeom>
                      </pic:spPr>
                    </pic:pic>
                  </a:graphicData>
                </a:graphic>
              </wp:inline>
            </w:drawing>
          </w:r>
        </w:p>
      </w:tc>
    </w:tr>
    <w:tr w:rsidR="00C32B93" w:rsidRPr="003541E0" w14:paraId="3CD8E6C5" w14:textId="77777777" w:rsidTr="00535CAB">
      <w:trPr>
        <w:trHeight w:val="964"/>
      </w:trPr>
      <w:tc>
        <w:tcPr>
          <w:tcW w:w="9060" w:type="dxa"/>
          <w:tcMar>
            <w:top w:w="170" w:type="dxa"/>
            <w:bottom w:w="57" w:type="dxa"/>
          </w:tcMar>
        </w:tcPr>
        <w:p w14:paraId="5F6810D2" w14:textId="77777777" w:rsidR="00C32B93" w:rsidRPr="003541E0" w:rsidRDefault="00C32B93" w:rsidP="00C32B93">
          <w:pPr>
            <w:pStyle w:val="FooterFront"/>
          </w:pPr>
          <w:r w:rsidRPr="003541E0">
            <w:t>Wherever possible London Economics uses paper sourced from sustainably managed forests using production processes that meet the EU eco-label requirements.</w:t>
          </w:r>
        </w:p>
        <w:p w14:paraId="365A2F64" w14:textId="77777777" w:rsidR="00C32B93" w:rsidRPr="003541E0" w:rsidRDefault="00C32B93" w:rsidP="00C32B93">
          <w:pPr>
            <w:pStyle w:val="FooterFront"/>
          </w:pPr>
          <w:r w:rsidRPr="003541E0">
            <w:t>Copyright © 2024 London Economics. Except for the quotation of short passages for the purposes of criticism or review, no part of this document may be reproduced without permission.</w:t>
          </w:r>
        </w:p>
      </w:tc>
    </w:tr>
  </w:tbl>
  <w:p w14:paraId="695069BE" w14:textId="77777777" w:rsidR="007F7981" w:rsidRPr="003541E0" w:rsidRDefault="007F7981" w:rsidP="00250BBE">
    <w:pPr>
      <w:pStyle w:val="FooterBelowTabl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5BE5" w14:textId="77777777" w:rsidR="00E13125" w:rsidRPr="003541E0" w:rsidRDefault="00E13125" w:rsidP="009864D8">
    <w:pPr>
      <w:pStyle w:val="Footer"/>
    </w:pPr>
    <w:r w:rsidRPr="003541E0">
      <w:rPr>
        <w:rFonts w:cs="Microsoft Sans Serif"/>
        <w:noProof/>
        <w:lang w:eastAsia="en-GB"/>
      </w:rPr>
      <w:drawing>
        <wp:anchor distT="0" distB="0" distL="114300" distR="114300" simplePos="0" relativeHeight="251666432" behindDoc="1" locked="0" layoutInCell="1" allowOverlap="1" wp14:anchorId="6067FDCD" wp14:editId="10809C35">
          <wp:simplePos x="0" y="0"/>
          <wp:positionH relativeFrom="page">
            <wp:align>right</wp:align>
          </wp:positionH>
          <wp:positionV relativeFrom="page">
            <wp:align>bottom</wp:align>
          </wp:positionV>
          <wp:extent cx="1382400" cy="1620000"/>
          <wp:effectExtent l="0" t="0" r="8255" b="0"/>
          <wp:wrapNone/>
          <wp:docPr id="1947559882" name="Picture 1947559882" descr="C:\Users\gsadlier\Desktop\Logo &amp; Templates\Maps\LE-Map-Whi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 descr="C:\Users\gsadlier\Desktop\Logo &amp; Templates\Maps\LE-Map-White-L.png"/>
                  <pic:cNvPicPr>
                    <a:picLocks noChangeAspect="1"/>
                  </pic:cNvPicPr>
                </pic:nvPicPr>
                <pic:blipFill>
                  <a:blip r:embed="rId1" cstate="print">
                    <a:grayscl/>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82400" cy="16200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5038" w:type="pct"/>
      <w:tblBorders>
        <w:top w:val="single" w:sz="4" w:space="0" w:color="7F7F7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7"/>
      <w:gridCol w:w="8304"/>
    </w:tblGrid>
    <w:tr w:rsidR="00E13125" w:rsidRPr="003541E0" w14:paraId="71B671EB" w14:textId="77777777" w:rsidTr="002D0254">
      <w:trPr>
        <w:trHeight w:val="610"/>
      </w:trPr>
      <w:tc>
        <w:tcPr>
          <w:tcW w:w="607" w:type="dxa"/>
          <w:vAlign w:val="bottom"/>
        </w:tcPr>
        <w:p w14:paraId="7D6B1E01" w14:textId="77777777" w:rsidR="00E13125" w:rsidRPr="003541E0" w:rsidRDefault="00E13125" w:rsidP="008266FE">
          <w:pPr>
            <w:pStyle w:val="FooterPageEven"/>
          </w:pPr>
          <w:r w:rsidRPr="003541E0">
            <w:fldChar w:fldCharType="begin"/>
          </w:r>
          <w:r w:rsidRPr="003541E0">
            <w:instrText xml:space="preserve"> PAGE   \* MERGEFORMAT </w:instrText>
          </w:r>
          <w:r w:rsidRPr="003541E0">
            <w:fldChar w:fldCharType="separate"/>
          </w:r>
          <w:r w:rsidRPr="003541E0">
            <w:t>4</w:t>
          </w:r>
          <w:r w:rsidRPr="003541E0">
            <w:fldChar w:fldCharType="end"/>
          </w:r>
        </w:p>
      </w:tc>
      <w:tc>
        <w:tcPr>
          <w:tcW w:w="0" w:type="auto"/>
          <w:vAlign w:val="bottom"/>
        </w:tcPr>
        <w:p w14:paraId="116B06F3" w14:textId="778FFBF1" w:rsidR="00E13125" w:rsidRPr="003541E0" w:rsidRDefault="00E13125" w:rsidP="008266FE">
          <w:pPr>
            <w:pStyle w:val="FooterTitleEven"/>
            <w:rPr>
              <w:noProof w:val="0"/>
            </w:rPr>
          </w:pPr>
          <w:r w:rsidRPr="003541E0">
            <w:rPr>
              <w:noProof w:val="0"/>
            </w:rPr>
            <w:t>London Economics</w:t>
          </w: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sidRPr="00E33157">
            <w:rPr>
              <w:b w:val="0"/>
              <w:bCs/>
              <w:noProof w:val="0"/>
            </w:rPr>
            <w:instrText>London Economics</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Pr>
              <w:noProof w:val="0"/>
            </w:rPr>
            <w:instrText>London Economics</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London Economics</w:t>
          </w:r>
          <w:r w:rsidRPr="003541E0">
            <w:rPr>
              <w:noProof w:val="0"/>
            </w:rPr>
            <w:fldChar w:fldCharType="end"/>
          </w:r>
        </w:p>
        <w:p w14:paraId="51F6520C" w14:textId="5263A5EF" w:rsidR="00E13125" w:rsidRPr="003541E0" w:rsidRDefault="00E13125" w:rsidP="008266FE">
          <w:pPr>
            <w:pStyle w:val="FooterEven"/>
          </w:pPr>
          <w:r w:rsidRPr="003541E0">
            <w:fldChar w:fldCharType="begin"/>
          </w:r>
          <w:r w:rsidRPr="003541E0">
            <w:instrText xml:space="preserve"> IF </w:instrText>
          </w:r>
          <w:fldSimple w:instr=" DOCVARIABLE  FooterTitle  \* MERGEFORMAT ">
            <w:r w:rsidR="00E33157" w:rsidRPr="00E33157">
              <w:rPr>
                <w:b w:val="0"/>
                <w:bCs/>
              </w:rPr>
              <w:instrText xml:space="preserve">The economic, social and cultural </w:instrText>
            </w:r>
            <w:r w:rsidR="00E33157">
              <w:instrText>impact of the University of Birmingham</w:instrText>
            </w:r>
          </w:fldSimple>
          <w:r w:rsidRPr="003541E0">
            <w:instrText xml:space="preserve"> = "Error! No document variable supplied." " " </w:instrText>
          </w:r>
          <w:fldSimple w:instr=" DOCVARIABLE  FooterTitle \* MERGEFORMAT ">
            <w:r w:rsidR="00E33157">
              <w:instrText>The economic, social and cultural impact of the University of Birmingham</w:instrText>
            </w:r>
          </w:fldSimple>
          <w:r w:rsidRPr="003541E0">
            <w:instrText xml:space="preserve"> \* MERGEFORMAT </w:instrText>
          </w:r>
          <w:r w:rsidRPr="003541E0">
            <w:fldChar w:fldCharType="separate"/>
          </w:r>
          <w:r w:rsidR="00E33157">
            <w:rPr>
              <w:noProof/>
            </w:rPr>
            <w:t>The economic, social and cultural impact of the University of Birmingham</w:t>
          </w:r>
          <w:r w:rsidRPr="003541E0">
            <w:fldChar w:fldCharType="end"/>
          </w:r>
        </w:p>
      </w:tc>
    </w:tr>
  </w:tbl>
  <w:p w14:paraId="7F3D4339" w14:textId="77777777" w:rsidR="00E13125" w:rsidRPr="003541E0" w:rsidRDefault="00E13125" w:rsidP="009864D8">
    <w:pPr>
      <w:pStyle w:val="FooterBelowTable"/>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8B19F" w14:textId="77777777" w:rsidR="00E13125" w:rsidRPr="003541E0" w:rsidRDefault="00E13125" w:rsidP="009864D8">
    <w:pPr>
      <w:pStyle w:val="Footer"/>
    </w:pPr>
    <w:r w:rsidRPr="003541E0">
      <w:rPr>
        <w:rFonts w:cs="Microsoft Sans Serif"/>
        <w:noProof/>
        <w:lang w:eastAsia="en-GB"/>
      </w:rPr>
      <w:drawing>
        <wp:anchor distT="0" distB="0" distL="114300" distR="114300" simplePos="0" relativeHeight="251667456" behindDoc="1" locked="0" layoutInCell="1" allowOverlap="1" wp14:anchorId="30F564F6" wp14:editId="512F04B0">
          <wp:simplePos x="0" y="0"/>
          <wp:positionH relativeFrom="page">
            <wp:align>right</wp:align>
          </wp:positionH>
          <wp:positionV relativeFrom="page">
            <wp:align>bottom</wp:align>
          </wp:positionV>
          <wp:extent cx="1382400" cy="1620000"/>
          <wp:effectExtent l="0" t="0" r="8255" b="0"/>
          <wp:wrapNone/>
          <wp:docPr id="413002570" name="Picture 413002570" descr="C:\Users\gsadlier\Desktop\Logo &amp; Templates\Maps\LE-Map-Whi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 descr="C:\Users\gsadlier\Desktop\Logo &amp; Templates\Maps\LE-Map-White-L.png"/>
                  <pic:cNvPicPr>
                    <a:picLocks noChangeAspect="1"/>
                  </pic:cNvPicPr>
                </pic:nvPicPr>
                <pic:blipFill>
                  <a:blip r:embed="rId1" cstate="print">
                    <a:grayscl/>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82400" cy="16200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5038" w:type="pct"/>
      <w:tblBorders>
        <w:top w:val="single" w:sz="4" w:space="0" w:color="7F7F7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7"/>
      <w:gridCol w:w="13503"/>
    </w:tblGrid>
    <w:tr w:rsidR="00E13125" w:rsidRPr="003541E0" w14:paraId="367C7295" w14:textId="77777777" w:rsidTr="002D0254">
      <w:trPr>
        <w:trHeight w:val="610"/>
      </w:trPr>
      <w:tc>
        <w:tcPr>
          <w:tcW w:w="607" w:type="dxa"/>
          <w:vAlign w:val="bottom"/>
        </w:tcPr>
        <w:p w14:paraId="4472F7E8" w14:textId="77777777" w:rsidR="00E13125" w:rsidRPr="003541E0" w:rsidRDefault="00E13125" w:rsidP="008266FE">
          <w:pPr>
            <w:pStyle w:val="FooterPageEven"/>
          </w:pPr>
          <w:r w:rsidRPr="003541E0">
            <w:fldChar w:fldCharType="begin"/>
          </w:r>
          <w:r w:rsidRPr="003541E0">
            <w:instrText xml:space="preserve"> PAGE   \* MERGEFORMAT </w:instrText>
          </w:r>
          <w:r w:rsidRPr="003541E0">
            <w:fldChar w:fldCharType="separate"/>
          </w:r>
          <w:r w:rsidRPr="003541E0">
            <w:t>4</w:t>
          </w:r>
          <w:r w:rsidRPr="003541E0">
            <w:fldChar w:fldCharType="end"/>
          </w:r>
        </w:p>
      </w:tc>
      <w:tc>
        <w:tcPr>
          <w:tcW w:w="0" w:type="auto"/>
          <w:vAlign w:val="bottom"/>
        </w:tcPr>
        <w:p w14:paraId="099D47BE" w14:textId="1F7C59B7" w:rsidR="00E13125" w:rsidRPr="003541E0" w:rsidRDefault="00E13125" w:rsidP="008266FE">
          <w:pPr>
            <w:pStyle w:val="FooterTitleEven"/>
            <w:rPr>
              <w:noProof w:val="0"/>
            </w:rPr>
          </w:pPr>
          <w:r w:rsidRPr="003541E0">
            <w:rPr>
              <w:noProof w:val="0"/>
            </w:rPr>
            <w:t>London Economics</w:t>
          </w: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sidRPr="00E33157">
            <w:rPr>
              <w:b w:val="0"/>
              <w:bCs/>
              <w:noProof w:val="0"/>
            </w:rPr>
            <w:instrText>London Economics</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Pr>
              <w:noProof w:val="0"/>
            </w:rPr>
            <w:instrText>London Economics</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London Economics</w:t>
          </w:r>
          <w:r w:rsidRPr="003541E0">
            <w:rPr>
              <w:noProof w:val="0"/>
            </w:rPr>
            <w:fldChar w:fldCharType="end"/>
          </w:r>
        </w:p>
        <w:p w14:paraId="71D5E9EF" w14:textId="5CDA8029" w:rsidR="00E13125" w:rsidRPr="003541E0" w:rsidRDefault="00E13125" w:rsidP="008266FE">
          <w:pPr>
            <w:pStyle w:val="FooterEven"/>
          </w:pPr>
          <w:r w:rsidRPr="003541E0">
            <w:fldChar w:fldCharType="begin"/>
          </w:r>
          <w:r w:rsidRPr="003541E0">
            <w:instrText xml:space="preserve"> IF </w:instrText>
          </w:r>
          <w:fldSimple w:instr=" DOCVARIABLE  FooterTitle  \* MERGEFORMAT ">
            <w:r w:rsidR="00E33157" w:rsidRPr="00E33157">
              <w:rPr>
                <w:b w:val="0"/>
                <w:bCs/>
              </w:rPr>
              <w:instrText xml:space="preserve">The economic, social and cultural </w:instrText>
            </w:r>
            <w:r w:rsidR="00E33157">
              <w:instrText>impact of the University of Birmingham</w:instrText>
            </w:r>
          </w:fldSimple>
          <w:r w:rsidRPr="003541E0">
            <w:instrText xml:space="preserve"> = "Error! No document variable supplied." " " </w:instrText>
          </w:r>
          <w:fldSimple w:instr=" DOCVARIABLE  FooterTitle \* MERGEFORMAT ">
            <w:r w:rsidR="00E33157">
              <w:instrText>The economic, social and cultural impact of the University of Birmingham</w:instrText>
            </w:r>
          </w:fldSimple>
          <w:r w:rsidRPr="003541E0">
            <w:instrText xml:space="preserve"> \* MERGEFORMAT </w:instrText>
          </w:r>
          <w:r w:rsidRPr="003541E0">
            <w:fldChar w:fldCharType="separate"/>
          </w:r>
          <w:r w:rsidR="00E33157">
            <w:rPr>
              <w:noProof/>
            </w:rPr>
            <w:t>The economic, social and cultural impact of the University of Birmingham</w:t>
          </w:r>
          <w:r w:rsidRPr="003541E0">
            <w:fldChar w:fldCharType="end"/>
          </w:r>
        </w:p>
      </w:tc>
    </w:tr>
  </w:tbl>
  <w:p w14:paraId="5F44823D" w14:textId="77777777" w:rsidR="00E13125" w:rsidRPr="003541E0" w:rsidRDefault="00E13125" w:rsidP="009864D8">
    <w:pPr>
      <w:pStyle w:val="FooterBelowTable"/>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6024E" w14:textId="77777777" w:rsidR="00E13125" w:rsidRPr="003541E0" w:rsidRDefault="00E13125" w:rsidP="000B7FA6">
    <w:pPr>
      <w:pStyle w:val="Footer"/>
    </w:pPr>
  </w:p>
  <w:tbl>
    <w:tblPr>
      <w:tblStyle w:val="TableGrid"/>
      <w:tblW w:w="5000" w:type="pct"/>
      <w:tblBorders>
        <w:top w:val="single" w:sz="4" w:space="0" w:color="7F7F7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437"/>
      <w:gridCol w:w="567"/>
    </w:tblGrid>
    <w:tr w:rsidR="00E13125" w:rsidRPr="003541E0" w14:paraId="2E2EFACF" w14:textId="77777777" w:rsidTr="00DB08CE">
      <w:tc>
        <w:tcPr>
          <w:tcW w:w="0" w:type="auto"/>
          <w:vAlign w:val="bottom"/>
        </w:tcPr>
        <w:p w14:paraId="6E3318A4" w14:textId="78444D0C" w:rsidR="00E13125" w:rsidRPr="003541E0" w:rsidRDefault="00E13125" w:rsidP="000B7FA6">
          <w:pPr>
            <w:pStyle w:val="FooterTitle"/>
            <w:rPr>
              <w:noProof w:val="0"/>
            </w:rPr>
          </w:pP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sidRPr="00E33157">
            <w:rPr>
              <w:b w:val="0"/>
              <w:bCs/>
              <w:noProof w:val="0"/>
            </w:rPr>
            <w:instrText>London Economics</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Pr>
              <w:noProof w:val="0"/>
            </w:rPr>
            <w:instrText>London Economics</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London Economics</w:t>
          </w:r>
          <w:r w:rsidRPr="003541E0">
            <w:rPr>
              <w:noProof w:val="0"/>
            </w:rPr>
            <w:fldChar w:fldCharType="end"/>
          </w:r>
          <w:r w:rsidRPr="003541E0">
            <w:rPr>
              <w:noProof w:val="0"/>
            </w:rPr>
            <w:t xml:space="preserve"> - </w:t>
          </w: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FooterTitle  \* MERGEFORMAT </w:instrText>
          </w:r>
          <w:r w:rsidRPr="003541E0">
            <w:rPr>
              <w:noProof w:val="0"/>
            </w:rPr>
            <w:fldChar w:fldCharType="separate"/>
          </w:r>
          <w:r w:rsidR="00E33157" w:rsidRPr="00E33157">
            <w:rPr>
              <w:b w:val="0"/>
              <w:bCs/>
              <w:noProof w:val="0"/>
            </w:rPr>
            <w:instrText xml:space="preserve">The economic, social and cultural </w:instrText>
          </w:r>
          <w:r w:rsidR="00E33157">
            <w:rPr>
              <w:noProof w:val="0"/>
            </w:rPr>
            <w:instrText>impact of the University of Birmingham</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FooterTitle \* MERGEFORMAT </w:instrText>
          </w:r>
          <w:r w:rsidRPr="003541E0">
            <w:rPr>
              <w:noProof w:val="0"/>
            </w:rPr>
            <w:fldChar w:fldCharType="separate"/>
          </w:r>
          <w:r w:rsidR="00E33157">
            <w:rPr>
              <w:noProof w:val="0"/>
            </w:rPr>
            <w:instrText>The economic, social and cultural impact of the University of Birmingham</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The economic, social and cultural impact of the University of Birmingham</w:t>
          </w:r>
          <w:r w:rsidRPr="003541E0">
            <w:rPr>
              <w:noProof w:val="0"/>
            </w:rPr>
            <w:fldChar w:fldCharType="end"/>
          </w:r>
        </w:p>
      </w:tc>
      <w:tc>
        <w:tcPr>
          <w:tcW w:w="567" w:type="dxa"/>
          <w:vAlign w:val="bottom"/>
        </w:tcPr>
        <w:p w14:paraId="39452F29" w14:textId="77777777" w:rsidR="00E13125" w:rsidRPr="003541E0" w:rsidRDefault="00E13125" w:rsidP="000B7FA6">
          <w:pPr>
            <w:pStyle w:val="FooterPage"/>
          </w:pPr>
          <w:r w:rsidRPr="003541E0">
            <w:fldChar w:fldCharType="begin"/>
          </w:r>
          <w:r w:rsidRPr="003541E0">
            <w:instrText xml:space="preserve"> PAGE   \* MERGEFORMAT </w:instrText>
          </w:r>
          <w:r w:rsidRPr="003541E0">
            <w:fldChar w:fldCharType="separate"/>
          </w:r>
          <w:r w:rsidRPr="003541E0">
            <w:t>i</w:t>
          </w:r>
          <w:r w:rsidRPr="003541E0">
            <w:fldChar w:fldCharType="end"/>
          </w:r>
        </w:p>
      </w:tc>
    </w:tr>
  </w:tbl>
  <w:p w14:paraId="5B58928B" w14:textId="77777777" w:rsidR="00E13125" w:rsidRPr="003541E0" w:rsidRDefault="00E13125" w:rsidP="000B7FA6">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7367F" w14:textId="77777777" w:rsidR="00E13125" w:rsidRPr="003541E0" w:rsidRDefault="00E1312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B2B7" w14:textId="77777777" w:rsidR="00E13125" w:rsidRPr="003541E0" w:rsidRDefault="00E13125" w:rsidP="009864D8">
    <w:pPr>
      <w:pStyle w:val="Footer"/>
    </w:pPr>
  </w:p>
  <w:tbl>
    <w:tblPr>
      <w:tblStyle w:val="TableGrid"/>
      <w:tblW w:w="5000" w:type="pct"/>
      <w:tblBorders>
        <w:top w:val="single" w:sz="4" w:space="0" w:color="7F7F7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8277"/>
    </w:tblGrid>
    <w:tr w:rsidR="00E13125" w:rsidRPr="003541E0" w14:paraId="7423AE9D" w14:textId="77777777" w:rsidTr="00736745">
      <w:tc>
        <w:tcPr>
          <w:tcW w:w="567" w:type="dxa"/>
          <w:vAlign w:val="bottom"/>
        </w:tcPr>
        <w:p w14:paraId="617C0AB1" w14:textId="77777777" w:rsidR="00E13125" w:rsidRPr="003541E0" w:rsidRDefault="00E13125" w:rsidP="005B5DF6">
          <w:pPr>
            <w:pStyle w:val="FooterPageEven"/>
          </w:pPr>
          <w:r w:rsidRPr="003541E0">
            <w:fldChar w:fldCharType="begin"/>
          </w:r>
          <w:r w:rsidRPr="003541E0">
            <w:instrText xml:space="preserve"> PAGE   \* MERGEFORMAT </w:instrText>
          </w:r>
          <w:r w:rsidRPr="003541E0">
            <w:fldChar w:fldCharType="separate"/>
          </w:r>
          <w:r w:rsidRPr="003541E0">
            <w:t>6</w:t>
          </w:r>
          <w:r w:rsidRPr="003541E0">
            <w:fldChar w:fldCharType="end"/>
          </w:r>
        </w:p>
      </w:tc>
      <w:tc>
        <w:tcPr>
          <w:tcW w:w="0" w:type="auto"/>
          <w:vAlign w:val="bottom"/>
        </w:tcPr>
        <w:p w14:paraId="6EB31E03" w14:textId="57CAFF59" w:rsidR="00E13125" w:rsidRPr="003541E0" w:rsidRDefault="00E13125" w:rsidP="0030437C">
          <w:pPr>
            <w:pStyle w:val="FooterTitleEven"/>
            <w:rPr>
              <w:noProof w:val="0"/>
            </w:rPr>
          </w:pP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sidRPr="00E33157">
            <w:rPr>
              <w:b w:val="0"/>
              <w:bCs/>
              <w:noProof w:val="0"/>
            </w:rPr>
            <w:instrText>London Economics</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Pr>
              <w:noProof w:val="0"/>
            </w:rPr>
            <w:instrText>London Economics</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London Economics</w:t>
          </w:r>
          <w:r w:rsidRPr="003541E0">
            <w:rPr>
              <w:noProof w:val="0"/>
            </w:rPr>
            <w:fldChar w:fldCharType="end"/>
          </w:r>
        </w:p>
        <w:p w14:paraId="689340A3" w14:textId="7C33CE79" w:rsidR="00E13125" w:rsidRPr="003541E0" w:rsidRDefault="00E13125" w:rsidP="005B5DF6">
          <w:pPr>
            <w:pStyle w:val="FooterEven"/>
          </w:pPr>
          <w:r w:rsidRPr="003541E0">
            <w:fldChar w:fldCharType="begin"/>
          </w:r>
          <w:r w:rsidRPr="003541E0">
            <w:instrText xml:space="preserve"> IF </w:instrText>
          </w:r>
          <w:fldSimple w:instr=" DOCVARIABLE  FooterTitle  \* MERGEFORMAT ">
            <w:r w:rsidR="00E33157" w:rsidRPr="00E33157">
              <w:rPr>
                <w:b w:val="0"/>
                <w:bCs/>
              </w:rPr>
              <w:instrText xml:space="preserve">The economic, social and cultural </w:instrText>
            </w:r>
            <w:r w:rsidR="00E33157">
              <w:instrText>impact of the University of Birmingham</w:instrText>
            </w:r>
          </w:fldSimple>
          <w:r w:rsidRPr="003541E0">
            <w:instrText xml:space="preserve"> = "Error! No document variable supplied." " " </w:instrText>
          </w:r>
          <w:fldSimple w:instr=" DOCVARIABLE  FooterTitle \* MERGEFORMAT ">
            <w:r w:rsidR="00E33157">
              <w:instrText>The economic, social and cultural impact of the University of Birmingham</w:instrText>
            </w:r>
          </w:fldSimple>
          <w:r w:rsidRPr="003541E0">
            <w:instrText xml:space="preserve"> \* MERGEFORMAT </w:instrText>
          </w:r>
          <w:r w:rsidRPr="003541E0">
            <w:fldChar w:fldCharType="separate"/>
          </w:r>
          <w:r w:rsidR="00E33157">
            <w:rPr>
              <w:noProof/>
            </w:rPr>
            <w:t>The economic, social and cultural impact of the University of Birmingham</w:t>
          </w:r>
          <w:r w:rsidRPr="003541E0">
            <w:fldChar w:fldCharType="end"/>
          </w:r>
        </w:p>
      </w:tc>
    </w:tr>
  </w:tbl>
  <w:p w14:paraId="17EEB17A" w14:textId="77777777" w:rsidR="00E13125" w:rsidRPr="003541E0" w:rsidRDefault="00E13125" w:rsidP="009864D8">
    <w:pPr>
      <w:pStyle w:val="FooterBelowTable"/>
    </w:pPr>
  </w:p>
  <w:p w14:paraId="3B1B5349" w14:textId="77777777" w:rsidR="00E13125" w:rsidRPr="003541E0" w:rsidRDefault="00E13125" w:rsidP="009864D8">
    <w:pPr>
      <w:pStyle w:val="FooterBelowTable"/>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539BC" w14:textId="77777777" w:rsidR="00E13125" w:rsidRPr="003541E0" w:rsidRDefault="00E13125" w:rsidP="000B7FA6">
    <w:pPr>
      <w:pStyle w:val="Footer"/>
    </w:pPr>
  </w:p>
  <w:tbl>
    <w:tblPr>
      <w:tblStyle w:val="TableGrid"/>
      <w:tblW w:w="5000" w:type="pct"/>
      <w:tblBorders>
        <w:top w:val="single" w:sz="4" w:space="0" w:color="7F7F7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77"/>
      <w:gridCol w:w="567"/>
    </w:tblGrid>
    <w:tr w:rsidR="00E13125" w:rsidRPr="003541E0" w14:paraId="7DA8C0C3" w14:textId="77777777" w:rsidTr="007E2CE9">
      <w:trPr>
        <w:trHeight w:val="268"/>
      </w:trPr>
      <w:tc>
        <w:tcPr>
          <w:tcW w:w="0" w:type="auto"/>
          <w:vAlign w:val="bottom"/>
        </w:tcPr>
        <w:p w14:paraId="2C74E3F9" w14:textId="469B59ED" w:rsidR="00E13125" w:rsidRPr="003541E0" w:rsidRDefault="00E13125" w:rsidP="000B7FA6">
          <w:pPr>
            <w:pStyle w:val="FooterTitle"/>
            <w:rPr>
              <w:noProof w:val="0"/>
            </w:rPr>
          </w:pP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sidRPr="00E33157">
            <w:rPr>
              <w:b w:val="0"/>
              <w:bCs/>
              <w:noProof w:val="0"/>
            </w:rPr>
            <w:instrText>London Economics</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Pr>
              <w:noProof w:val="0"/>
            </w:rPr>
            <w:instrText>London Economics</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London Economics</w:t>
          </w:r>
          <w:r w:rsidRPr="003541E0">
            <w:rPr>
              <w:noProof w:val="0"/>
            </w:rPr>
            <w:fldChar w:fldCharType="end"/>
          </w:r>
          <w:r w:rsidRPr="003541E0">
            <w:rPr>
              <w:noProof w:val="0"/>
            </w:rPr>
            <w:t xml:space="preserve"> - </w:t>
          </w: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FooterTitle  \* MERGEFORMAT </w:instrText>
          </w:r>
          <w:r w:rsidRPr="003541E0">
            <w:rPr>
              <w:noProof w:val="0"/>
            </w:rPr>
            <w:fldChar w:fldCharType="separate"/>
          </w:r>
          <w:r w:rsidR="00E33157" w:rsidRPr="00E33157">
            <w:rPr>
              <w:b w:val="0"/>
              <w:bCs/>
              <w:noProof w:val="0"/>
            </w:rPr>
            <w:instrText xml:space="preserve">The economic, social and cultural </w:instrText>
          </w:r>
          <w:r w:rsidR="00E33157">
            <w:rPr>
              <w:noProof w:val="0"/>
            </w:rPr>
            <w:instrText>impact of the University of Birmingham</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FooterTitle \* MERGEFORMAT </w:instrText>
          </w:r>
          <w:r w:rsidRPr="003541E0">
            <w:rPr>
              <w:noProof w:val="0"/>
            </w:rPr>
            <w:fldChar w:fldCharType="separate"/>
          </w:r>
          <w:r w:rsidR="00E33157">
            <w:rPr>
              <w:noProof w:val="0"/>
            </w:rPr>
            <w:instrText>The economic, social and cultural impact of the University of Birmingham</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The economic, social and cultural impact of the University of Birmingham</w:t>
          </w:r>
          <w:r w:rsidRPr="003541E0">
            <w:rPr>
              <w:noProof w:val="0"/>
            </w:rPr>
            <w:fldChar w:fldCharType="end"/>
          </w:r>
        </w:p>
      </w:tc>
      <w:tc>
        <w:tcPr>
          <w:tcW w:w="567" w:type="dxa"/>
          <w:vAlign w:val="bottom"/>
        </w:tcPr>
        <w:p w14:paraId="1B5A98E8" w14:textId="77777777" w:rsidR="00E13125" w:rsidRPr="003541E0" w:rsidRDefault="00E13125" w:rsidP="000B7FA6">
          <w:pPr>
            <w:pStyle w:val="FooterPage"/>
          </w:pPr>
          <w:r w:rsidRPr="003541E0">
            <w:fldChar w:fldCharType="begin"/>
          </w:r>
          <w:r w:rsidRPr="003541E0">
            <w:instrText xml:space="preserve"> PAGE   \* MERGEFORMAT </w:instrText>
          </w:r>
          <w:r w:rsidRPr="003541E0">
            <w:fldChar w:fldCharType="separate"/>
          </w:r>
          <w:r w:rsidRPr="003541E0">
            <w:t>i</w:t>
          </w:r>
          <w:r w:rsidRPr="003541E0">
            <w:fldChar w:fldCharType="end"/>
          </w:r>
        </w:p>
      </w:tc>
    </w:tr>
  </w:tbl>
  <w:p w14:paraId="4DF7F9CA" w14:textId="77777777" w:rsidR="00E13125" w:rsidRPr="003541E0" w:rsidRDefault="00E13125" w:rsidP="000B7FA6">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EC7A6" w14:textId="77777777" w:rsidR="00E13125" w:rsidRPr="003541E0" w:rsidRDefault="00E13125">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C4808" w14:textId="77777777" w:rsidR="003428FF" w:rsidRPr="003541E0" w:rsidRDefault="003428FF" w:rsidP="009864D8">
    <w:pPr>
      <w:pStyle w:val="Footer"/>
    </w:pPr>
  </w:p>
  <w:tbl>
    <w:tblPr>
      <w:tblStyle w:val="TableGrid"/>
      <w:tblW w:w="5000" w:type="pct"/>
      <w:tblBorders>
        <w:top w:val="single" w:sz="4" w:space="0" w:color="7F7F7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8277"/>
    </w:tblGrid>
    <w:tr w:rsidR="003428FF" w:rsidRPr="003541E0" w14:paraId="1057C5F4" w14:textId="77777777" w:rsidTr="00736745">
      <w:tc>
        <w:tcPr>
          <w:tcW w:w="567" w:type="dxa"/>
          <w:vAlign w:val="bottom"/>
        </w:tcPr>
        <w:p w14:paraId="5AC45051" w14:textId="77777777" w:rsidR="003428FF" w:rsidRPr="003541E0" w:rsidRDefault="003428FF" w:rsidP="005B5DF6">
          <w:pPr>
            <w:pStyle w:val="FooterPageEven"/>
          </w:pPr>
          <w:r w:rsidRPr="003541E0">
            <w:fldChar w:fldCharType="begin"/>
          </w:r>
          <w:r w:rsidRPr="003541E0">
            <w:instrText xml:space="preserve"> PAGE   \* MERGEFORMAT </w:instrText>
          </w:r>
          <w:r w:rsidRPr="003541E0">
            <w:fldChar w:fldCharType="separate"/>
          </w:r>
          <w:r w:rsidRPr="003541E0">
            <w:t>6</w:t>
          </w:r>
          <w:r w:rsidRPr="003541E0">
            <w:fldChar w:fldCharType="end"/>
          </w:r>
        </w:p>
      </w:tc>
      <w:tc>
        <w:tcPr>
          <w:tcW w:w="0" w:type="auto"/>
          <w:vAlign w:val="bottom"/>
        </w:tcPr>
        <w:p w14:paraId="384A2578" w14:textId="5A01A8B9" w:rsidR="003428FF" w:rsidRPr="003541E0" w:rsidRDefault="003428FF" w:rsidP="0030437C">
          <w:pPr>
            <w:pStyle w:val="FooterTitleEven"/>
            <w:rPr>
              <w:noProof w:val="0"/>
            </w:rPr>
          </w:pP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sidRPr="00E33157">
            <w:rPr>
              <w:b w:val="0"/>
              <w:bCs/>
              <w:noProof w:val="0"/>
            </w:rPr>
            <w:instrText>London Economics</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Pr>
              <w:noProof w:val="0"/>
            </w:rPr>
            <w:instrText>London Economics</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London Economics</w:t>
          </w:r>
          <w:r w:rsidRPr="003541E0">
            <w:rPr>
              <w:noProof w:val="0"/>
            </w:rPr>
            <w:fldChar w:fldCharType="end"/>
          </w:r>
        </w:p>
        <w:p w14:paraId="0F8C319B" w14:textId="5B215201" w:rsidR="003428FF" w:rsidRPr="003541E0" w:rsidRDefault="003428FF" w:rsidP="005B5DF6">
          <w:pPr>
            <w:pStyle w:val="FooterEven"/>
          </w:pPr>
          <w:r w:rsidRPr="003541E0">
            <w:fldChar w:fldCharType="begin"/>
          </w:r>
          <w:r w:rsidRPr="003541E0">
            <w:instrText xml:space="preserve"> IF </w:instrText>
          </w:r>
          <w:fldSimple w:instr=" DOCVARIABLE  FooterTitle  \* MERGEFORMAT ">
            <w:r w:rsidR="00E33157" w:rsidRPr="00E33157">
              <w:rPr>
                <w:b w:val="0"/>
                <w:bCs/>
              </w:rPr>
              <w:instrText xml:space="preserve">The economic, social and cultural </w:instrText>
            </w:r>
            <w:r w:rsidR="00E33157">
              <w:instrText>impact of the University of Birmingham</w:instrText>
            </w:r>
          </w:fldSimple>
          <w:r w:rsidRPr="003541E0">
            <w:instrText xml:space="preserve"> = "Error! No document variable supplied." " " </w:instrText>
          </w:r>
          <w:fldSimple w:instr=" DOCVARIABLE  FooterTitle \* MERGEFORMAT ">
            <w:r w:rsidR="00E33157">
              <w:instrText>The economic, social and cultural impact of the University of Birmingham</w:instrText>
            </w:r>
          </w:fldSimple>
          <w:r w:rsidRPr="003541E0">
            <w:instrText xml:space="preserve"> \* MERGEFORMAT </w:instrText>
          </w:r>
          <w:r w:rsidRPr="003541E0">
            <w:fldChar w:fldCharType="separate"/>
          </w:r>
          <w:r w:rsidR="00E33157">
            <w:rPr>
              <w:noProof/>
            </w:rPr>
            <w:t>The economic, social and cultural impact of the University of Birmingham</w:t>
          </w:r>
          <w:r w:rsidRPr="003541E0">
            <w:fldChar w:fldCharType="end"/>
          </w:r>
        </w:p>
      </w:tc>
    </w:tr>
  </w:tbl>
  <w:p w14:paraId="1251CF6D" w14:textId="77777777" w:rsidR="003428FF" w:rsidRPr="003541E0" w:rsidRDefault="003428FF" w:rsidP="009864D8">
    <w:pPr>
      <w:pStyle w:val="FooterBelowTable"/>
    </w:pPr>
  </w:p>
  <w:p w14:paraId="678F3B66" w14:textId="77777777" w:rsidR="003428FF" w:rsidRPr="003541E0" w:rsidRDefault="003428FF" w:rsidP="009864D8">
    <w:pPr>
      <w:pStyle w:val="FooterBelowTable"/>
    </w:pPr>
  </w:p>
  <w:p w14:paraId="7CE697BC" w14:textId="77777777" w:rsidR="003428FF" w:rsidRPr="003541E0" w:rsidRDefault="003428FF"/>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26E26" w14:textId="77777777" w:rsidR="003428FF" w:rsidRPr="003541E0" w:rsidRDefault="003428FF" w:rsidP="000B7FA6">
    <w:pPr>
      <w:pStyle w:val="Footer"/>
    </w:pPr>
  </w:p>
  <w:tbl>
    <w:tblPr>
      <w:tblStyle w:val="TableGrid"/>
      <w:tblW w:w="5000" w:type="pct"/>
      <w:tblBorders>
        <w:top w:val="single" w:sz="4" w:space="0" w:color="7F7F7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77"/>
      <w:gridCol w:w="567"/>
    </w:tblGrid>
    <w:tr w:rsidR="003428FF" w:rsidRPr="003541E0" w14:paraId="2FC394B6" w14:textId="77777777" w:rsidTr="00DB08CE">
      <w:tc>
        <w:tcPr>
          <w:tcW w:w="0" w:type="auto"/>
          <w:vAlign w:val="bottom"/>
        </w:tcPr>
        <w:p w14:paraId="65A86CE3" w14:textId="25B1EBE1" w:rsidR="003428FF" w:rsidRPr="003541E0" w:rsidRDefault="003428FF" w:rsidP="000B7FA6">
          <w:pPr>
            <w:pStyle w:val="FooterTitle"/>
            <w:rPr>
              <w:noProof w:val="0"/>
            </w:rPr>
          </w:pP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sidRPr="00E33157">
            <w:rPr>
              <w:b w:val="0"/>
              <w:bCs/>
              <w:noProof w:val="0"/>
            </w:rPr>
            <w:instrText>London Economics</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Pr>
              <w:noProof w:val="0"/>
            </w:rPr>
            <w:instrText>London Economics</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London Economics</w:t>
          </w:r>
          <w:r w:rsidRPr="003541E0">
            <w:rPr>
              <w:noProof w:val="0"/>
            </w:rPr>
            <w:fldChar w:fldCharType="end"/>
          </w:r>
          <w:r w:rsidRPr="003541E0">
            <w:rPr>
              <w:noProof w:val="0"/>
            </w:rPr>
            <w:t xml:space="preserve"> - </w:t>
          </w: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FooterTitle  \* MERGEFORMAT </w:instrText>
          </w:r>
          <w:r w:rsidRPr="003541E0">
            <w:rPr>
              <w:noProof w:val="0"/>
            </w:rPr>
            <w:fldChar w:fldCharType="separate"/>
          </w:r>
          <w:r w:rsidR="00E33157" w:rsidRPr="00E33157">
            <w:rPr>
              <w:b w:val="0"/>
              <w:bCs/>
              <w:noProof w:val="0"/>
            </w:rPr>
            <w:instrText xml:space="preserve">The economic, social and cultural </w:instrText>
          </w:r>
          <w:r w:rsidR="00E33157">
            <w:rPr>
              <w:noProof w:val="0"/>
            </w:rPr>
            <w:instrText>impact of the University of Birmingham</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FooterTitle \* MERGEFORMAT </w:instrText>
          </w:r>
          <w:r w:rsidRPr="003541E0">
            <w:rPr>
              <w:noProof w:val="0"/>
            </w:rPr>
            <w:fldChar w:fldCharType="separate"/>
          </w:r>
          <w:r w:rsidR="00E33157">
            <w:rPr>
              <w:noProof w:val="0"/>
            </w:rPr>
            <w:instrText>The economic, social and cultural impact of the University of Birmingham</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The economic, social and cultural impact of the University of Birmingham</w:t>
          </w:r>
          <w:r w:rsidRPr="003541E0">
            <w:rPr>
              <w:noProof w:val="0"/>
            </w:rPr>
            <w:fldChar w:fldCharType="end"/>
          </w:r>
        </w:p>
      </w:tc>
      <w:tc>
        <w:tcPr>
          <w:tcW w:w="567" w:type="dxa"/>
          <w:vAlign w:val="bottom"/>
        </w:tcPr>
        <w:p w14:paraId="09662C71" w14:textId="77777777" w:rsidR="003428FF" w:rsidRPr="003541E0" w:rsidRDefault="003428FF" w:rsidP="000B7FA6">
          <w:pPr>
            <w:pStyle w:val="FooterPage"/>
          </w:pPr>
          <w:r w:rsidRPr="003541E0">
            <w:fldChar w:fldCharType="begin"/>
          </w:r>
          <w:r w:rsidRPr="003541E0">
            <w:instrText xml:space="preserve"> PAGE   \* MERGEFORMAT </w:instrText>
          </w:r>
          <w:r w:rsidRPr="003541E0">
            <w:fldChar w:fldCharType="separate"/>
          </w:r>
          <w:r w:rsidRPr="003541E0">
            <w:t>i</w:t>
          </w:r>
          <w:r w:rsidRPr="003541E0">
            <w:fldChar w:fldCharType="end"/>
          </w:r>
        </w:p>
      </w:tc>
    </w:tr>
  </w:tbl>
  <w:p w14:paraId="7D2CE3A7" w14:textId="77777777" w:rsidR="003428FF" w:rsidRPr="003541E0" w:rsidRDefault="003428FF" w:rsidP="000B7FA6">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B7307" w14:textId="77777777" w:rsidR="003428FF" w:rsidRPr="003541E0" w:rsidRDefault="003428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7F7981" w:rsidRPr="003541E0" w14:paraId="27B31E95" w14:textId="77777777" w:rsidTr="00834CE4">
      <w:trPr>
        <w:trHeight w:hRule="exact" w:val="964"/>
      </w:trPr>
      <w:tc>
        <w:tcPr>
          <w:tcW w:w="9060" w:type="dxa"/>
          <w:vAlign w:val="bottom"/>
        </w:tcPr>
        <w:p w14:paraId="251EBFDC" w14:textId="77777777" w:rsidR="007F7981" w:rsidRPr="003541E0" w:rsidRDefault="007F7981" w:rsidP="00834CE4">
          <w:pPr>
            <w:rPr>
              <w:rFonts w:cs="Microsoft Sans Serif"/>
            </w:rPr>
          </w:pPr>
          <w:r w:rsidRPr="003541E0">
            <w:rPr>
              <w:noProof/>
            </w:rPr>
            <w:drawing>
              <wp:inline distT="0" distB="0" distL="0" distR="0" wp14:anchorId="6FA90283" wp14:editId="41D2587F">
                <wp:extent cx="720000" cy="367200"/>
                <wp:effectExtent l="0" t="0" r="4445" b="0"/>
                <wp:docPr id="1305573957" name="Picture 130557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rk-of-trust-certified-ISO-9001-quality-management-systems-black-logo-En-GB-10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367200"/>
                        </a:xfrm>
                        <a:prstGeom prst="rect">
                          <a:avLst/>
                        </a:prstGeom>
                      </pic:spPr>
                    </pic:pic>
                  </a:graphicData>
                </a:graphic>
              </wp:inline>
            </w:drawing>
          </w:r>
          <w:r w:rsidRPr="003541E0">
            <w:t xml:space="preserve">    </w:t>
          </w:r>
          <w:r w:rsidRPr="003541E0">
            <w:rPr>
              <w:noProof/>
            </w:rPr>
            <w:drawing>
              <wp:inline distT="0" distB="0" distL="0" distR="0" wp14:anchorId="3D99D22F" wp14:editId="51212AF1">
                <wp:extent cx="720695" cy="293426"/>
                <wp:effectExtent l="0" t="0" r="3810" b="0"/>
                <wp:docPr id="770896111" name="Picture 770896111" descr="ESOMAR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0" descr="ESOMAR Member"/>
                        <pic:cNvPicPr>
                          <a:picLocks noChangeAspect="1" noChangeArrowheads="1"/>
                        </pic:cNvPicPr>
                      </pic:nvPicPr>
                      <pic:blipFill>
                        <a:blip r:embed="rId2"/>
                        <a:srcRect/>
                        <a:stretch>
                          <a:fillRect/>
                        </a:stretch>
                      </pic:blipFill>
                      <pic:spPr bwMode="auto">
                        <a:xfrm>
                          <a:off x="0" y="0"/>
                          <a:ext cx="753219" cy="306668"/>
                        </a:xfrm>
                        <a:prstGeom prst="rect">
                          <a:avLst/>
                        </a:prstGeom>
                        <a:noFill/>
                        <a:ln w="9525">
                          <a:noFill/>
                          <a:miter lim="800000"/>
                          <a:headEnd/>
                          <a:tailEnd/>
                        </a:ln>
                      </pic:spPr>
                    </pic:pic>
                  </a:graphicData>
                </a:graphic>
              </wp:inline>
            </w:drawing>
          </w:r>
          <w:r w:rsidRPr="003541E0">
            <w:t xml:space="preserve">   </w:t>
          </w:r>
          <w:r w:rsidRPr="003541E0">
            <w:rPr>
              <w:noProof/>
            </w:rPr>
            <w:drawing>
              <wp:inline distT="0" distB="0" distL="0" distR="0" wp14:anchorId="00793F8A" wp14:editId="46873865">
                <wp:extent cx="571988" cy="380682"/>
                <wp:effectExtent l="0" t="0" r="0" b="0"/>
                <wp:docPr id="1392290236" name="Picture 1392290236" descr="UKAS environmental Phase 3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UKAS environmental Phase 3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02474" cy="400972"/>
                        </a:xfrm>
                        <a:prstGeom prst="rect">
                          <a:avLst/>
                        </a:prstGeom>
                        <a:noFill/>
                        <a:ln>
                          <a:noFill/>
                        </a:ln>
                      </pic:spPr>
                    </pic:pic>
                  </a:graphicData>
                </a:graphic>
              </wp:inline>
            </w:drawing>
          </w:r>
          <w:r w:rsidRPr="003541E0">
            <w:t xml:space="preserve">   </w:t>
          </w:r>
          <w:r w:rsidRPr="003541E0">
            <w:rPr>
              <w:rFonts w:cs="Microsoft Sans Serif"/>
              <w:noProof/>
            </w:rPr>
            <w:drawing>
              <wp:inline distT="0" distB="0" distL="0" distR="0" wp14:anchorId="4C8B5B6D" wp14:editId="193F36A6">
                <wp:extent cx="319156" cy="381600"/>
                <wp:effectExtent l="0" t="0" r="5080" b="0"/>
                <wp:docPr id="1377574862" name="Picture 1377574862" descr="Cyber Essentials Certified Pl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Cyber Essentials Certified Plus logo"/>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9156" cy="381600"/>
                        </a:xfrm>
                        <a:prstGeom prst="rect">
                          <a:avLst/>
                        </a:prstGeom>
                      </pic:spPr>
                    </pic:pic>
                  </a:graphicData>
                </a:graphic>
              </wp:inline>
            </w:drawing>
          </w:r>
        </w:p>
      </w:tc>
    </w:tr>
    <w:tr w:rsidR="007F7981" w:rsidRPr="003541E0" w14:paraId="3BC3D1AD" w14:textId="77777777" w:rsidTr="00834CE4">
      <w:trPr>
        <w:trHeight w:val="964"/>
      </w:trPr>
      <w:tc>
        <w:tcPr>
          <w:tcW w:w="9060" w:type="dxa"/>
          <w:tcMar>
            <w:top w:w="170" w:type="dxa"/>
            <w:bottom w:w="57" w:type="dxa"/>
          </w:tcMar>
        </w:tcPr>
        <w:p w14:paraId="1DA914CB" w14:textId="77777777" w:rsidR="007F7981" w:rsidRPr="003541E0" w:rsidRDefault="007F7981" w:rsidP="00834CE4">
          <w:pPr>
            <w:pStyle w:val="FooterFront"/>
          </w:pPr>
          <w:r w:rsidRPr="003541E0">
            <w:t>Wherever possible London Economics uses paper sourced from sustainably managed forests using production processes that meet the EU eco-label requirements.</w:t>
          </w:r>
        </w:p>
        <w:p w14:paraId="7A8F8157" w14:textId="77777777" w:rsidR="007F7981" w:rsidRPr="003541E0" w:rsidRDefault="007F7981" w:rsidP="00834CE4">
          <w:pPr>
            <w:pStyle w:val="FooterFront"/>
          </w:pPr>
          <w:r w:rsidRPr="003541E0">
            <w:t>Copyright © 2023 London Economics. Except for the quotation of short passages for the purposes of criticism or review, no part of this document may be reproduced without permission.</w:t>
          </w:r>
        </w:p>
        <w:p w14:paraId="6E61DF63" w14:textId="77777777" w:rsidR="007F7981" w:rsidRPr="003541E0" w:rsidRDefault="007F7981" w:rsidP="00834CE4">
          <w:pPr>
            <w:pStyle w:val="FooterFront"/>
          </w:pPr>
          <w:r w:rsidRPr="003541E0">
            <w:t>London Economics Ltd is a Limited Company registered in England and Wales with registered number 04083204 and registered offices at Somerset House, New Wing, Strand, London WC2R 1LA. London Economics Ltd's registration number for Value Added Tax in the United Kingdom is GB769529863.</w:t>
          </w:r>
        </w:p>
      </w:tc>
    </w:tr>
  </w:tbl>
  <w:p w14:paraId="624FA54C" w14:textId="77777777" w:rsidR="007F7981" w:rsidRPr="003541E0" w:rsidRDefault="007F7981">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A326D" w14:textId="77777777" w:rsidR="003A6119" w:rsidRPr="003541E0" w:rsidRDefault="003A6119" w:rsidP="009864D8">
    <w:pPr>
      <w:pStyle w:val="Footer"/>
    </w:pPr>
  </w:p>
  <w:tbl>
    <w:tblPr>
      <w:tblStyle w:val="TableGrid"/>
      <w:tblW w:w="5000" w:type="pct"/>
      <w:tblBorders>
        <w:top w:val="single" w:sz="4" w:space="0" w:color="7F7F7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13437"/>
    </w:tblGrid>
    <w:tr w:rsidR="003A6119" w:rsidRPr="003541E0" w14:paraId="38C255AA" w14:textId="77777777" w:rsidTr="00736745">
      <w:tc>
        <w:tcPr>
          <w:tcW w:w="567" w:type="dxa"/>
          <w:vAlign w:val="bottom"/>
        </w:tcPr>
        <w:p w14:paraId="0CFD6F2B" w14:textId="77777777" w:rsidR="003A6119" w:rsidRPr="003541E0" w:rsidRDefault="003A6119" w:rsidP="005B5DF6">
          <w:pPr>
            <w:pStyle w:val="FooterPageEven"/>
          </w:pPr>
          <w:r w:rsidRPr="003541E0">
            <w:fldChar w:fldCharType="begin"/>
          </w:r>
          <w:r w:rsidRPr="003541E0">
            <w:instrText xml:space="preserve"> PAGE   \* MERGEFORMAT </w:instrText>
          </w:r>
          <w:r w:rsidRPr="003541E0">
            <w:fldChar w:fldCharType="separate"/>
          </w:r>
          <w:r w:rsidRPr="003541E0">
            <w:t>6</w:t>
          </w:r>
          <w:r w:rsidRPr="003541E0">
            <w:fldChar w:fldCharType="end"/>
          </w:r>
        </w:p>
      </w:tc>
      <w:tc>
        <w:tcPr>
          <w:tcW w:w="0" w:type="auto"/>
          <w:vAlign w:val="bottom"/>
        </w:tcPr>
        <w:p w14:paraId="719E89DA" w14:textId="7040A635" w:rsidR="003A6119" w:rsidRPr="003541E0" w:rsidRDefault="003A6119" w:rsidP="0030437C">
          <w:pPr>
            <w:pStyle w:val="FooterTitleEven"/>
            <w:rPr>
              <w:noProof w:val="0"/>
            </w:rPr>
          </w:pP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sidRPr="00E33157">
            <w:rPr>
              <w:b w:val="0"/>
              <w:bCs/>
              <w:noProof w:val="0"/>
            </w:rPr>
            <w:instrText>London Economics</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Pr>
              <w:noProof w:val="0"/>
            </w:rPr>
            <w:instrText>London Economics</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London Economics</w:t>
          </w:r>
          <w:r w:rsidRPr="003541E0">
            <w:rPr>
              <w:noProof w:val="0"/>
            </w:rPr>
            <w:fldChar w:fldCharType="end"/>
          </w:r>
        </w:p>
        <w:p w14:paraId="6A1B6A1A" w14:textId="5EB9A499" w:rsidR="003A6119" w:rsidRPr="003541E0" w:rsidRDefault="003A6119" w:rsidP="005B5DF6">
          <w:pPr>
            <w:pStyle w:val="FooterEven"/>
          </w:pPr>
          <w:r w:rsidRPr="003541E0">
            <w:fldChar w:fldCharType="begin"/>
          </w:r>
          <w:r w:rsidRPr="003541E0">
            <w:instrText xml:space="preserve"> IF </w:instrText>
          </w:r>
          <w:fldSimple w:instr=" DOCVARIABLE  FooterTitle  \* MERGEFORMAT ">
            <w:r w:rsidR="00E33157" w:rsidRPr="00E33157">
              <w:rPr>
                <w:b w:val="0"/>
                <w:bCs/>
              </w:rPr>
              <w:instrText xml:space="preserve">The economic, social and cultural </w:instrText>
            </w:r>
            <w:r w:rsidR="00E33157">
              <w:instrText>impact of the University of Birmingham</w:instrText>
            </w:r>
          </w:fldSimple>
          <w:r w:rsidRPr="003541E0">
            <w:instrText xml:space="preserve"> = "Error! No document variable supplied." " " </w:instrText>
          </w:r>
          <w:fldSimple w:instr=" DOCVARIABLE  FooterTitle \* MERGEFORMAT ">
            <w:r w:rsidR="00E33157">
              <w:instrText>The economic, social and cultural impact of the University of Birmingham</w:instrText>
            </w:r>
          </w:fldSimple>
          <w:r w:rsidRPr="003541E0">
            <w:instrText xml:space="preserve"> \* MERGEFORMAT </w:instrText>
          </w:r>
          <w:r w:rsidRPr="003541E0">
            <w:fldChar w:fldCharType="separate"/>
          </w:r>
          <w:r w:rsidR="00E33157">
            <w:rPr>
              <w:noProof/>
            </w:rPr>
            <w:t>The economic, social and cultural impact of the University of Birmingham</w:t>
          </w:r>
          <w:r w:rsidRPr="003541E0">
            <w:fldChar w:fldCharType="end"/>
          </w:r>
        </w:p>
      </w:tc>
    </w:tr>
  </w:tbl>
  <w:p w14:paraId="125D3C05" w14:textId="77777777" w:rsidR="003A6119" w:rsidRPr="003541E0" w:rsidRDefault="003A6119" w:rsidP="009864D8">
    <w:pPr>
      <w:pStyle w:val="FooterBelowTable"/>
    </w:pPr>
  </w:p>
  <w:p w14:paraId="1DD43674" w14:textId="77777777" w:rsidR="003A6119" w:rsidRPr="003541E0" w:rsidRDefault="003A6119" w:rsidP="009864D8">
    <w:pPr>
      <w:pStyle w:val="FooterBelowTable"/>
    </w:pPr>
  </w:p>
  <w:p w14:paraId="7139C12D" w14:textId="77777777" w:rsidR="003A6119" w:rsidRPr="003541E0" w:rsidRDefault="003A6119"/>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C76E8" w14:textId="77777777" w:rsidR="003A6119" w:rsidRPr="003541E0" w:rsidRDefault="003A6119" w:rsidP="000B7FA6">
    <w:pPr>
      <w:pStyle w:val="Footer"/>
    </w:pPr>
  </w:p>
  <w:tbl>
    <w:tblPr>
      <w:tblStyle w:val="TableGrid"/>
      <w:tblW w:w="5000" w:type="pct"/>
      <w:tblBorders>
        <w:top w:val="single" w:sz="4" w:space="0" w:color="7F7F7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437"/>
      <w:gridCol w:w="567"/>
    </w:tblGrid>
    <w:tr w:rsidR="003A6119" w:rsidRPr="003541E0" w14:paraId="1DDE71DA" w14:textId="77777777" w:rsidTr="00DB08CE">
      <w:tc>
        <w:tcPr>
          <w:tcW w:w="0" w:type="auto"/>
          <w:vAlign w:val="bottom"/>
        </w:tcPr>
        <w:p w14:paraId="741AA81A" w14:textId="116AAADE" w:rsidR="003A6119" w:rsidRPr="003541E0" w:rsidRDefault="003A6119" w:rsidP="000B7FA6">
          <w:pPr>
            <w:pStyle w:val="FooterTitle"/>
            <w:rPr>
              <w:noProof w:val="0"/>
            </w:rPr>
          </w:pP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sidRPr="00E33157">
            <w:rPr>
              <w:b w:val="0"/>
              <w:bCs/>
              <w:noProof w:val="0"/>
            </w:rPr>
            <w:instrText>London Economics</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Pr>
              <w:noProof w:val="0"/>
            </w:rPr>
            <w:instrText>London Economics</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London Economics</w:t>
          </w:r>
          <w:r w:rsidRPr="003541E0">
            <w:rPr>
              <w:noProof w:val="0"/>
            </w:rPr>
            <w:fldChar w:fldCharType="end"/>
          </w:r>
          <w:r w:rsidRPr="003541E0">
            <w:rPr>
              <w:noProof w:val="0"/>
            </w:rPr>
            <w:t xml:space="preserve"> - </w:t>
          </w: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FooterTitle  \* MERGEFORMAT </w:instrText>
          </w:r>
          <w:r w:rsidRPr="003541E0">
            <w:rPr>
              <w:noProof w:val="0"/>
            </w:rPr>
            <w:fldChar w:fldCharType="separate"/>
          </w:r>
          <w:r w:rsidR="00E33157" w:rsidRPr="00E33157">
            <w:rPr>
              <w:b w:val="0"/>
              <w:bCs/>
              <w:noProof w:val="0"/>
            </w:rPr>
            <w:instrText xml:space="preserve">The economic, social and cultural </w:instrText>
          </w:r>
          <w:r w:rsidR="00E33157">
            <w:rPr>
              <w:noProof w:val="0"/>
            </w:rPr>
            <w:instrText>impact of the University of Birmingham</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FooterTitle \* MERGEFORMAT </w:instrText>
          </w:r>
          <w:r w:rsidRPr="003541E0">
            <w:rPr>
              <w:noProof w:val="0"/>
            </w:rPr>
            <w:fldChar w:fldCharType="separate"/>
          </w:r>
          <w:r w:rsidR="00E33157">
            <w:rPr>
              <w:noProof w:val="0"/>
            </w:rPr>
            <w:instrText>The economic, social and cultural impact of the University of Birmingham</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The economic, social and cultural impact of the University of Birmingham</w:t>
          </w:r>
          <w:r w:rsidRPr="003541E0">
            <w:rPr>
              <w:noProof w:val="0"/>
            </w:rPr>
            <w:fldChar w:fldCharType="end"/>
          </w:r>
        </w:p>
      </w:tc>
      <w:tc>
        <w:tcPr>
          <w:tcW w:w="567" w:type="dxa"/>
          <w:vAlign w:val="bottom"/>
        </w:tcPr>
        <w:p w14:paraId="3DAFD72B" w14:textId="77777777" w:rsidR="003A6119" w:rsidRPr="003541E0" w:rsidRDefault="003A6119" w:rsidP="000B7FA6">
          <w:pPr>
            <w:pStyle w:val="FooterPage"/>
          </w:pPr>
          <w:r w:rsidRPr="003541E0">
            <w:fldChar w:fldCharType="begin"/>
          </w:r>
          <w:r w:rsidRPr="003541E0">
            <w:instrText xml:space="preserve"> PAGE   \* MERGEFORMAT </w:instrText>
          </w:r>
          <w:r w:rsidRPr="003541E0">
            <w:fldChar w:fldCharType="separate"/>
          </w:r>
          <w:r w:rsidRPr="003541E0">
            <w:t>i</w:t>
          </w:r>
          <w:r w:rsidRPr="003541E0">
            <w:fldChar w:fldCharType="end"/>
          </w:r>
        </w:p>
      </w:tc>
    </w:tr>
  </w:tbl>
  <w:p w14:paraId="79C27AE1" w14:textId="77777777" w:rsidR="003A6119" w:rsidRPr="003541E0" w:rsidRDefault="003A6119" w:rsidP="000B7FA6">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8A600" w14:textId="77777777" w:rsidR="003A6119" w:rsidRPr="003541E0" w:rsidRDefault="003A6119">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31AAF" w14:textId="77777777" w:rsidR="00DB7AC6" w:rsidRPr="003541E0" w:rsidRDefault="00DB7AC6" w:rsidP="009864D8">
    <w:pPr>
      <w:pStyle w:val="Footer"/>
    </w:pPr>
  </w:p>
  <w:tbl>
    <w:tblPr>
      <w:tblStyle w:val="TableGrid"/>
      <w:tblW w:w="5000" w:type="pct"/>
      <w:tblBorders>
        <w:top w:val="single" w:sz="4" w:space="0" w:color="7F7F7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8277"/>
    </w:tblGrid>
    <w:tr w:rsidR="00DB7AC6" w:rsidRPr="003541E0" w14:paraId="27D8D8EC" w14:textId="77777777" w:rsidTr="00736745">
      <w:tc>
        <w:tcPr>
          <w:tcW w:w="567" w:type="dxa"/>
          <w:vAlign w:val="bottom"/>
        </w:tcPr>
        <w:p w14:paraId="68E3747A" w14:textId="77777777" w:rsidR="00DB7AC6" w:rsidRPr="003541E0" w:rsidRDefault="00DB7AC6" w:rsidP="005B5DF6">
          <w:pPr>
            <w:pStyle w:val="FooterPageEven"/>
          </w:pPr>
          <w:r w:rsidRPr="003541E0">
            <w:fldChar w:fldCharType="begin"/>
          </w:r>
          <w:r w:rsidRPr="003541E0">
            <w:instrText xml:space="preserve"> PAGE   \* MERGEFORMAT </w:instrText>
          </w:r>
          <w:r w:rsidRPr="003541E0">
            <w:fldChar w:fldCharType="separate"/>
          </w:r>
          <w:r w:rsidRPr="003541E0">
            <w:t>6</w:t>
          </w:r>
          <w:r w:rsidRPr="003541E0">
            <w:fldChar w:fldCharType="end"/>
          </w:r>
        </w:p>
      </w:tc>
      <w:tc>
        <w:tcPr>
          <w:tcW w:w="0" w:type="auto"/>
          <w:vAlign w:val="bottom"/>
        </w:tcPr>
        <w:p w14:paraId="78F86267" w14:textId="169EA0E2" w:rsidR="00DB7AC6" w:rsidRPr="003541E0" w:rsidRDefault="00DB7AC6" w:rsidP="0030437C">
          <w:pPr>
            <w:pStyle w:val="FooterTitleEven"/>
            <w:rPr>
              <w:noProof w:val="0"/>
            </w:rPr>
          </w:pP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sidRPr="00E33157">
            <w:rPr>
              <w:b w:val="0"/>
              <w:bCs/>
              <w:noProof w:val="0"/>
            </w:rPr>
            <w:instrText>London Economics</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Pr>
              <w:noProof w:val="0"/>
            </w:rPr>
            <w:instrText>London Economics</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London Economics</w:t>
          </w:r>
          <w:r w:rsidRPr="003541E0">
            <w:rPr>
              <w:noProof w:val="0"/>
            </w:rPr>
            <w:fldChar w:fldCharType="end"/>
          </w:r>
        </w:p>
        <w:p w14:paraId="6BE413CF" w14:textId="2D0BE472" w:rsidR="00DB7AC6" w:rsidRPr="003541E0" w:rsidRDefault="00DB7AC6" w:rsidP="005B5DF6">
          <w:pPr>
            <w:pStyle w:val="FooterEven"/>
          </w:pPr>
          <w:r w:rsidRPr="003541E0">
            <w:fldChar w:fldCharType="begin"/>
          </w:r>
          <w:r w:rsidRPr="003541E0">
            <w:instrText xml:space="preserve"> IF </w:instrText>
          </w:r>
          <w:fldSimple w:instr=" DOCVARIABLE  FooterTitle  \* MERGEFORMAT ">
            <w:r w:rsidR="00E33157" w:rsidRPr="00E33157">
              <w:rPr>
                <w:b w:val="0"/>
                <w:bCs/>
              </w:rPr>
              <w:instrText xml:space="preserve">The economic, social and cultural </w:instrText>
            </w:r>
            <w:r w:rsidR="00E33157">
              <w:instrText>impact of the University of Birmingham</w:instrText>
            </w:r>
          </w:fldSimple>
          <w:r w:rsidRPr="003541E0">
            <w:instrText xml:space="preserve"> = "Error! No document variable supplied." " " </w:instrText>
          </w:r>
          <w:fldSimple w:instr=" DOCVARIABLE  FooterTitle \* MERGEFORMAT ">
            <w:r w:rsidR="00E33157">
              <w:instrText>The economic, social and cultural impact of the University of Birmingham</w:instrText>
            </w:r>
          </w:fldSimple>
          <w:r w:rsidRPr="003541E0">
            <w:instrText xml:space="preserve"> \* MERGEFORMAT </w:instrText>
          </w:r>
          <w:r w:rsidRPr="003541E0">
            <w:fldChar w:fldCharType="separate"/>
          </w:r>
          <w:r w:rsidR="00E33157">
            <w:rPr>
              <w:noProof/>
            </w:rPr>
            <w:t>The economic, social and cultural impact of the University of Birmingham</w:t>
          </w:r>
          <w:r w:rsidRPr="003541E0">
            <w:fldChar w:fldCharType="end"/>
          </w:r>
        </w:p>
      </w:tc>
    </w:tr>
  </w:tbl>
  <w:p w14:paraId="45069ECA" w14:textId="77777777" w:rsidR="00DB7AC6" w:rsidRPr="003541E0" w:rsidRDefault="00DB7AC6" w:rsidP="009864D8">
    <w:pPr>
      <w:pStyle w:val="FooterBelowTable"/>
    </w:pPr>
  </w:p>
  <w:p w14:paraId="2A06890B" w14:textId="77777777" w:rsidR="00DB7AC6" w:rsidRPr="003541E0" w:rsidRDefault="00DB7AC6" w:rsidP="009864D8">
    <w:pPr>
      <w:pStyle w:val="FooterBelowTable"/>
    </w:pPr>
  </w:p>
  <w:p w14:paraId="57C446C8" w14:textId="77777777" w:rsidR="00DB7AC6" w:rsidRPr="003541E0" w:rsidRDefault="00DB7AC6"/>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CC6E8" w14:textId="77777777" w:rsidR="00DB7AC6" w:rsidRPr="003541E0" w:rsidRDefault="00DB7AC6" w:rsidP="000B7FA6">
    <w:pPr>
      <w:pStyle w:val="Footer"/>
    </w:pPr>
  </w:p>
  <w:tbl>
    <w:tblPr>
      <w:tblStyle w:val="TableGrid"/>
      <w:tblW w:w="5000" w:type="pct"/>
      <w:tblBorders>
        <w:top w:val="single" w:sz="4" w:space="0" w:color="7F7F7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77"/>
      <w:gridCol w:w="567"/>
    </w:tblGrid>
    <w:tr w:rsidR="00DB7AC6" w:rsidRPr="003541E0" w14:paraId="6BED9BCD" w14:textId="77777777" w:rsidTr="00DB08CE">
      <w:tc>
        <w:tcPr>
          <w:tcW w:w="0" w:type="auto"/>
          <w:vAlign w:val="bottom"/>
        </w:tcPr>
        <w:p w14:paraId="5AC7842D" w14:textId="7018803D" w:rsidR="00DB7AC6" w:rsidRPr="003541E0" w:rsidRDefault="00DB7AC6" w:rsidP="000B7FA6">
          <w:pPr>
            <w:pStyle w:val="FooterTitle"/>
            <w:rPr>
              <w:noProof w:val="0"/>
            </w:rPr>
          </w:pP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sidRPr="00E33157">
            <w:rPr>
              <w:b w:val="0"/>
              <w:bCs/>
              <w:noProof w:val="0"/>
            </w:rPr>
            <w:instrText>London Economics</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Pr>
              <w:noProof w:val="0"/>
            </w:rPr>
            <w:instrText>London Economics</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London Economics</w:t>
          </w:r>
          <w:r w:rsidRPr="003541E0">
            <w:rPr>
              <w:noProof w:val="0"/>
            </w:rPr>
            <w:fldChar w:fldCharType="end"/>
          </w:r>
          <w:r w:rsidRPr="003541E0">
            <w:rPr>
              <w:noProof w:val="0"/>
            </w:rPr>
            <w:t xml:space="preserve"> - </w:t>
          </w: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FooterTitle  \* MERGEFORMAT </w:instrText>
          </w:r>
          <w:r w:rsidRPr="003541E0">
            <w:rPr>
              <w:noProof w:val="0"/>
            </w:rPr>
            <w:fldChar w:fldCharType="separate"/>
          </w:r>
          <w:r w:rsidR="00E33157" w:rsidRPr="00E33157">
            <w:rPr>
              <w:b w:val="0"/>
              <w:bCs/>
              <w:noProof w:val="0"/>
            </w:rPr>
            <w:instrText xml:space="preserve">The economic, social and cultural </w:instrText>
          </w:r>
          <w:r w:rsidR="00E33157">
            <w:rPr>
              <w:noProof w:val="0"/>
            </w:rPr>
            <w:instrText>impact of the University of Birmingham</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FooterTitle \* MERGEFORMAT </w:instrText>
          </w:r>
          <w:r w:rsidRPr="003541E0">
            <w:rPr>
              <w:noProof w:val="0"/>
            </w:rPr>
            <w:fldChar w:fldCharType="separate"/>
          </w:r>
          <w:r w:rsidR="00E33157">
            <w:rPr>
              <w:noProof w:val="0"/>
            </w:rPr>
            <w:instrText>The economic, social and cultural impact of the University of Birmingham</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The economic, social and cultural impact of the University of Birmingham</w:t>
          </w:r>
          <w:r w:rsidRPr="003541E0">
            <w:rPr>
              <w:noProof w:val="0"/>
            </w:rPr>
            <w:fldChar w:fldCharType="end"/>
          </w:r>
        </w:p>
      </w:tc>
      <w:tc>
        <w:tcPr>
          <w:tcW w:w="567" w:type="dxa"/>
          <w:vAlign w:val="bottom"/>
        </w:tcPr>
        <w:p w14:paraId="3326A0A5" w14:textId="77777777" w:rsidR="00DB7AC6" w:rsidRPr="003541E0" w:rsidRDefault="00DB7AC6" w:rsidP="000B7FA6">
          <w:pPr>
            <w:pStyle w:val="FooterPage"/>
          </w:pPr>
          <w:r w:rsidRPr="003541E0">
            <w:fldChar w:fldCharType="begin"/>
          </w:r>
          <w:r w:rsidRPr="003541E0">
            <w:instrText xml:space="preserve"> PAGE   \* MERGEFORMAT </w:instrText>
          </w:r>
          <w:r w:rsidRPr="003541E0">
            <w:fldChar w:fldCharType="separate"/>
          </w:r>
          <w:r w:rsidRPr="003541E0">
            <w:t>i</w:t>
          </w:r>
          <w:r w:rsidRPr="003541E0">
            <w:fldChar w:fldCharType="end"/>
          </w:r>
        </w:p>
      </w:tc>
    </w:tr>
  </w:tbl>
  <w:p w14:paraId="157EFAB7" w14:textId="77777777" w:rsidR="00DB7AC6" w:rsidRPr="003541E0" w:rsidRDefault="00DB7AC6" w:rsidP="000B7FA6">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80509" w14:textId="77777777" w:rsidR="00DB7AC6" w:rsidRPr="003541E0" w:rsidRDefault="00DB7AC6">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EB11D" w14:textId="77777777" w:rsidR="00B0172D" w:rsidRPr="003541E0" w:rsidRDefault="00B0172D" w:rsidP="006B1025">
    <w:r w:rsidRPr="003541E0">
      <w:rPr>
        <w:noProof/>
      </w:rPr>
      <w:drawing>
        <wp:anchor distT="0" distB="0" distL="114300" distR="114300" simplePos="1" relativeHeight="251664384" behindDoc="1" locked="0" layoutInCell="1" allowOverlap="1" wp14:anchorId="64F83C35" wp14:editId="222AA0D6">
          <wp:simplePos x="0" y="0"/>
          <wp:positionH relativeFrom="page">
            <wp:posOffset>3311525</wp:posOffset>
          </wp:positionH>
          <wp:positionV relativeFrom="page">
            <wp:posOffset>7199630</wp:posOffset>
          </wp:positionV>
          <wp:extent cx="2309289" cy="1036800"/>
          <wp:effectExtent l="0" t="0" r="0" b="0"/>
          <wp:wrapNone/>
          <wp:docPr id="483792709" name="London Economics Logo" descr="London Economics logo"/>
          <wp:cNvGraphicFramePr/>
          <a:graphic xmlns:a="http://schemas.openxmlformats.org/drawingml/2006/main">
            <a:graphicData uri="http://schemas.openxmlformats.org/drawingml/2006/picture">
              <pic:pic xmlns:pic="http://schemas.openxmlformats.org/drawingml/2006/picture">
                <pic:nvPicPr>
                  <pic:cNvPr id="483792709" name="London Economics Logo" descr="London Economics logo"/>
                  <pic:cNvPicPr/>
                </pic:nvPicPr>
                <pic:blipFill>
                  <a:blip r:embed="rId1">
                    <a:extLst>
                      <a:ext uri="{28A0092B-C50C-407E-A947-70E740481C1C}">
                        <a14:useLocalDpi xmlns:a14="http://schemas.microsoft.com/office/drawing/2010/main" val="0"/>
                      </a:ext>
                    </a:extLst>
                  </a:blip>
                  <a:stretch>
                    <a:fillRect/>
                  </a:stretch>
                </pic:blipFill>
                <pic:spPr>
                  <a:xfrm>
                    <a:off x="0" y="0"/>
                    <a:ext cx="2309289" cy="1036800"/>
                  </a:xfrm>
                  <a:prstGeom prst="rect">
                    <a:avLst/>
                  </a:prstGeom>
                </pic:spPr>
              </pic:pic>
            </a:graphicData>
          </a:graphic>
          <wp14:sizeRelH relativeFrom="margin">
            <wp14:pctWidth>0</wp14:pctWidth>
          </wp14:sizeRelH>
          <wp14:sizeRelV relativeFrom="margin">
            <wp14:pctHeight>0</wp14:pctHeight>
          </wp14:sizeRelV>
        </wp:anchor>
      </w:drawing>
    </w:r>
  </w:p>
  <w:p w14:paraId="241DA8D0" w14:textId="77777777" w:rsidR="00B0172D" w:rsidRPr="003541E0" w:rsidRDefault="00B0172D" w:rsidP="00B0172D">
    <w:pPr>
      <w:pStyle w:val="AddressBlock"/>
    </w:pPr>
    <w:r w:rsidRPr="003541E0">
      <w:t>Somerset House, New Wing, Strand,</w:t>
    </w:r>
  </w:p>
  <w:p w14:paraId="20E1F008" w14:textId="77777777" w:rsidR="00B0172D" w:rsidRPr="003541E0" w:rsidRDefault="00B0172D" w:rsidP="00B0172D">
    <w:pPr>
      <w:pStyle w:val="AddressBlock"/>
    </w:pPr>
    <w:r w:rsidRPr="003541E0">
      <w:t>London, WC2R 1LA, United Kingdom</w:t>
    </w:r>
  </w:p>
  <w:p w14:paraId="16C22CCA" w14:textId="77777777" w:rsidR="00B0172D" w:rsidRPr="003541E0" w:rsidRDefault="00B0172D" w:rsidP="00B0172D">
    <w:pPr>
      <w:pStyle w:val="AddressBlock"/>
    </w:pPr>
    <w:r w:rsidRPr="003541E0">
      <w:t>info@londoneconomics.co.uk</w:t>
    </w:r>
  </w:p>
  <w:p w14:paraId="323CF89B" w14:textId="77777777" w:rsidR="00B0172D" w:rsidRPr="003541E0" w:rsidRDefault="00B0172D" w:rsidP="00B0172D">
    <w:pPr>
      <w:pStyle w:val="AddressBlock"/>
    </w:pPr>
    <w:r w:rsidRPr="003541E0">
      <w:t>londoneconomics.co.uk</w:t>
    </w:r>
  </w:p>
  <w:p w14:paraId="681A2720" w14:textId="77777777" w:rsidR="00B0172D" w:rsidRPr="003541E0" w:rsidRDefault="00B0172D" w:rsidP="00B0172D">
    <w:pPr>
      <w:pStyle w:val="AddressBlock"/>
    </w:pPr>
    <w:r w:rsidRPr="003541E0">
      <w:rPr>
        <w:noProof/>
      </w:rPr>
      <w:drawing>
        <wp:inline distT="0" distB="0" distL="0" distR="0" wp14:anchorId="5868F494" wp14:editId="4D7BAC81">
          <wp:extent cx="79044" cy="80888"/>
          <wp:effectExtent l="0" t="0" r="0" b="0"/>
          <wp:docPr id="515063683"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38350" name="Picture 4" descr="A black background with a black squar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90005" cy="92105"/>
                  </a:xfrm>
                  <a:prstGeom prst="rect">
                    <a:avLst/>
                  </a:prstGeom>
                </pic:spPr>
              </pic:pic>
            </a:graphicData>
          </a:graphic>
        </wp:inline>
      </w:drawing>
    </w:r>
    <w:r w:rsidRPr="003541E0">
      <w:t xml:space="preserve"> @LondonEconomics</w:t>
    </w:r>
  </w:p>
  <w:p w14:paraId="4E5BE824" w14:textId="77777777" w:rsidR="00B0172D" w:rsidRPr="003541E0" w:rsidRDefault="00B0172D" w:rsidP="00B0172D">
    <w:pPr>
      <w:pStyle w:val="AddressBlock"/>
    </w:pPr>
    <w:r w:rsidRPr="003541E0">
      <w:t>+44 (0)20 3701 7700</w:t>
    </w:r>
  </w:p>
  <w:p w14:paraId="36E58E09" w14:textId="77777777" w:rsidR="00FF6E66" w:rsidRPr="003541E0" w:rsidRDefault="00FF6E66" w:rsidP="00F70938">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4600" w14:textId="61D7C29A" w:rsidR="00B0172D" w:rsidRPr="003541E0" w:rsidRDefault="00B0172D" w:rsidP="006B1025"/>
  <w:p w14:paraId="62369E96" w14:textId="77777777" w:rsidR="00FF6E66" w:rsidRPr="003541E0" w:rsidRDefault="00FF6E66" w:rsidP="00F70938">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215D7" w14:textId="77777777" w:rsidR="00FF6E66" w:rsidRPr="003541E0" w:rsidRDefault="00FF6E6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959FF" w14:textId="77777777" w:rsidR="00FF6E66" w:rsidRPr="003541E0" w:rsidRDefault="00FF6E66" w:rsidP="00ED40F8">
    <w:pPr>
      <w:pStyle w:val="Footer"/>
    </w:pPr>
  </w:p>
  <w:tbl>
    <w:tblPr>
      <w:tblStyle w:val="TableGrid"/>
      <w:tblW w:w="0" w:type="auto"/>
      <w:tblBorders>
        <w:top w:val="single" w:sz="4" w:space="0" w:color="7F7F7F"/>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8278"/>
    </w:tblGrid>
    <w:tr w:rsidR="00FF6E66" w:rsidRPr="003541E0" w14:paraId="54E124C8" w14:textId="77777777" w:rsidTr="000D7CB3">
      <w:tc>
        <w:tcPr>
          <w:tcW w:w="567" w:type="dxa"/>
          <w:vAlign w:val="bottom"/>
        </w:tcPr>
        <w:p w14:paraId="550E78A8" w14:textId="77777777" w:rsidR="00FF6E66" w:rsidRPr="003541E0" w:rsidRDefault="00FF6E66" w:rsidP="00B0566B">
          <w:pPr>
            <w:pStyle w:val="FooterPageEven"/>
          </w:pPr>
          <w:r w:rsidRPr="003541E0">
            <w:fldChar w:fldCharType="begin"/>
          </w:r>
          <w:r w:rsidRPr="003541E0">
            <w:instrText xml:space="preserve"> PAGE   \* MERGEFORMAT </w:instrText>
          </w:r>
          <w:r w:rsidRPr="003541E0">
            <w:fldChar w:fldCharType="separate"/>
          </w:r>
          <w:r w:rsidRPr="003541E0">
            <w:t>ii</w:t>
          </w:r>
          <w:r w:rsidRPr="003541E0">
            <w:fldChar w:fldCharType="end"/>
          </w:r>
        </w:p>
      </w:tc>
      <w:tc>
        <w:tcPr>
          <w:tcW w:w="8278" w:type="dxa"/>
          <w:vAlign w:val="bottom"/>
        </w:tcPr>
        <w:p w14:paraId="2737A9F6" w14:textId="57867653" w:rsidR="00FF6E66" w:rsidRPr="003541E0" w:rsidRDefault="00FF6E66" w:rsidP="00ED40F8">
          <w:pPr>
            <w:pStyle w:val="FooterTitleEven"/>
            <w:rPr>
              <w:noProof w:val="0"/>
            </w:rPr>
          </w:pP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sidRPr="00E33157">
            <w:rPr>
              <w:b w:val="0"/>
              <w:bCs/>
              <w:noProof w:val="0"/>
            </w:rPr>
            <w:instrText>London Economics</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Pr>
              <w:noProof w:val="0"/>
            </w:rPr>
            <w:instrText>London Economics</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London Economics</w:t>
          </w:r>
          <w:r w:rsidRPr="003541E0">
            <w:rPr>
              <w:noProof w:val="0"/>
            </w:rPr>
            <w:fldChar w:fldCharType="end"/>
          </w:r>
        </w:p>
        <w:p w14:paraId="1D800F8C" w14:textId="1EEF7062" w:rsidR="00FF6E66" w:rsidRPr="003541E0" w:rsidRDefault="00FF6E66" w:rsidP="000D7CB3">
          <w:pPr>
            <w:pStyle w:val="FooterEven"/>
          </w:pPr>
          <w:r w:rsidRPr="003541E0">
            <w:fldChar w:fldCharType="begin"/>
          </w:r>
          <w:r w:rsidRPr="003541E0">
            <w:instrText xml:space="preserve"> IF </w:instrText>
          </w:r>
          <w:fldSimple w:instr=" DOCVARIABLE  FooterTitle  \* MERGEFORMAT ">
            <w:r w:rsidR="00E33157" w:rsidRPr="00E33157">
              <w:rPr>
                <w:b w:val="0"/>
                <w:bCs/>
              </w:rPr>
              <w:instrText xml:space="preserve">The economic, social and cultural </w:instrText>
            </w:r>
            <w:r w:rsidR="00E33157">
              <w:instrText>impact of the University of Birmingham</w:instrText>
            </w:r>
          </w:fldSimple>
          <w:r w:rsidRPr="003541E0">
            <w:instrText xml:space="preserve"> = "Error! No document variable supplied." " " </w:instrText>
          </w:r>
          <w:fldSimple w:instr=" DOCVARIABLE  FooterTitle \* MERGEFORMAT ">
            <w:r w:rsidR="00E33157">
              <w:instrText>The economic, social and cultural impact of the University of Birmingham</w:instrText>
            </w:r>
          </w:fldSimple>
          <w:r w:rsidRPr="003541E0">
            <w:instrText xml:space="preserve"> \* MERGEFORMAT </w:instrText>
          </w:r>
          <w:r w:rsidRPr="003541E0">
            <w:fldChar w:fldCharType="separate"/>
          </w:r>
          <w:r w:rsidR="00E33157">
            <w:rPr>
              <w:noProof/>
            </w:rPr>
            <w:t>The economic, social and cultural impact of the University of Birmingham</w:t>
          </w:r>
          <w:r w:rsidRPr="003541E0">
            <w:fldChar w:fldCharType="end"/>
          </w:r>
        </w:p>
      </w:tc>
    </w:tr>
  </w:tbl>
  <w:p w14:paraId="5C4CEBF7" w14:textId="77777777" w:rsidR="00FF6E66" w:rsidRPr="003541E0" w:rsidRDefault="00FF6E66" w:rsidP="00ED40F8">
    <w:pPr>
      <w:pStyle w:val="FooterBelowTable"/>
    </w:pPr>
  </w:p>
  <w:p w14:paraId="0E053E5F" w14:textId="77777777" w:rsidR="00FF6E66" w:rsidRPr="003541E0" w:rsidRDefault="00FF6E66" w:rsidP="00ED40F8">
    <w:pPr>
      <w:pStyle w:val="FooterBelowTab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0D2E3" w14:textId="77777777" w:rsidR="000B7FA6" w:rsidRPr="003541E0" w:rsidRDefault="000B7FA6" w:rsidP="000B7FA6">
    <w:pPr>
      <w:pStyle w:val="Footer"/>
    </w:pPr>
  </w:p>
  <w:tbl>
    <w:tblPr>
      <w:tblStyle w:val="TableGrid"/>
      <w:tblW w:w="5000" w:type="pct"/>
      <w:tblBorders>
        <w:top w:val="single" w:sz="4" w:space="0" w:color="7F7F7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77"/>
      <w:gridCol w:w="567"/>
    </w:tblGrid>
    <w:tr w:rsidR="000B7FA6" w:rsidRPr="003541E0" w14:paraId="25C8EFD1" w14:textId="77777777" w:rsidTr="00736745">
      <w:tc>
        <w:tcPr>
          <w:tcW w:w="0" w:type="auto"/>
          <w:vAlign w:val="bottom"/>
        </w:tcPr>
        <w:p w14:paraId="4716FF65" w14:textId="4E0CE378" w:rsidR="000B7FA6" w:rsidRPr="003541E0" w:rsidRDefault="000B7FA6" w:rsidP="000758B9">
          <w:pPr>
            <w:pStyle w:val="FooterTitle"/>
            <w:rPr>
              <w:noProof w:val="0"/>
            </w:rPr>
          </w:pP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sidRPr="00E33157">
            <w:rPr>
              <w:b w:val="0"/>
              <w:bCs/>
              <w:noProof w:val="0"/>
            </w:rPr>
            <w:instrText>London Economics</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Pr>
              <w:noProof w:val="0"/>
            </w:rPr>
            <w:instrText>London Economics</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London Economics</w:t>
          </w:r>
          <w:r w:rsidRPr="003541E0">
            <w:rPr>
              <w:noProof w:val="0"/>
            </w:rPr>
            <w:fldChar w:fldCharType="end"/>
          </w:r>
          <w:r w:rsidRPr="003541E0">
            <w:rPr>
              <w:noProof w:val="0"/>
            </w:rPr>
            <w:t xml:space="preserve"> - </w:t>
          </w: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FooterTitle  \* MERGEFORMAT </w:instrText>
          </w:r>
          <w:r w:rsidRPr="003541E0">
            <w:rPr>
              <w:noProof w:val="0"/>
            </w:rPr>
            <w:fldChar w:fldCharType="separate"/>
          </w:r>
          <w:r w:rsidR="00E33157" w:rsidRPr="00E33157">
            <w:rPr>
              <w:b w:val="0"/>
              <w:bCs/>
              <w:noProof w:val="0"/>
            </w:rPr>
            <w:instrText xml:space="preserve">The economic, social and cultural </w:instrText>
          </w:r>
          <w:r w:rsidR="00E33157">
            <w:rPr>
              <w:noProof w:val="0"/>
            </w:rPr>
            <w:instrText>impact of the University of Birmingham</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FooterTitle \* MERGEFORMAT </w:instrText>
          </w:r>
          <w:r w:rsidRPr="003541E0">
            <w:rPr>
              <w:noProof w:val="0"/>
            </w:rPr>
            <w:fldChar w:fldCharType="separate"/>
          </w:r>
          <w:r w:rsidR="00E33157">
            <w:rPr>
              <w:noProof w:val="0"/>
            </w:rPr>
            <w:instrText>The economic, social and cultural impact of the University of Birmingham</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The economic, social and cultural impact of the University of Birmingham</w:t>
          </w:r>
          <w:r w:rsidRPr="003541E0">
            <w:rPr>
              <w:noProof w:val="0"/>
            </w:rPr>
            <w:fldChar w:fldCharType="end"/>
          </w:r>
        </w:p>
      </w:tc>
      <w:tc>
        <w:tcPr>
          <w:tcW w:w="567" w:type="dxa"/>
          <w:vAlign w:val="bottom"/>
        </w:tcPr>
        <w:p w14:paraId="5850909E" w14:textId="77777777" w:rsidR="000B7FA6" w:rsidRPr="003541E0" w:rsidRDefault="000B7FA6" w:rsidP="00250BBE">
          <w:pPr>
            <w:pStyle w:val="FooterPage"/>
          </w:pPr>
          <w:r w:rsidRPr="003541E0">
            <w:fldChar w:fldCharType="begin"/>
          </w:r>
          <w:r w:rsidRPr="003541E0">
            <w:instrText xml:space="preserve"> PAGE   \* MERGEFORMAT </w:instrText>
          </w:r>
          <w:r w:rsidRPr="003541E0">
            <w:fldChar w:fldCharType="separate"/>
          </w:r>
          <w:r w:rsidRPr="003541E0">
            <w:t>5</w:t>
          </w:r>
          <w:r w:rsidRPr="003541E0">
            <w:fldChar w:fldCharType="end"/>
          </w:r>
        </w:p>
      </w:tc>
    </w:tr>
  </w:tbl>
  <w:p w14:paraId="28A4E66A" w14:textId="77777777" w:rsidR="00FF6E66" w:rsidRPr="003541E0" w:rsidRDefault="00FF6E66" w:rsidP="000B7FA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7BDDD" w14:textId="77777777" w:rsidR="00FF6E66" w:rsidRPr="003541E0" w:rsidRDefault="00FF6E6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6A1E1" w14:textId="77777777" w:rsidR="00FF6E66" w:rsidRPr="003541E0" w:rsidRDefault="00FF6E66" w:rsidP="009864D8">
    <w:pPr>
      <w:pStyle w:val="Footer"/>
    </w:pPr>
  </w:p>
  <w:tbl>
    <w:tblPr>
      <w:tblStyle w:val="TableGrid"/>
      <w:tblW w:w="5000" w:type="pct"/>
      <w:tblBorders>
        <w:top w:val="single" w:sz="4" w:space="0" w:color="7F7F7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8277"/>
    </w:tblGrid>
    <w:tr w:rsidR="00FF6E66" w:rsidRPr="003541E0" w14:paraId="08F3C4D3" w14:textId="77777777" w:rsidTr="00736745">
      <w:tc>
        <w:tcPr>
          <w:tcW w:w="567" w:type="dxa"/>
          <w:vAlign w:val="bottom"/>
        </w:tcPr>
        <w:p w14:paraId="37CCF70D" w14:textId="77777777" w:rsidR="00FF6E66" w:rsidRPr="003541E0" w:rsidRDefault="00FF6E66" w:rsidP="005B5DF6">
          <w:pPr>
            <w:pStyle w:val="FooterPageEven"/>
          </w:pPr>
          <w:r w:rsidRPr="003541E0">
            <w:fldChar w:fldCharType="begin"/>
          </w:r>
          <w:r w:rsidRPr="003541E0">
            <w:instrText xml:space="preserve"> PAGE   \* MERGEFORMAT </w:instrText>
          </w:r>
          <w:r w:rsidRPr="003541E0">
            <w:fldChar w:fldCharType="separate"/>
          </w:r>
          <w:r w:rsidR="00632F23" w:rsidRPr="003541E0">
            <w:t>ii</w:t>
          </w:r>
          <w:r w:rsidRPr="003541E0">
            <w:fldChar w:fldCharType="end"/>
          </w:r>
        </w:p>
      </w:tc>
      <w:tc>
        <w:tcPr>
          <w:tcW w:w="0" w:type="auto"/>
          <w:vAlign w:val="bottom"/>
        </w:tcPr>
        <w:p w14:paraId="4D2E7E0C" w14:textId="78D8D955" w:rsidR="00FF6E66" w:rsidRPr="003541E0" w:rsidRDefault="00FF6E66" w:rsidP="00ED40F8">
          <w:pPr>
            <w:pStyle w:val="FooterTitleEven"/>
            <w:rPr>
              <w:noProof w:val="0"/>
            </w:rPr>
          </w:pP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sidRPr="00E33157">
            <w:rPr>
              <w:b w:val="0"/>
              <w:bCs/>
              <w:noProof w:val="0"/>
            </w:rPr>
            <w:instrText>London Economics</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Pr>
              <w:noProof w:val="0"/>
            </w:rPr>
            <w:instrText>London Economics</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London Economics</w:t>
          </w:r>
          <w:r w:rsidRPr="003541E0">
            <w:rPr>
              <w:noProof w:val="0"/>
            </w:rPr>
            <w:fldChar w:fldCharType="end"/>
          </w:r>
        </w:p>
        <w:p w14:paraId="0BA6616A" w14:textId="3F1A7383" w:rsidR="00FF6E66" w:rsidRPr="003541E0" w:rsidRDefault="00FF6E66" w:rsidP="005B5DF6">
          <w:pPr>
            <w:pStyle w:val="FooterEven"/>
          </w:pPr>
          <w:r w:rsidRPr="003541E0">
            <w:fldChar w:fldCharType="begin"/>
          </w:r>
          <w:r w:rsidRPr="003541E0">
            <w:instrText xml:space="preserve"> IF </w:instrText>
          </w:r>
          <w:fldSimple w:instr=" DOCVARIABLE  FooterTitle  \* MERGEFORMAT ">
            <w:r w:rsidR="00E33157" w:rsidRPr="00E33157">
              <w:rPr>
                <w:b w:val="0"/>
                <w:bCs/>
              </w:rPr>
              <w:instrText xml:space="preserve">The economic, social and cultural </w:instrText>
            </w:r>
            <w:r w:rsidR="00E33157">
              <w:instrText>impact of the University of Birmingham</w:instrText>
            </w:r>
          </w:fldSimple>
          <w:r w:rsidRPr="003541E0">
            <w:instrText xml:space="preserve"> = "Error! No document variable supplied." " " </w:instrText>
          </w:r>
          <w:fldSimple w:instr=" DOCVARIABLE  FooterTitle \* MERGEFORMAT ">
            <w:r w:rsidR="00E33157">
              <w:instrText>The economic, social and cultural impact of the University of Birmingham</w:instrText>
            </w:r>
          </w:fldSimple>
          <w:r w:rsidRPr="003541E0">
            <w:instrText xml:space="preserve"> \* MERGEFORMAT </w:instrText>
          </w:r>
          <w:r w:rsidRPr="003541E0">
            <w:fldChar w:fldCharType="separate"/>
          </w:r>
          <w:r w:rsidR="00E33157">
            <w:rPr>
              <w:noProof/>
            </w:rPr>
            <w:t>The economic, social and cultural impact of the University of Birmingham</w:t>
          </w:r>
          <w:r w:rsidRPr="003541E0">
            <w:fldChar w:fldCharType="end"/>
          </w:r>
        </w:p>
      </w:tc>
    </w:tr>
  </w:tbl>
  <w:p w14:paraId="0AD297AA" w14:textId="77777777" w:rsidR="00FF6E66" w:rsidRPr="003541E0" w:rsidRDefault="00FF6E66" w:rsidP="009864D8">
    <w:pPr>
      <w:pStyle w:val="FooterBelowTable"/>
    </w:pPr>
  </w:p>
  <w:p w14:paraId="4C111366" w14:textId="77777777" w:rsidR="00FF6E66" w:rsidRPr="003541E0" w:rsidRDefault="00FF6E66" w:rsidP="009864D8">
    <w:pPr>
      <w:pStyle w:val="FooterBelowTab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7F1B2" w14:textId="77777777" w:rsidR="000B7FA6" w:rsidRPr="003541E0" w:rsidRDefault="000B7FA6" w:rsidP="000B7FA6">
    <w:pPr>
      <w:pStyle w:val="Footer"/>
    </w:pPr>
  </w:p>
  <w:tbl>
    <w:tblPr>
      <w:tblStyle w:val="TableGrid"/>
      <w:tblW w:w="5000" w:type="pct"/>
      <w:tblBorders>
        <w:top w:val="single" w:sz="4" w:space="0" w:color="7F7F7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77"/>
      <w:gridCol w:w="567"/>
    </w:tblGrid>
    <w:tr w:rsidR="000B7FA6" w:rsidRPr="003541E0" w14:paraId="4379959C" w14:textId="77777777" w:rsidTr="00DB08CE">
      <w:tc>
        <w:tcPr>
          <w:tcW w:w="0" w:type="auto"/>
          <w:vAlign w:val="bottom"/>
        </w:tcPr>
        <w:p w14:paraId="25CFF2FC" w14:textId="79F60C85" w:rsidR="000B7FA6" w:rsidRPr="003541E0" w:rsidRDefault="000B7FA6" w:rsidP="000B7FA6">
          <w:pPr>
            <w:pStyle w:val="FooterTitle"/>
            <w:rPr>
              <w:noProof w:val="0"/>
            </w:rPr>
          </w:pP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sidRPr="00E33157">
            <w:rPr>
              <w:b w:val="0"/>
              <w:bCs/>
              <w:noProof w:val="0"/>
            </w:rPr>
            <w:instrText>London Economics</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FooterBrand \* MERGEFORMAT </w:instrText>
          </w:r>
          <w:r w:rsidRPr="003541E0">
            <w:rPr>
              <w:noProof w:val="0"/>
            </w:rPr>
            <w:fldChar w:fldCharType="separate"/>
          </w:r>
          <w:r w:rsidR="00E33157">
            <w:rPr>
              <w:noProof w:val="0"/>
            </w:rPr>
            <w:instrText>London Economics</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London Economics</w:t>
          </w:r>
          <w:r w:rsidRPr="003541E0">
            <w:rPr>
              <w:noProof w:val="0"/>
            </w:rPr>
            <w:fldChar w:fldCharType="end"/>
          </w:r>
          <w:r w:rsidRPr="003541E0">
            <w:rPr>
              <w:noProof w:val="0"/>
            </w:rPr>
            <w:t xml:space="preserve"> - </w:t>
          </w: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FooterTitle  \* MERGEFORMAT </w:instrText>
          </w:r>
          <w:r w:rsidRPr="003541E0">
            <w:rPr>
              <w:noProof w:val="0"/>
            </w:rPr>
            <w:fldChar w:fldCharType="separate"/>
          </w:r>
          <w:r w:rsidR="00E33157" w:rsidRPr="00E33157">
            <w:rPr>
              <w:b w:val="0"/>
              <w:bCs/>
              <w:noProof w:val="0"/>
            </w:rPr>
            <w:instrText xml:space="preserve">The economic, social and cultural </w:instrText>
          </w:r>
          <w:r w:rsidR="00E33157">
            <w:rPr>
              <w:noProof w:val="0"/>
            </w:rPr>
            <w:instrText>impact of the University of Birmingham</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FooterTitle \* MERGEFORMAT </w:instrText>
          </w:r>
          <w:r w:rsidRPr="003541E0">
            <w:rPr>
              <w:noProof w:val="0"/>
            </w:rPr>
            <w:fldChar w:fldCharType="separate"/>
          </w:r>
          <w:r w:rsidR="00E33157">
            <w:rPr>
              <w:noProof w:val="0"/>
            </w:rPr>
            <w:instrText>The economic, social and cultural impact of the University of Birmingham</w:instrText>
          </w:r>
          <w:r w:rsidRPr="003541E0">
            <w:rPr>
              <w:noProof w:val="0"/>
            </w:rPr>
            <w:fldChar w:fldCharType="end"/>
          </w:r>
          <w:r w:rsidRPr="003541E0">
            <w:rPr>
              <w:noProof w:val="0"/>
            </w:rPr>
            <w:instrText xml:space="preserve"> \* MERGEFORMAT </w:instrText>
          </w:r>
          <w:r w:rsidRPr="003541E0">
            <w:rPr>
              <w:noProof w:val="0"/>
            </w:rPr>
            <w:fldChar w:fldCharType="separate"/>
          </w:r>
          <w:r w:rsidR="00E33157">
            <w:t>The economic, social and cultural impact of the University of Birmingham</w:t>
          </w:r>
          <w:r w:rsidRPr="003541E0">
            <w:rPr>
              <w:noProof w:val="0"/>
            </w:rPr>
            <w:fldChar w:fldCharType="end"/>
          </w:r>
        </w:p>
      </w:tc>
      <w:tc>
        <w:tcPr>
          <w:tcW w:w="567" w:type="dxa"/>
          <w:vAlign w:val="bottom"/>
        </w:tcPr>
        <w:p w14:paraId="35A985AA" w14:textId="77777777" w:rsidR="000B7FA6" w:rsidRPr="003541E0" w:rsidRDefault="000B7FA6" w:rsidP="000B7FA6">
          <w:pPr>
            <w:pStyle w:val="FooterPage"/>
          </w:pPr>
          <w:r w:rsidRPr="003541E0">
            <w:fldChar w:fldCharType="begin"/>
          </w:r>
          <w:r w:rsidRPr="003541E0">
            <w:instrText xml:space="preserve"> PAGE   \* MERGEFORMAT </w:instrText>
          </w:r>
          <w:r w:rsidRPr="003541E0">
            <w:fldChar w:fldCharType="separate"/>
          </w:r>
          <w:r w:rsidRPr="003541E0">
            <w:t>i</w:t>
          </w:r>
          <w:r w:rsidRPr="003541E0">
            <w:fldChar w:fldCharType="end"/>
          </w:r>
        </w:p>
      </w:tc>
    </w:tr>
  </w:tbl>
  <w:p w14:paraId="2A6D6D1F" w14:textId="77777777" w:rsidR="00FF6E66" w:rsidRPr="003541E0" w:rsidRDefault="00FF6E66" w:rsidP="000B7FA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36D6F" w14:textId="77777777" w:rsidR="00FF6E66" w:rsidRPr="003541E0" w:rsidRDefault="00FF6E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90936" w14:textId="77777777" w:rsidR="00415AD8" w:rsidRPr="003541E0" w:rsidRDefault="00415AD8" w:rsidP="002F2D4F">
      <w:pPr>
        <w:spacing w:after="0"/>
      </w:pPr>
      <w:r w:rsidRPr="003541E0">
        <w:separator/>
      </w:r>
    </w:p>
  </w:footnote>
  <w:footnote w:type="continuationSeparator" w:id="0">
    <w:p w14:paraId="51688C76" w14:textId="77777777" w:rsidR="00415AD8" w:rsidRPr="003541E0" w:rsidRDefault="00415AD8" w:rsidP="002F2D4F">
      <w:pPr>
        <w:spacing w:after="0"/>
      </w:pPr>
      <w:r w:rsidRPr="003541E0">
        <w:continuationSeparator/>
      </w:r>
    </w:p>
  </w:footnote>
  <w:footnote w:id="1">
    <w:p w14:paraId="0571AC43" w14:textId="77777777" w:rsidR="00E13125" w:rsidRPr="0078056B" w:rsidRDefault="00E13125" w:rsidP="001B223C">
      <w:pPr>
        <w:pStyle w:val="FootnoteText"/>
        <w:spacing w:before="0"/>
        <w:rPr>
          <w:rFonts w:asciiTheme="minorHAnsi" w:hAnsiTheme="minorHAnsi" w:cstheme="minorHAnsi"/>
          <w:szCs w:val="16"/>
        </w:rPr>
      </w:pPr>
      <w:r w:rsidRPr="0078056B">
        <w:rPr>
          <w:rStyle w:val="FootnoteReference"/>
          <w:rFonts w:asciiTheme="minorHAnsi" w:hAnsiTheme="minorHAnsi" w:cstheme="minorHAnsi"/>
          <w:szCs w:val="16"/>
        </w:rPr>
        <w:footnoteRef/>
      </w:r>
      <w:r w:rsidRPr="0078056B">
        <w:rPr>
          <w:rFonts w:asciiTheme="minorHAnsi" w:hAnsiTheme="minorHAnsi" w:cstheme="minorHAnsi"/>
          <w:szCs w:val="16"/>
        </w:rPr>
        <w:t xml:space="preserve"> All estimates here are presented in terms of economic output (equivalent to income/turnover). The impact of the University’s knowledge exchange activities, educational exports, institutional expenditures and related tourism can also be converted into gross value added (GVA) and full-time (FTE) employment, and these additional findings are provided within the relevant sections throughout this report.</w:t>
      </w:r>
    </w:p>
  </w:footnote>
  <w:footnote w:id="2">
    <w:p w14:paraId="74EA2D60" w14:textId="77777777" w:rsidR="00E13125" w:rsidRPr="0078056B" w:rsidRDefault="00E13125" w:rsidP="001B223C">
      <w:pPr>
        <w:pStyle w:val="FootnoteText"/>
        <w:spacing w:before="0"/>
        <w:rPr>
          <w:rFonts w:asciiTheme="minorHAnsi" w:hAnsiTheme="minorHAnsi" w:cstheme="minorHAnsi"/>
          <w:szCs w:val="16"/>
        </w:rPr>
      </w:pPr>
      <w:r w:rsidRPr="0078056B">
        <w:rPr>
          <w:rStyle w:val="FootnoteReference"/>
          <w:rFonts w:asciiTheme="minorHAnsi" w:hAnsiTheme="minorHAnsi" w:cstheme="minorHAnsi"/>
          <w:szCs w:val="16"/>
        </w:rPr>
        <w:footnoteRef/>
      </w:r>
      <w:r w:rsidRPr="0078056B">
        <w:rPr>
          <w:rFonts w:asciiTheme="minorHAnsi" w:hAnsiTheme="minorHAnsi" w:cstheme="minorHAnsi"/>
          <w:szCs w:val="16"/>
        </w:rPr>
        <w:t xml:space="preserve"> This</w:t>
      </w:r>
      <w:r w:rsidRPr="0078056B">
        <w:rPr>
          <w:rFonts w:asciiTheme="minorHAnsi" w:eastAsia="Calibri" w:hAnsiTheme="minorHAnsi" w:cstheme="minorHAnsi"/>
          <w:bCs/>
          <w:szCs w:val="16"/>
        </w:rPr>
        <w:t xml:space="preserve"> relates to the University’s total operating expenditure, </w:t>
      </w:r>
      <w:r w:rsidRPr="0078056B">
        <w:rPr>
          <w:rFonts w:asciiTheme="minorHAnsi" w:hAnsiTheme="minorHAnsi" w:cstheme="minorHAnsi"/>
          <w:szCs w:val="16"/>
        </w:rPr>
        <w:t>excluding capital expenditure, depreciation, amortisation and movements in pension provisions.</w:t>
      </w:r>
    </w:p>
  </w:footnote>
  <w:footnote w:id="3">
    <w:p w14:paraId="56DBAE11" w14:textId="17CAA117" w:rsidR="00E13125" w:rsidRPr="0078056B" w:rsidRDefault="00E13125" w:rsidP="001B223C">
      <w:pPr>
        <w:pStyle w:val="FootnoteText"/>
        <w:spacing w:before="0"/>
      </w:pPr>
      <w:r w:rsidRPr="0078056B">
        <w:rPr>
          <w:rStyle w:val="FootnoteReference"/>
        </w:rPr>
        <w:footnoteRef/>
      </w:r>
      <w:r w:rsidRPr="0078056B">
        <w:t xml:space="preserve"> It is not possible to attribute the impact of </w:t>
      </w:r>
      <w:r w:rsidR="000C01AE" w:rsidRPr="0078056B">
        <w:t xml:space="preserve">the </w:t>
      </w:r>
      <w:r w:rsidRPr="0078056B">
        <w:t xml:space="preserve">other strands </w:t>
      </w:r>
      <w:r w:rsidR="000C01AE" w:rsidRPr="0078056B">
        <w:t xml:space="preserve">of economic impact </w:t>
      </w:r>
      <w:r w:rsidRPr="0078056B">
        <w:t xml:space="preserve">to </w:t>
      </w:r>
      <w:r w:rsidR="002612B2" w:rsidRPr="0078056B">
        <w:t>any specific UK region</w:t>
      </w:r>
      <w:r w:rsidRPr="0078056B">
        <w:t>.</w:t>
      </w:r>
    </w:p>
  </w:footnote>
  <w:footnote w:id="4">
    <w:p w14:paraId="318E079C" w14:textId="77777777" w:rsidR="00B37749" w:rsidRPr="0078056B" w:rsidRDefault="00B37749" w:rsidP="001B223C">
      <w:pPr>
        <w:pStyle w:val="FootnoteText"/>
        <w:spacing w:before="0"/>
        <w:jc w:val="left"/>
      </w:pPr>
      <w:r w:rsidRPr="0078056B">
        <w:rPr>
          <w:rStyle w:val="FootnoteReference"/>
          <w:rFonts w:asciiTheme="minorHAnsi" w:hAnsiTheme="minorHAnsi"/>
        </w:rPr>
        <w:footnoteRef/>
      </w:r>
      <w:r w:rsidRPr="0078056B">
        <w:rPr>
          <w:rFonts w:asciiTheme="minorHAnsi" w:hAnsiTheme="minorHAnsi"/>
          <w:szCs w:val="16"/>
        </w:rPr>
        <w:t xml:space="preserve"> See Haskel and Wallis (2010), and Haskel et al. (2014).</w:t>
      </w:r>
    </w:p>
  </w:footnote>
  <w:footnote w:id="5">
    <w:p w14:paraId="0F7F7B3C" w14:textId="77777777" w:rsidR="003A6119" w:rsidRPr="0078056B" w:rsidRDefault="003A6119" w:rsidP="001B223C">
      <w:pPr>
        <w:pStyle w:val="FootnoteText"/>
        <w:spacing w:before="0"/>
      </w:pPr>
      <w:r w:rsidRPr="0078056B">
        <w:rPr>
          <w:rStyle w:val="FootnoteReference"/>
        </w:rPr>
        <w:footnoteRef/>
      </w:r>
      <w:r w:rsidRPr="0078056B">
        <w:t xml:space="preserve"> The estimation of the net graduate premiums and net Exchequer benefits is based on a detailed econometric analysis of the Labour Force Survey. The analysis considers the impact of higher education qualification attainment on earnings and employment outcomes; however, as no information is specifically available on the particular HEI attended, the analysis is not specific to University of Birmingham alumni. Rather, the findings from the analysis are adjusted to reflect the characteristics of the 2021-22 cohort of University of Birmingham students (e.g. in terms of mode of study, level of study, subject mix, domicile, gender, average age at enrolment, duration of qualification, and average completion rates).</w:t>
      </w:r>
    </w:p>
  </w:footnote>
  <w:footnote w:id="6">
    <w:p w14:paraId="28A7715C" w14:textId="77777777" w:rsidR="003A6119" w:rsidRPr="0078056B" w:rsidRDefault="003A6119" w:rsidP="001B223C">
      <w:pPr>
        <w:pStyle w:val="FootnoteText"/>
        <w:spacing w:before="0"/>
      </w:pPr>
      <w:r w:rsidRPr="0078056B">
        <w:rPr>
          <w:rStyle w:val="FootnoteReference"/>
        </w:rPr>
        <w:footnoteRef/>
      </w:r>
      <w:r w:rsidRPr="0078056B">
        <w:t xml:space="preserve"> Based on the Regulated Qualifications Framework (RQF) used in England, Wales, and Northern Ireland.</w:t>
      </w:r>
    </w:p>
  </w:footnote>
  <w:footnote w:id="7">
    <w:p w14:paraId="3AB4919E" w14:textId="6E559822" w:rsidR="003A6119" w:rsidRPr="0078056B" w:rsidRDefault="003A6119" w:rsidP="001B223C">
      <w:pPr>
        <w:pStyle w:val="FootnoteText"/>
        <w:spacing w:before="0"/>
      </w:pPr>
      <w:r w:rsidRPr="0078056B">
        <w:rPr>
          <w:rStyle w:val="FootnoteReference"/>
        </w:rPr>
        <w:footnoteRef/>
      </w:r>
      <w:r w:rsidRPr="0078056B">
        <w:t xml:space="preserve"> </w:t>
      </w:r>
      <w:r w:rsidRPr="0078056B">
        <w:rPr>
          <w:rFonts w:asciiTheme="minorHAnsi" w:hAnsiTheme="minorHAnsi"/>
          <w:szCs w:val="16"/>
        </w:rPr>
        <w:t xml:space="preserve">The full set of net graduate premiums and net Exchequer benefits for all characteristics is presented in Annex </w:t>
      </w:r>
      <w:r w:rsidRPr="0078056B">
        <w:rPr>
          <w:rFonts w:asciiTheme="minorHAnsi" w:hAnsiTheme="minorHAnsi"/>
          <w:szCs w:val="16"/>
        </w:rPr>
        <w:fldChar w:fldCharType="begin"/>
      </w:r>
      <w:r w:rsidRPr="0078056B">
        <w:rPr>
          <w:rFonts w:asciiTheme="minorHAnsi" w:hAnsiTheme="minorHAnsi"/>
          <w:szCs w:val="16"/>
        </w:rPr>
        <w:instrText xml:space="preserve"> REF _Ref160528468 \r \h </w:instrText>
      </w:r>
      <w:r w:rsidR="0078056B">
        <w:rPr>
          <w:rFonts w:asciiTheme="minorHAnsi" w:hAnsiTheme="minorHAnsi"/>
          <w:szCs w:val="16"/>
        </w:rPr>
        <w:instrText xml:space="preserve"> \* MERGEFORMAT </w:instrText>
      </w:r>
      <w:r w:rsidRPr="0078056B">
        <w:rPr>
          <w:rFonts w:asciiTheme="minorHAnsi" w:hAnsiTheme="minorHAnsi"/>
          <w:szCs w:val="16"/>
        </w:rPr>
      </w:r>
      <w:r w:rsidRPr="0078056B">
        <w:rPr>
          <w:rFonts w:asciiTheme="minorHAnsi" w:hAnsiTheme="minorHAnsi"/>
          <w:szCs w:val="16"/>
        </w:rPr>
        <w:fldChar w:fldCharType="separate"/>
      </w:r>
      <w:r w:rsidR="00E33157">
        <w:rPr>
          <w:rFonts w:asciiTheme="minorHAnsi" w:hAnsiTheme="minorHAnsi"/>
          <w:szCs w:val="16"/>
        </w:rPr>
        <w:t>A2.3.8</w:t>
      </w:r>
      <w:r w:rsidRPr="0078056B">
        <w:rPr>
          <w:rFonts w:asciiTheme="minorHAnsi" w:hAnsiTheme="minorHAnsi"/>
          <w:szCs w:val="16"/>
        </w:rPr>
        <w:fldChar w:fldCharType="end"/>
      </w:r>
      <w:r w:rsidRPr="0078056B">
        <w:rPr>
          <w:rFonts w:asciiTheme="minorHAnsi" w:hAnsiTheme="minorHAnsi"/>
          <w:szCs w:val="16"/>
        </w:rPr>
        <w:t>.</w:t>
      </w:r>
    </w:p>
  </w:footnote>
  <w:footnote w:id="8">
    <w:p w14:paraId="458ECDF4" w14:textId="77777777" w:rsidR="00383BF9" w:rsidRPr="0078056B" w:rsidRDefault="00383BF9" w:rsidP="001B223C">
      <w:pPr>
        <w:pStyle w:val="FootnoteText"/>
        <w:spacing w:before="0"/>
        <w:rPr>
          <w:rFonts w:asciiTheme="minorHAnsi" w:hAnsiTheme="minorHAnsi" w:cstheme="minorHAnsi"/>
          <w:szCs w:val="16"/>
        </w:rPr>
      </w:pPr>
      <w:r w:rsidRPr="0078056B">
        <w:rPr>
          <w:rStyle w:val="FootnoteReference"/>
          <w:rFonts w:asciiTheme="minorHAnsi" w:hAnsiTheme="minorHAnsi" w:cstheme="minorHAnsi"/>
          <w:szCs w:val="16"/>
        </w:rPr>
        <w:footnoteRef/>
      </w:r>
      <w:r w:rsidRPr="0078056B">
        <w:rPr>
          <w:rFonts w:asciiTheme="minorHAnsi" w:hAnsiTheme="minorHAnsi" w:cstheme="minorHAnsi"/>
          <w:szCs w:val="16"/>
        </w:rPr>
        <w:t xml:space="preserve"> The total operational expenditure (excluding capital expenditure) of </w:t>
      </w:r>
      <w:r w:rsidRPr="0078056B">
        <w:rPr>
          <w:rFonts w:eastAsia="Times New Roman" w:cs="Times New Roman"/>
        </w:rPr>
        <w:t xml:space="preserve">the University of Birmingham </w:t>
      </w:r>
      <w:r w:rsidRPr="0078056B">
        <w:rPr>
          <w:rFonts w:asciiTheme="minorHAnsi" w:hAnsiTheme="minorHAnsi" w:cstheme="minorHAnsi"/>
          <w:szCs w:val="16"/>
        </w:rPr>
        <w:t xml:space="preserve">in 2021-22 stood at </w:t>
      </w:r>
      <w:r w:rsidRPr="0078056B">
        <w:rPr>
          <w:rFonts w:asciiTheme="minorHAnsi" w:hAnsiTheme="minorHAnsi" w:cstheme="minorHAnsi"/>
          <w:b/>
          <w:bCs/>
          <w:color w:val="06357A" w:themeColor="accent1"/>
          <w:szCs w:val="16"/>
        </w:rPr>
        <w:t>£1,043 million</w:t>
      </w:r>
      <w:r w:rsidRPr="0078056B">
        <w:rPr>
          <w:rFonts w:asciiTheme="minorHAnsi" w:hAnsiTheme="minorHAnsi" w:cstheme="minorHAnsi"/>
          <w:szCs w:val="16"/>
        </w:rPr>
        <w:t xml:space="preserve">. From this, for the purpose of the analysis, we excluded </w:t>
      </w:r>
      <w:r w:rsidRPr="0078056B">
        <w:rPr>
          <w:rFonts w:asciiTheme="minorHAnsi" w:eastAsia="Calibri" w:hAnsiTheme="minorHAnsi" w:cstheme="minorHAnsi"/>
          <w:b/>
          <w:color w:val="06357A" w:themeColor="accent1"/>
          <w:szCs w:val="16"/>
        </w:rPr>
        <w:t xml:space="preserve">£71 million </w:t>
      </w:r>
      <w:r w:rsidRPr="0078056B">
        <w:rPr>
          <w:rFonts w:asciiTheme="minorHAnsi" w:hAnsiTheme="minorHAnsi" w:cstheme="minorHAnsi"/>
          <w:szCs w:val="16"/>
        </w:rPr>
        <w:t xml:space="preserve">in depreciation costs and </w:t>
      </w:r>
      <w:r w:rsidRPr="0078056B">
        <w:rPr>
          <w:rFonts w:asciiTheme="minorHAnsi" w:hAnsiTheme="minorHAnsi" w:cstheme="minorHAnsi"/>
          <w:b/>
          <w:bCs/>
          <w:color w:val="06357A" w:themeColor="accent1"/>
          <w:szCs w:val="16"/>
        </w:rPr>
        <w:t>£203 million</w:t>
      </w:r>
      <w:r w:rsidRPr="0078056B">
        <w:rPr>
          <w:rFonts w:asciiTheme="minorHAnsi" w:hAnsiTheme="minorHAnsi" w:cstheme="minorHAnsi"/>
          <w:color w:val="06357A" w:themeColor="accent1"/>
          <w:szCs w:val="16"/>
        </w:rPr>
        <w:t xml:space="preserve"> </w:t>
      </w:r>
      <w:r w:rsidRPr="0078056B">
        <w:rPr>
          <w:rFonts w:asciiTheme="minorHAnsi" w:hAnsiTheme="minorHAnsi" w:cstheme="minorHAnsi"/>
          <w:szCs w:val="16"/>
        </w:rPr>
        <w:t xml:space="preserve">in movements in pension provisions, as it is assumed that these are not relevant from a procurement perspective (i.e. these costs are not accounted for as income by other organisations). </w:t>
      </w:r>
    </w:p>
  </w:footnote>
  <w:footnote w:id="9">
    <w:p w14:paraId="243708F9" w14:textId="672C9975" w:rsidR="00EA4D0B" w:rsidRPr="0078056B" w:rsidRDefault="00EA4D0B" w:rsidP="001B223C">
      <w:pPr>
        <w:pStyle w:val="FootnoteText"/>
        <w:spacing w:before="0"/>
      </w:pPr>
      <w:r w:rsidRPr="0078056B">
        <w:rPr>
          <w:rStyle w:val="FootnoteReference"/>
        </w:rPr>
        <w:footnoteRef/>
      </w:r>
      <w:r w:rsidRPr="0078056B">
        <w:t xml:space="preserve"> Beyond the University of Birmingham’s main campuses in Edgbaston and Selly Oak, the University also has a campus in Dubai.</w:t>
      </w:r>
      <w:r w:rsidR="00E21EA3" w:rsidRPr="0078056B">
        <w:t xml:space="preserve"> As it was not possible to split the costs associated with the operation of the Dubai from the main University activities in the UK, and the fact that the revenues associated with the University's operations are 'booked' in the UK, we have assumed that all of the University’s activities took place within the UK. Given the relative size of the operations in the United Kingdom and Dubai, this is likely to marginally overestimate the true level of economic impact</w:t>
      </w:r>
      <w:r w:rsidRPr="0078056B">
        <w:t>.</w:t>
      </w:r>
    </w:p>
  </w:footnote>
  <w:footnote w:id="10">
    <w:p w14:paraId="2AAAFF62" w14:textId="30FDA15B" w:rsidR="00552809" w:rsidRPr="0078056B" w:rsidRDefault="00552809" w:rsidP="001B223C">
      <w:pPr>
        <w:pStyle w:val="FootnoteText"/>
        <w:spacing w:before="0"/>
      </w:pPr>
      <w:r w:rsidRPr="0078056B">
        <w:rPr>
          <w:rStyle w:val="FootnoteReference"/>
        </w:rPr>
        <w:footnoteRef/>
      </w:r>
      <w:r w:rsidRPr="0078056B">
        <w:t xml:space="preserve"> See London Economics (2017).</w:t>
      </w:r>
    </w:p>
  </w:footnote>
  <w:footnote w:id="11">
    <w:p w14:paraId="5ADE4E44" w14:textId="715D72BB" w:rsidR="00852868" w:rsidRPr="0078056B" w:rsidRDefault="00852868" w:rsidP="001B223C">
      <w:pPr>
        <w:pStyle w:val="FootnoteText"/>
        <w:spacing w:before="0"/>
      </w:pPr>
      <w:r w:rsidRPr="0078056B">
        <w:rPr>
          <w:rStyle w:val="FootnoteReference"/>
        </w:rPr>
        <w:footnoteRef/>
      </w:r>
      <w:r w:rsidRPr="0078056B">
        <w:t xml:space="preserve"> For a schematic overview of our approach, please refer to </w:t>
      </w:r>
      <w:r w:rsidRPr="0078056B">
        <w:fldChar w:fldCharType="begin"/>
      </w:r>
      <w:r w:rsidRPr="0078056B">
        <w:instrText xml:space="preserve"> REF _Ref162517614 \r \h  \* MERGEFORMAT </w:instrText>
      </w:r>
      <w:r w:rsidRPr="0078056B">
        <w:fldChar w:fldCharType="separate"/>
      </w:r>
      <w:r w:rsidR="00E33157">
        <w:t>Figure 41</w:t>
      </w:r>
      <w:r w:rsidRPr="0078056B">
        <w:fldChar w:fldCharType="end"/>
      </w:r>
      <w:r w:rsidRPr="0078056B">
        <w:t xml:space="preserve"> in Annex </w:t>
      </w:r>
      <w:r w:rsidRPr="0078056B">
        <w:fldChar w:fldCharType="begin"/>
      </w:r>
      <w:r w:rsidRPr="0078056B">
        <w:instrText xml:space="preserve"> REF _Ref162517617 \r \h  \* MERGEFORMAT </w:instrText>
      </w:r>
      <w:r w:rsidRPr="0078056B">
        <w:fldChar w:fldCharType="separate"/>
      </w:r>
      <w:r w:rsidR="00E33157">
        <w:t>A2.2.1</w:t>
      </w:r>
      <w:r w:rsidRPr="0078056B">
        <w:fldChar w:fldCharType="end"/>
      </w:r>
      <w:r w:rsidRPr="0078056B">
        <w:t>.</w:t>
      </w:r>
    </w:p>
  </w:footnote>
  <w:footnote w:id="12">
    <w:p w14:paraId="1BB56D08" w14:textId="33FF0783" w:rsidR="00AC5B15" w:rsidRPr="0078056B" w:rsidRDefault="00AC5B15" w:rsidP="001B223C">
      <w:pPr>
        <w:pStyle w:val="FootnoteText"/>
        <w:spacing w:before="0"/>
      </w:pPr>
      <w:r w:rsidRPr="0078056B">
        <w:rPr>
          <w:rStyle w:val="FootnoteReference"/>
        </w:rPr>
        <w:footnoteRef/>
      </w:r>
      <w:r w:rsidRPr="0078056B">
        <w:t xml:space="preserve"> Note that we further adjust the direct impact</w:t>
      </w:r>
      <w:r w:rsidR="00631C9B" w:rsidRPr="0078056B">
        <w:t xml:space="preserve"> of research</w:t>
      </w:r>
      <w:r w:rsidRPr="0078056B">
        <w:t xml:space="preserve"> for double-counting with </w:t>
      </w:r>
      <w:r w:rsidR="001E2341" w:rsidRPr="0078056B">
        <w:t xml:space="preserve">knowledge exchange </w:t>
      </w:r>
      <w:r w:rsidRPr="0078056B">
        <w:t xml:space="preserve">activities and for public costs (see Sections </w:t>
      </w:r>
      <w:r w:rsidRPr="0078056B">
        <w:fldChar w:fldCharType="begin"/>
      </w:r>
      <w:r w:rsidRPr="0078056B">
        <w:instrText xml:space="preserve"> REF _Ref160730060 \r \h </w:instrText>
      </w:r>
      <w:r w:rsidR="0078056B">
        <w:instrText xml:space="preserve"> \* MERGEFORMAT </w:instrText>
      </w:r>
      <w:r w:rsidRPr="0078056B">
        <w:fldChar w:fldCharType="separate"/>
      </w:r>
      <w:r w:rsidR="00E33157">
        <w:t>2.1.2</w:t>
      </w:r>
      <w:r w:rsidRPr="0078056B">
        <w:fldChar w:fldCharType="end"/>
      </w:r>
      <w:r w:rsidRPr="0078056B">
        <w:t xml:space="preserve"> and  </w:t>
      </w:r>
      <w:r w:rsidRPr="0078056B">
        <w:fldChar w:fldCharType="begin"/>
      </w:r>
      <w:r w:rsidRPr="0078056B">
        <w:instrText xml:space="preserve"> REF _Ref160114268 \r \h  \* MERGEFORMAT </w:instrText>
      </w:r>
      <w:r w:rsidRPr="0078056B">
        <w:fldChar w:fldCharType="separate"/>
      </w:r>
      <w:r w:rsidR="00E33157">
        <w:t>2.1.3</w:t>
      </w:r>
      <w:r w:rsidRPr="0078056B">
        <w:fldChar w:fldCharType="end"/>
      </w:r>
      <w:r w:rsidRPr="0078056B">
        <w:t>).</w:t>
      </w:r>
    </w:p>
  </w:footnote>
  <w:footnote w:id="13">
    <w:p w14:paraId="598E792D" w14:textId="77777777" w:rsidR="009B693C" w:rsidRPr="0078056B" w:rsidRDefault="009B693C" w:rsidP="001B223C">
      <w:pPr>
        <w:pStyle w:val="FootnoteText"/>
        <w:spacing w:before="0"/>
        <w:rPr>
          <w:rFonts w:asciiTheme="minorHAnsi" w:hAnsiTheme="minorHAnsi" w:cstheme="minorHAnsi"/>
          <w:szCs w:val="16"/>
        </w:rPr>
      </w:pPr>
      <w:r w:rsidRPr="0078056B">
        <w:rPr>
          <w:rStyle w:val="FootnoteReference"/>
          <w:rFonts w:asciiTheme="minorHAnsi" w:hAnsiTheme="minorHAnsi" w:cstheme="minorHAnsi"/>
          <w:szCs w:val="16"/>
        </w:rPr>
        <w:footnoteRef/>
      </w:r>
      <w:r w:rsidRPr="0078056B">
        <w:rPr>
          <w:rFonts w:asciiTheme="minorHAnsi" w:hAnsiTheme="minorHAnsi" w:cstheme="minorHAnsi"/>
          <w:szCs w:val="16"/>
        </w:rPr>
        <w:t xml:space="preserve"> This income from ‘other UK sources’ includes </w:t>
      </w:r>
      <w:r w:rsidRPr="0078056B">
        <w:rPr>
          <w:rFonts w:asciiTheme="minorHAnsi" w:hAnsiTheme="minorHAnsi" w:cstheme="minorHAnsi"/>
          <w:b/>
          <w:bCs/>
          <w:color w:val="06357A" w:themeColor="accent1"/>
          <w:szCs w:val="16"/>
        </w:rPr>
        <w:t>£46 million</w:t>
      </w:r>
      <w:r w:rsidRPr="0078056B">
        <w:rPr>
          <w:rFonts w:asciiTheme="minorHAnsi" w:hAnsiTheme="minorHAnsi" w:cstheme="minorHAnsi"/>
          <w:color w:val="06357A" w:themeColor="accent1"/>
          <w:szCs w:val="16"/>
        </w:rPr>
        <w:t xml:space="preserve"> </w:t>
      </w:r>
      <w:r w:rsidRPr="0078056B">
        <w:rPr>
          <w:rFonts w:asciiTheme="minorHAnsi" w:hAnsiTheme="minorHAnsi" w:cstheme="minorHAnsi"/>
          <w:szCs w:val="16"/>
        </w:rPr>
        <w:t xml:space="preserve">from UK central government bodies, local authorities, and health and hospital authorities; </w:t>
      </w:r>
      <w:r w:rsidRPr="0078056B">
        <w:rPr>
          <w:rFonts w:asciiTheme="minorHAnsi" w:hAnsiTheme="minorHAnsi" w:cstheme="minorHAnsi"/>
          <w:b/>
          <w:bCs/>
          <w:color w:val="06357A" w:themeColor="accent1"/>
          <w:szCs w:val="16"/>
        </w:rPr>
        <w:t>£16 million</w:t>
      </w:r>
      <w:r w:rsidRPr="0078056B">
        <w:rPr>
          <w:rFonts w:asciiTheme="minorHAnsi" w:hAnsiTheme="minorHAnsi" w:cstheme="minorHAnsi"/>
          <w:color w:val="06357A" w:themeColor="accent1"/>
          <w:szCs w:val="16"/>
        </w:rPr>
        <w:t xml:space="preserve"> </w:t>
      </w:r>
      <w:r w:rsidRPr="0078056B">
        <w:rPr>
          <w:rFonts w:asciiTheme="minorHAnsi" w:hAnsiTheme="minorHAnsi" w:cstheme="minorHAnsi"/>
          <w:szCs w:val="16"/>
        </w:rPr>
        <w:t xml:space="preserve">from UK industry, commerce and public organisations; and </w:t>
      </w:r>
      <w:r w:rsidRPr="0078056B">
        <w:rPr>
          <w:rFonts w:asciiTheme="minorHAnsi" w:hAnsiTheme="minorHAnsi" w:cstheme="minorHAnsi"/>
          <w:b/>
          <w:bCs/>
          <w:color w:val="06357A" w:themeColor="accent1"/>
          <w:szCs w:val="16"/>
        </w:rPr>
        <w:t>£2 million</w:t>
      </w:r>
      <w:r w:rsidRPr="0078056B">
        <w:rPr>
          <w:rFonts w:asciiTheme="minorHAnsi" w:hAnsiTheme="minorHAnsi" w:cstheme="minorHAnsi"/>
          <w:color w:val="06357A" w:themeColor="accent1"/>
          <w:szCs w:val="16"/>
        </w:rPr>
        <w:t xml:space="preserve"> </w:t>
      </w:r>
      <w:r w:rsidRPr="0078056B">
        <w:rPr>
          <w:rFonts w:asciiTheme="minorHAnsi" w:hAnsiTheme="minorHAnsi" w:cstheme="minorHAnsi"/>
          <w:szCs w:val="16"/>
        </w:rPr>
        <w:t xml:space="preserve">from other sources (numbers may not add up precisely due to rounding). </w:t>
      </w:r>
    </w:p>
  </w:footnote>
  <w:footnote w:id="14">
    <w:p w14:paraId="49CBA670" w14:textId="04979D79" w:rsidR="009B693C" w:rsidRPr="0078056B" w:rsidRDefault="009B693C" w:rsidP="001B223C">
      <w:pPr>
        <w:pStyle w:val="FootnoteText"/>
        <w:spacing w:before="0"/>
      </w:pPr>
      <w:r w:rsidRPr="0078056B">
        <w:rPr>
          <w:rStyle w:val="FootnoteReference"/>
        </w:rPr>
        <w:footnoteRef/>
      </w:r>
      <w:r w:rsidRPr="0078056B">
        <w:t xml:space="preserve"> Collaborative research involving public funding includes cash or in-kind contributions to research projects with material contributions from at least one external non-academic collaborator. Contract research meets specific research needs of external partners, excluding basic research council grants. The two activities are mutually exclusive.</w:t>
      </w:r>
    </w:p>
  </w:footnote>
  <w:footnote w:id="15">
    <w:p w14:paraId="24BCF087" w14:textId="3457BDE6" w:rsidR="009B693C" w:rsidRPr="0078056B" w:rsidRDefault="009B693C" w:rsidP="001B223C">
      <w:pPr>
        <w:pStyle w:val="FootnoteText"/>
        <w:spacing w:before="0"/>
      </w:pPr>
      <w:r w:rsidRPr="0078056B">
        <w:rPr>
          <w:rStyle w:val="FootnoteReference"/>
        </w:rPr>
        <w:footnoteRef/>
      </w:r>
      <w:r w:rsidRPr="0078056B">
        <w:t xml:space="preserve"> See Higher Education Statistics Agency (</w:t>
      </w:r>
      <w:r w:rsidR="00E87F38" w:rsidRPr="0078056B">
        <w:t>2023c</w:t>
      </w:r>
      <w:r w:rsidRPr="0078056B">
        <w:t>).</w:t>
      </w:r>
    </w:p>
  </w:footnote>
  <w:footnote w:id="16">
    <w:p w14:paraId="7F643CB6" w14:textId="77777777" w:rsidR="009B693C" w:rsidRPr="0078056B" w:rsidRDefault="009B693C" w:rsidP="001B223C">
      <w:pPr>
        <w:pStyle w:val="FootnoteText"/>
        <w:spacing w:before="0"/>
      </w:pPr>
      <w:r w:rsidRPr="0078056B">
        <w:rPr>
          <w:rStyle w:val="FootnoteReference"/>
        </w:rPr>
        <w:footnoteRef/>
      </w:r>
      <w:r w:rsidRPr="0078056B">
        <w:t xml:space="preserve"> The </w:t>
      </w:r>
      <w:r w:rsidRPr="0078056B">
        <w:rPr>
          <w:b/>
          <w:bCs/>
          <w:color w:val="06357A"/>
        </w:rPr>
        <w:t>£15 million</w:t>
      </w:r>
      <w:r w:rsidRPr="0078056B">
        <w:t xml:space="preserve"> in collaborative research funding is made up of </w:t>
      </w:r>
      <w:r w:rsidRPr="0078056B">
        <w:rPr>
          <w:b/>
          <w:bCs/>
          <w:color w:val="06357A"/>
        </w:rPr>
        <w:t>£11 million</w:t>
      </w:r>
      <w:r w:rsidRPr="0078056B">
        <w:t xml:space="preserve"> of public funding and </w:t>
      </w:r>
      <w:r w:rsidRPr="0078056B">
        <w:rPr>
          <w:b/>
          <w:bCs/>
          <w:color w:val="06357A"/>
        </w:rPr>
        <w:t>£1 million</w:t>
      </w:r>
      <w:r w:rsidRPr="0078056B">
        <w:t xml:space="preserve"> of collaborative cash contributions. Note that any income in terms of in-kind contributions to collaborative research (</w:t>
      </w:r>
      <w:r w:rsidRPr="0078056B">
        <w:rPr>
          <w:b/>
          <w:bCs/>
          <w:color w:val="06357A"/>
        </w:rPr>
        <w:t>£3 million</w:t>
      </w:r>
      <w:r w:rsidRPr="0078056B">
        <w:t>) is excluded from the impact analysis since these contributions do not represent a cash transaction for which we can robustly apply economic multipliers.</w:t>
      </w:r>
    </w:p>
  </w:footnote>
  <w:footnote w:id="17">
    <w:p w14:paraId="437A11DF" w14:textId="09A7EC65" w:rsidR="009B693C" w:rsidRPr="0078056B" w:rsidRDefault="009B693C" w:rsidP="001B223C">
      <w:pPr>
        <w:pStyle w:val="FootnoteText"/>
        <w:spacing w:before="0"/>
      </w:pPr>
      <w:r w:rsidRPr="0078056B">
        <w:rPr>
          <w:rStyle w:val="FootnoteReference"/>
        </w:rPr>
        <w:footnoteRef/>
      </w:r>
      <w:r w:rsidRPr="0078056B">
        <w:t xml:space="preserve"> It is important to note that, while the analysis </w:t>
      </w:r>
      <w:r w:rsidR="00C574DF" w:rsidRPr="0078056B">
        <w:t xml:space="preserve">(wherever possible) </w:t>
      </w:r>
      <w:r w:rsidRPr="0078056B">
        <w:t xml:space="preserve">takes account of </w:t>
      </w:r>
      <w:r w:rsidRPr="0078056B">
        <w:rPr>
          <w:i/>
          <w:iCs/>
        </w:rPr>
        <w:t xml:space="preserve">leakage </w:t>
      </w:r>
      <w:r w:rsidRPr="0078056B">
        <w:t xml:space="preserve">(e.g. adjusting for the extent to which any additional income for supplying industries might be spent on imports of goods and services from outside the UK), the estimated impacts here are </w:t>
      </w:r>
      <w:r w:rsidRPr="0078056B">
        <w:rPr>
          <w:i/>
          <w:iCs/>
        </w:rPr>
        <w:t xml:space="preserve">not </w:t>
      </w:r>
      <w:r w:rsidRPr="0078056B">
        <w:t xml:space="preserve">adjusted for </w:t>
      </w:r>
      <w:r w:rsidRPr="0078056B">
        <w:rPr>
          <w:i/>
          <w:iCs/>
        </w:rPr>
        <w:t>displacement</w:t>
      </w:r>
      <w:r w:rsidRPr="0078056B">
        <w:t xml:space="preserve"> or additionality (e.g. the extent to which the research income received by the University of Birmingham might otherwise have been used for other purposes by the organisations from which the income is received). Hence, our analysis effectively estimates the direct, indirect, and induced impacts associated with the University of Birmingham’s research activities in </w:t>
      </w:r>
      <w:r w:rsidRPr="0078056B">
        <w:rPr>
          <w:i/>
          <w:iCs/>
        </w:rPr>
        <w:t>gross</w:t>
      </w:r>
      <w:r w:rsidRPr="0078056B">
        <w:t xml:space="preserve"> terms. </w:t>
      </w:r>
    </w:p>
  </w:footnote>
  <w:footnote w:id="18">
    <w:p w14:paraId="3D0C6650" w14:textId="77777777" w:rsidR="009B693C" w:rsidRPr="0078056B" w:rsidRDefault="009B693C" w:rsidP="001B223C">
      <w:pPr>
        <w:pStyle w:val="FootnoteText"/>
        <w:spacing w:before="0"/>
      </w:pPr>
      <w:r w:rsidRPr="0078056B">
        <w:rPr>
          <w:rStyle w:val="FootnoteReference"/>
        </w:rPr>
        <w:footnoteRef/>
      </w:r>
      <w:r w:rsidRPr="0078056B">
        <w:t xml:space="preserve"> In this analysis, economic output is equivalent to income or turnover (e.g. the direct research income that the University of Birmingham accrued in 2021-22).</w:t>
      </w:r>
    </w:p>
  </w:footnote>
  <w:footnote w:id="19">
    <w:p w14:paraId="1FBDDDC9" w14:textId="77777777" w:rsidR="009B693C" w:rsidRPr="0078056B" w:rsidRDefault="009B693C" w:rsidP="001B223C">
      <w:pPr>
        <w:pStyle w:val="FootnoteText"/>
        <w:spacing w:before="0"/>
      </w:pPr>
      <w:r w:rsidRPr="0078056B">
        <w:rPr>
          <w:rStyle w:val="FootnoteReference"/>
        </w:rPr>
        <w:footnoteRef/>
      </w:r>
      <w:r w:rsidRPr="0078056B">
        <w:t xml:space="preserve"> Gross value added is used in national accounting to measure the economic contribution of different industries or sectors and is defined as economic output minus intermediate consumption (i.e. the cost of goods and services used in the production process). </w:t>
      </w:r>
    </w:p>
  </w:footnote>
  <w:footnote w:id="20">
    <w:p w14:paraId="51F22FE0" w14:textId="77777777" w:rsidR="009B693C" w:rsidRPr="0078056B" w:rsidRDefault="009B693C" w:rsidP="001B223C">
      <w:pPr>
        <w:pStyle w:val="FootnoteText"/>
        <w:spacing w:before="0"/>
      </w:pPr>
      <w:r w:rsidRPr="0078056B">
        <w:rPr>
          <w:rStyle w:val="FootnoteReference"/>
        </w:rPr>
        <w:footnoteRef/>
      </w:r>
      <w:r w:rsidRPr="0078056B">
        <w:t xml:space="preserve"> Full-time equivalent (FTE) jobs represent the total number of full-time jobs supported, accounting for part-time positions on an equivalent full-time basis.</w:t>
      </w:r>
    </w:p>
  </w:footnote>
  <w:footnote w:id="21">
    <w:p w14:paraId="532385A2" w14:textId="77777777" w:rsidR="009B693C" w:rsidRPr="0078056B" w:rsidRDefault="009B693C" w:rsidP="001B223C">
      <w:pPr>
        <w:pStyle w:val="FootnoteText"/>
        <w:spacing w:before="0"/>
      </w:pPr>
      <w:r w:rsidRPr="0078056B">
        <w:rPr>
          <w:rStyle w:val="FootnoteReference"/>
        </w:rPr>
        <w:footnoteRef/>
      </w:r>
      <w:r w:rsidRPr="0078056B">
        <w:t xml:space="preserve"> Input-Output tables quantify the interdependencies between different sectors and regions of an economy by detailing the origin and destination of resource flows between each sector and region.</w:t>
      </w:r>
    </w:p>
  </w:footnote>
  <w:footnote w:id="22">
    <w:p w14:paraId="14CA68DA" w14:textId="77777777" w:rsidR="009B693C" w:rsidRPr="0078056B" w:rsidRDefault="009B693C" w:rsidP="001B223C">
      <w:pPr>
        <w:pStyle w:val="FootnoteText"/>
        <w:spacing w:before="0"/>
      </w:pPr>
      <w:r w:rsidRPr="0078056B">
        <w:rPr>
          <w:rStyle w:val="FootnoteReference"/>
        </w:rPr>
        <w:footnoteRef/>
      </w:r>
      <w:r w:rsidRPr="0078056B">
        <w:t xml:space="preserve"> Specifically, the analysis makes use of </w:t>
      </w:r>
      <w:r w:rsidRPr="0078056B">
        <w:rPr>
          <w:i/>
          <w:iCs/>
        </w:rPr>
        <w:t xml:space="preserve">Type II </w:t>
      </w:r>
      <w:r w:rsidRPr="0078056B">
        <w:t xml:space="preserve">multipliers, defined as [Direct + indirect + induced impact]/[Direct impact]. </w:t>
      </w:r>
    </w:p>
  </w:footnote>
  <w:footnote w:id="23">
    <w:p w14:paraId="3425343C" w14:textId="77777777" w:rsidR="009B693C" w:rsidRPr="0078056B" w:rsidRDefault="009B693C" w:rsidP="001B223C">
      <w:pPr>
        <w:pStyle w:val="FootnoteText"/>
        <w:spacing w:before="0"/>
      </w:pPr>
      <w:r w:rsidRPr="0078056B">
        <w:rPr>
          <w:rStyle w:val="FootnoteReference"/>
        </w:rPr>
        <w:footnoteRef/>
      </w:r>
      <w:r w:rsidRPr="0078056B">
        <w:t xml:space="preserve"> See Office for National Statistics (2023). 2019 is the latest year for which these Input-Output tables are currently available. </w:t>
      </w:r>
    </w:p>
  </w:footnote>
  <w:footnote w:id="24">
    <w:p w14:paraId="1251AEC0" w14:textId="1938024E" w:rsidR="009B693C" w:rsidRPr="0078056B" w:rsidRDefault="009B693C" w:rsidP="001B223C">
      <w:pPr>
        <w:pStyle w:val="FootnoteText"/>
        <w:spacing w:before="0"/>
      </w:pPr>
      <w:r w:rsidRPr="0078056B">
        <w:rPr>
          <w:rStyle w:val="FootnoteReference"/>
        </w:rPr>
        <w:footnoteRef/>
      </w:r>
      <w:r w:rsidRPr="0078056B">
        <w:t xml:space="preserve"> See Annex </w:t>
      </w:r>
      <w:r w:rsidRPr="0078056B">
        <w:fldChar w:fldCharType="begin"/>
      </w:r>
      <w:r w:rsidRPr="0078056B">
        <w:instrText xml:space="preserve"> REF _Ref150434337 \r \h  \* MERGEFORMAT </w:instrText>
      </w:r>
      <w:r w:rsidRPr="0078056B">
        <w:fldChar w:fldCharType="separate"/>
      </w:r>
      <w:r w:rsidR="00E33157">
        <w:t>A2.1.1</w:t>
      </w:r>
      <w:r w:rsidRPr="0078056B">
        <w:fldChar w:fldCharType="end"/>
      </w:r>
      <w:r w:rsidRPr="0078056B">
        <w:t xml:space="preserve"> for more details.</w:t>
      </w:r>
    </w:p>
  </w:footnote>
  <w:footnote w:id="25">
    <w:p w14:paraId="59DAB052" w14:textId="77777777" w:rsidR="00307258" w:rsidRPr="0078056B" w:rsidRDefault="00307258" w:rsidP="001B223C">
      <w:pPr>
        <w:pStyle w:val="FootnoteText"/>
        <w:spacing w:before="0"/>
      </w:pPr>
      <w:r w:rsidRPr="0078056B">
        <w:rPr>
          <w:rStyle w:val="FootnoteReference"/>
        </w:rPr>
        <w:footnoteRef/>
      </w:r>
      <w:r w:rsidRPr="0078056B">
        <w:t xml:space="preserve"> i.e. we assume that the expenditure patterns of the University of Birmingham are the same as for other institutions operating in West Midland’s government, health, and education sector. </w:t>
      </w:r>
    </w:p>
  </w:footnote>
  <w:footnote w:id="26">
    <w:p w14:paraId="62A9C421" w14:textId="77777777" w:rsidR="009B693C" w:rsidRPr="0078056B" w:rsidRDefault="009B693C" w:rsidP="001B223C">
      <w:pPr>
        <w:pStyle w:val="FootnoteText"/>
        <w:spacing w:before="0"/>
      </w:pPr>
      <w:r w:rsidRPr="0078056B">
        <w:rPr>
          <w:rStyle w:val="FootnoteReference"/>
        </w:rPr>
        <w:footnoteRef/>
      </w:r>
      <w:r w:rsidRPr="0078056B">
        <w:t xml:space="preserve"> Note that these figures indicate the destination of impact and </w:t>
      </w:r>
      <w:r w:rsidRPr="0078056B">
        <w:rPr>
          <w:i/>
          <w:iCs/>
        </w:rPr>
        <w:t>not</w:t>
      </w:r>
      <w:r w:rsidRPr="0078056B">
        <w:t xml:space="preserve"> the origin of impact.</w:t>
      </w:r>
    </w:p>
  </w:footnote>
  <w:footnote w:id="27">
    <w:p w14:paraId="25D611AA" w14:textId="77777777" w:rsidR="009B693C" w:rsidRPr="0078056B" w:rsidRDefault="009B693C" w:rsidP="001B223C">
      <w:pPr>
        <w:pStyle w:val="FootnoteText"/>
        <w:spacing w:before="0"/>
      </w:pPr>
      <w:r w:rsidRPr="0078056B">
        <w:rPr>
          <w:rStyle w:val="FootnoteReference"/>
        </w:rPr>
        <w:footnoteRef/>
      </w:r>
      <w:r w:rsidRPr="0078056B">
        <w:t xml:space="preserve"> </w:t>
      </w:r>
      <w:r w:rsidRPr="0078056B">
        <w:rPr>
          <w:szCs w:val="16"/>
        </w:rPr>
        <w:t>Note that there are also clearly significant economic and social spillovers to the public sector associated with university research. However, despite their obvious importance, these have been much more difficult to estimate robustly, and are not included in this analysis.</w:t>
      </w:r>
    </w:p>
  </w:footnote>
  <w:footnote w:id="28">
    <w:p w14:paraId="20705AE9" w14:textId="77777777" w:rsidR="009B693C" w:rsidRPr="0078056B" w:rsidRDefault="009B693C" w:rsidP="001B223C">
      <w:pPr>
        <w:pStyle w:val="FootnoteText"/>
        <w:spacing w:before="0"/>
      </w:pPr>
      <w:r w:rsidRPr="0078056B">
        <w:rPr>
          <w:rStyle w:val="FootnoteReference"/>
        </w:rPr>
        <w:footnoteRef/>
      </w:r>
      <w:r w:rsidRPr="0078056B">
        <w:t xml:space="preserve"> Where the vast majority of funding provided by UK charities relates to projects commissioned through an open competitive process. </w:t>
      </w:r>
    </w:p>
  </w:footnote>
  <w:footnote w:id="29">
    <w:p w14:paraId="115C604F" w14:textId="77777777" w:rsidR="009B693C" w:rsidRPr="0078056B" w:rsidRDefault="009B693C" w:rsidP="001B223C">
      <w:pPr>
        <w:pStyle w:val="FootnoteText"/>
        <w:spacing w:before="0"/>
        <w:rPr>
          <w:szCs w:val="16"/>
        </w:rPr>
      </w:pPr>
      <w:r w:rsidRPr="0078056B">
        <w:rPr>
          <w:rStyle w:val="FootnoteReference"/>
        </w:rPr>
        <w:footnoteRef/>
      </w:r>
      <w:r w:rsidRPr="0078056B">
        <w:t xml:space="preserve"> In terms of the large difference in magnitude between these multipliers, explaining the size of the 12.7 multiplier in particular, Haskel and Wallis (2010) argue that they would expect the productivity spillovers from Research Council funding to be large, ‘given that the support provided by Research Councils is freely available and likely to be basic science’.</w:t>
      </w:r>
      <w:r w:rsidRPr="0078056B">
        <w:rPr>
          <w:szCs w:val="16"/>
        </w:rPr>
        <w:t xml:space="preserve"> To the best knowledge of the authors, there exists no further and recent empirical evidence to support this. As a result, we apply the separate multipliers to the different income strands. </w:t>
      </w:r>
    </w:p>
  </w:footnote>
  <w:footnote w:id="30">
    <w:p w14:paraId="1FE76B00" w14:textId="77777777" w:rsidR="009B693C" w:rsidRPr="0078056B" w:rsidRDefault="009B693C" w:rsidP="001B223C">
      <w:pPr>
        <w:pStyle w:val="FootnoteText"/>
        <w:spacing w:before="0"/>
      </w:pPr>
      <w:r w:rsidRPr="0078056B">
        <w:rPr>
          <w:rStyle w:val="FootnoteReference"/>
        </w:rPr>
        <w:footnoteRef/>
      </w:r>
      <w:r w:rsidRPr="0078056B">
        <w:t xml:space="preserve"> Note, however, following Haskel and Wallis (2010), we take a flow approach rather than a stock measure, which implicitly assumes a 0% depreciation rate.</w:t>
      </w:r>
    </w:p>
  </w:footnote>
  <w:footnote w:id="31">
    <w:p w14:paraId="0C00B09A" w14:textId="7FE56247" w:rsidR="009B693C" w:rsidRPr="0078056B" w:rsidRDefault="009B693C" w:rsidP="001B223C">
      <w:pPr>
        <w:pStyle w:val="FootnoteText"/>
        <w:spacing w:before="0"/>
      </w:pPr>
      <w:r w:rsidRPr="0078056B">
        <w:rPr>
          <w:rStyle w:val="FootnoteReference"/>
        </w:rPr>
        <w:footnoteRef/>
      </w:r>
      <w:r w:rsidRPr="0078056B">
        <w:t xml:space="preserve"> Note that by applying the weighted average multiplier, we assume that </w:t>
      </w:r>
      <w:r w:rsidR="001B223C" w:rsidRPr="0078056B">
        <w:t>the source of contract research income is typical of the research income elsewhere at the</w:t>
      </w:r>
      <w:r w:rsidRPr="0078056B">
        <w:t xml:space="preserve"> University of Birmingham (which equates to a multiplier of 5.30), in absence of information around the source of the contract research income.</w:t>
      </w:r>
    </w:p>
  </w:footnote>
  <w:footnote w:id="32">
    <w:p w14:paraId="0403E8B7" w14:textId="5A0A3B17" w:rsidR="009B693C" w:rsidRPr="0078056B" w:rsidRDefault="009B693C" w:rsidP="001B223C">
      <w:pPr>
        <w:pStyle w:val="FootnoteText"/>
        <w:spacing w:before="0"/>
      </w:pPr>
      <w:r w:rsidRPr="0078056B">
        <w:rPr>
          <w:rStyle w:val="FootnoteReference"/>
        </w:rPr>
        <w:footnoteRef/>
      </w:r>
      <w:r w:rsidRPr="0078056B">
        <w:t xml:space="preserve"> The analysis includes spinouts with some University of Birmingham ownership but excludes 3 spinouts and 1 start-up based on </w:t>
      </w:r>
      <w:r w:rsidR="001279B4" w:rsidRPr="0078056B">
        <w:t>the University’s</w:t>
      </w:r>
      <w:r w:rsidRPr="0078056B">
        <w:t xml:space="preserve"> IP that were active in 2021-22 but were non-UK based. Further, 28 start-ups were excluded for which the location is unknown and assumed outside the UK. We also exclude companies that were founded after 2021-22, dissolved prior to 2021-22, or where the company’s base was unknown</w:t>
      </w:r>
      <w:r w:rsidR="007231BE" w:rsidRPr="0078056B">
        <w:t xml:space="preserve"> (</w:t>
      </w:r>
      <w:r w:rsidRPr="0078056B">
        <w:t>3 spinouts and 3 start-ups</w:t>
      </w:r>
      <w:r w:rsidR="007231BE" w:rsidRPr="0078056B">
        <w:t>)</w:t>
      </w:r>
      <w:r w:rsidRPr="0078056B">
        <w:t xml:space="preserve">. Note also that the information is based on each company’s 2021-22 financial year, which does not necessarily coincide with the 2021-22 academic year and varies across companies. </w:t>
      </w:r>
    </w:p>
  </w:footnote>
  <w:footnote w:id="33">
    <w:p w14:paraId="2503597F" w14:textId="709C130F" w:rsidR="009B693C" w:rsidRPr="0078056B" w:rsidRDefault="009B693C" w:rsidP="001B223C">
      <w:pPr>
        <w:pStyle w:val="FootnoteText"/>
        <w:spacing w:before="0"/>
      </w:pPr>
      <w:r w:rsidRPr="0078056B">
        <w:rPr>
          <w:rStyle w:val="FootnoteReference"/>
        </w:rPr>
        <w:footnoteRef/>
      </w:r>
      <w:r w:rsidRPr="0078056B">
        <w:t xml:space="preserve"> Given that the data is solely based on FAME, it is likely that the</w:t>
      </w:r>
      <w:r w:rsidR="00FC2AA6" w:rsidRPr="0078056B">
        <w:t xml:space="preserve">re is </w:t>
      </w:r>
      <w:r w:rsidRPr="0078056B">
        <w:t>an incomplete estimate of the total turnover, GVA, or employment of the University of Birmingham’s spinout and start-up companies. This particularly applies to relatively small companies falling below the reporting thresholds required by Companies House (implying that their financials would not be included in the FAME data).</w:t>
      </w:r>
    </w:p>
  </w:footnote>
  <w:footnote w:id="34">
    <w:p w14:paraId="0C8D2CA4" w14:textId="77777777" w:rsidR="009B693C" w:rsidRPr="0078056B" w:rsidRDefault="009B693C" w:rsidP="001B223C">
      <w:pPr>
        <w:pStyle w:val="FootnoteText"/>
        <w:spacing w:before="0"/>
      </w:pPr>
      <w:r w:rsidRPr="0078056B">
        <w:rPr>
          <w:rStyle w:val="FootnoteReference"/>
        </w:rPr>
        <w:footnoteRef/>
      </w:r>
      <w:r w:rsidRPr="0078056B">
        <w:t xml:space="preserve"> Again, these ratios were derived based on the above-described multi-regional Input-Output model. Each firm’s main industry classification and regional location was based on information from FAME using their SIC code and the region of the main registered address of the company recorded in FAME.</w:t>
      </w:r>
    </w:p>
  </w:footnote>
  <w:footnote w:id="35">
    <w:p w14:paraId="1EF63857" w14:textId="77777777" w:rsidR="009B693C" w:rsidRPr="0078056B" w:rsidRDefault="009B693C" w:rsidP="001B223C">
      <w:pPr>
        <w:pStyle w:val="FootnoteText"/>
        <w:spacing w:before="0"/>
      </w:pPr>
      <w:r w:rsidRPr="0078056B">
        <w:rPr>
          <w:rStyle w:val="FootnoteReference"/>
        </w:rPr>
        <w:footnoteRef/>
      </w:r>
      <w:r w:rsidRPr="0078056B">
        <w:t xml:space="preserve"> The analysis made use of </w:t>
      </w:r>
      <w:r w:rsidRPr="0078056B">
        <w:rPr>
          <w:i/>
          <w:iCs/>
        </w:rPr>
        <w:t>any</w:t>
      </w:r>
      <w:r w:rsidRPr="0078056B">
        <w:t xml:space="preserve"> resulting turnover, employment, or GVA information available for a given company, irrespective of whether complete data (i.e. in terms of turnover, GVA, </w:t>
      </w:r>
      <w:r w:rsidRPr="0078056B">
        <w:rPr>
          <w:i/>
          <w:iCs/>
        </w:rPr>
        <w:t>and</w:t>
      </w:r>
      <w:r w:rsidRPr="0078056B">
        <w:t xml:space="preserve"> employment) was available for that firm. The direct impact is therefore based on a total of 3 spinout firms (out of the 41 active UK-based companies) for which turnover information was available, and 26 spinout firms for which employment information was available. Of the 310 start-ups considered in the analysis, we were able to obtain turnover data for 10 and employment data for 88.</w:t>
      </w:r>
    </w:p>
  </w:footnote>
  <w:footnote w:id="36">
    <w:p w14:paraId="66DC3440" w14:textId="77777777" w:rsidR="009B693C" w:rsidRPr="0078056B" w:rsidRDefault="009B693C" w:rsidP="001B223C">
      <w:pPr>
        <w:pStyle w:val="FootnoteText"/>
        <w:spacing w:before="0"/>
      </w:pPr>
      <w:r w:rsidRPr="0078056B">
        <w:rPr>
          <w:rStyle w:val="FootnoteReference"/>
        </w:rPr>
        <w:footnoteRef/>
      </w:r>
      <w:r w:rsidRPr="0078056B">
        <w:t xml:space="preserve"> Note totals may not sum using information above due to rounding. </w:t>
      </w:r>
    </w:p>
  </w:footnote>
  <w:footnote w:id="37">
    <w:p w14:paraId="28CD6281" w14:textId="77777777" w:rsidR="009B693C" w:rsidRPr="0078056B" w:rsidRDefault="009B693C" w:rsidP="001B223C">
      <w:pPr>
        <w:pStyle w:val="FootnoteText"/>
        <w:spacing w:before="0"/>
      </w:pPr>
      <w:r w:rsidRPr="0078056B">
        <w:rPr>
          <w:rStyle w:val="FootnoteReference"/>
        </w:rPr>
        <w:footnoteRef/>
      </w:r>
      <w:r w:rsidRPr="0078056B">
        <w:t xml:space="preserve"> i.e. we assume that the expenditure patterns of the University of Birmingham are the same as for other institutions operating in West Midland’s government, health, and education sector. </w:t>
      </w:r>
    </w:p>
  </w:footnote>
  <w:footnote w:id="38">
    <w:p w14:paraId="7ED9CEA3" w14:textId="77777777" w:rsidR="003A6119" w:rsidRPr="0078056B" w:rsidRDefault="003A6119" w:rsidP="001B223C">
      <w:pPr>
        <w:pStyle w:val="FootnoteText"/>
        <w:spacing w:before="0"/>
        <w:rPr>
          <w:rFonts w:asciiTheme="minorHAnsi" w:hAnsiTheme="minorHAnsi"/>
        </w:rPr>
      </w:pPr>
      <w:r w:rsidRPr="0078056B">
        <w:rPr>
          <w:rStyle w:val="FootnoteReference"/>
          <w:rFonts w:asciiTheme="minorHAnsi" w:hAnsiTheme="minorHAnsi"/>
        </w:rPr>
        <w:footnoteRef/>
      </w:r>
      <w:r w:rsidRPr="0078056B">
        <w:rPr>
          <w:rFonts w:asciiTheme="minorHAnsi" w:hAnsiTheme="minorHAnsi"/>
        </w:rPr>
        <w:t xml:space="preserve"> A proportion of EU and non-EU domiciled students undertaking their studies at </w:t>
      </w:r>
      <w:r w:rsidRPr="0078056B">
        <w:t xml:space="preserve">the University of Birmingham </w:t>
      </w:r>
      <w:r w:rsidRPr="0078056B">
        <w:rPr>
          <w:rFonts w:asciiTheme="minorHAnsi" w:hAnsiTheme="minorHAnsi"/>
        </w:rPr>
        <w:t xml:space="preserve">will remain in the UK to work following completion of their studies; similarly, a proportion of UK domiciled students will leave the UK to pursue their careers in other countries. Given the uncertainty in predicting the extent to which this is the case, and the difficulty in assessing the net labour market returns for students not resident in the UK post-graduation, the analysis of teaching and learning focuses on UK domiciled students only. In other words, for the purposes of this analysis, we assume that all UK domiciled students will enter the UK labour market upon graduation, and that non-UK students will leave the UK upon completing their qualifications at </w:t>
      </w:r>
      <w:r w:rsidRPr="0078056B">
        <w:t>the University of Birmingham</w:t>
      </w:r>
      <w:r w:rsidRPr="0078056B">
        <w:rPr>
          <w:rFonts w:asciiTheme="minorHAnsi" w:hAnsiTheme="minorHAnsi"/>
        </w:rPr>
        <w:t>.</w:t>
      </w:r>
    </w:p>
  </w:footnote>
  <w:footnote w:id="39">
    <w:p w14:paraId="04D92E71" w14:textId="36CB9F1F" w:rsidR="003A6119" w:rsidRPr="0078056B" w:rsidRDefault="003A6119" w:rsidP="001B223C">
      <w:pPr>
        <w:pStyle w:val="FootnoteText"/>
        <w:spacing w:before="0"/>
        <w:rPr>
          <w:rFonts w:asciiTheme="minorHAnsi" w:hAnsiTheme="minorHAnsi" w:cstheme="minorHAnsi"/>
          <w:szCs w:val="16"/>
        </w:rPr>
      </w:pPr>
      <w:r w:rsidRPr="0078056B">
        <w:rPr>
          <w:rStyle w:val="FootnoteReference"/>
          <w:rFonts w:asciiTheme="minorHAnsi" w:hAnsiTheme="minorHAnsi" w:cstheme="minorHAnsi"/>
          <w:szCs w:val="16"/>
        </w:rPr>
        <w:footnoteRef/>
      </w:r>
      <w:r w:rsidRPr="0078056B">
        <w:rPr>
          <w:rFonts w:asciiTheme="minorHAnsi" w:hAnsiTheme="minorHAnsi" w:cstheme="minorHAnsi"/>
          <w:szCs w:val="16"/>
        </w:rPr>
        <w:t xml:space="preserve"> We received HESA data on a total of 15,935 first-year students from </w:t>
      </w:r>
      <w:r w:rsidRPr="0078056B">
        <w:t>the University of Birmingham</w:t>
      </w:r>
      <w:r w:rsidRPr="0078056B">
        <w:rPr>
          <w:rFonts w:asciiTheme="minorHAnsi" w:hAnsiTheme="minorHAnsi" w:cstheme="minorHAnsi"/>
          <w:szCs w:val="16"/>
        </w:rPr>
        <w:t xml:space="preserve">. Of these, we excluded 25 students who did not have a stated gender, and 5,080 non-UK domiciled students (who are instead considered as part of the analysis of educational exports (see Section </w:t>
      </w:r>
      <w:r w:rsidR="00E64C67" w:rsidRPr="0078056B">
        <w:rPr>
          <w:rFonts w:asciiTheme="minorHAnsi" w:hAnsiTheme="minorHAnsi" w:cstheme="minorHAnsi"/>
          <w:szCs w:val="16"/>
        </w:rPr>
        <w:fldChar w:fldCharType="begin"/>
      </w:r>
      <w:r w:rsidR="00E64C67" w:rsidRPr="0078056B">
        <w:rPr>
          <w:rFonts w:asciiTheme="minorHAnsi" w:hAnsiTheme="minorHAnsi" w:cstheme="minorHAnsi"/>
          <w:szCs w:val="16"/>
        </w:rPr>
        <w:instrText xml:space="preserve"> REF _Ref162263211 \r \h </w:instrText>
      </w:r>
      <w:r w:rsidR="0078056B">
        <w:rPr>
          <w:rFonts w:asciiTheme="minorHAnsi" w:hAnsiTheme="minorHAnsi" w:cstheme="minorHAnsi"/>
          <w:szCs w:val="16"/>
        </w:rPr>
        <w:instrText xml:space="preserve"> \* MERGEFORMAT </w:instrText>
      </w:r>
      <w:r w:rsidR="00E64C67" w:rsidRPr="0078056B">
        <w:rPr>
          <w:rFonts w:asciiTheme="minorHAnsi" w:hAnsiTheme="minorHAnsi" w:cstheme="minorHAnsi"/>
          <w:szCs w:val="16"/>
        </w:rPr>
      </w:r>
      <w:r w:rsidR="00E64C67" w:rsidRPr="0078056B">
        <w:rPr>
          <w:rFonts w:asciiTheme="minorHAnsi" w:hAnsiTheme="minorHAnsi" w:cstheme="minorHAnsi"/>
          <w:szCs w:val="16"/>
        </w:rPr>
        <w:fldChar w:fldCharType="separate"/>
      </w:r>
      <w:r w:rsidR="00E33157">
        <w:rPr>
          <w:rFonts w:asciiTheme="minorHAnsi" w:hAnsiTheme="minorHAnsi" w:cstheme="minorHAnsi"/>
          <w:szCs w:val="16"/>
        </w:rPr>
        <w:t>4</w:t>
      </w:r>
      <w:r w:rsidR="00E64C67" w:rsidRPr="0078056B">
        <w:rPr>
          <w:rFonts w:asciiTheme="minorHAnsi" w:hAnsiTheme="minorHAnsi" w:cstheme="minorHAnsi"/>
          <w:szCs w:val="16"/>
        </w:rPr>
        <w:fldChar w:fldCharType="end"/>
      </w:r>
      <w:r w:rsidRPr="0078056B">
        <w:rPr>
          <w:rFonts w:asciiTheme="minorHAnsi" w:hAnsiTheme="minorHAnsi" w:cstheme="minorHAnsi"/>
          <w:szCs w:val="16"/>
        </w:rPr>
        <w:t>)). Figures may not add up precisely due to rounding.</w:t>
      </w:r>
    </w:p>
  </w:footnote>
  <w:footnote w:id="40">
    <w:p w14:paraId="1AD755D5" w14:textId="77777777" w:rsidR="003A6119" w:rsidRPr="0078056B" w:rsidRDefault="003A6119" w:rsidP="001B223C">
      <w:pPr>
        <w:pStyle w:val="FootnoteText"/>
        <w:spacing w:before="0"/>
      </w:pPr>
      <w:r w:rsidRPr="0078056B">
        <w:rPr>
          <w:rStyle w:val="FootnoteReference"/>
        </w:rPr>
        <w:footnoteRef/>
      </w:r>
      <w:r w:rsidRPr="0078056B">
        <w:t xml:space="preserve"> </w:t>
      </w:r>
      <w:r w:rsidRPr="0078056B">
        <w:rPr>
          <w:rFonts w:asciiTheme="minorHAnsi" w:hAnsiTheme="minorHAnsi"/>
        </w:rPr>
        <w:t>‘Other postgraduate’ learning includes taught work for credit at postgraduate level, Postgraduate Certificates or Professional Graduate Diplomas in Education, and other diplomas and qualifications at postgraduate level.</w:t>
      </w:r>
    </w:p>
  </w:footnote>
  <w:footnote w:id="41">
    <w:p w14:paraId="5204895F" w14:textId="77777777" w:rsidR="003A6119" w:rsidRPr="0078056B" w:rsidRDefault="003A6119" w:rsidP="001B223C">
      <w:pPr>
        <w:spacing w:before="0" w:after="0"/>
        <w:rPr>
          <w:rFonts w:asciiTheme="minorHAnsi" w:hAnsiTheme="minorHAnsi" w:cstheme="minorHAnsi"/>
          <w:sz w:val="16"/>
          <w:szCs w:val="16"/>
        </w:rPr>
      </w:pPr>
      <w:r w:rsidRPr="0078056B">
        <w:rPr>
          <w:rStyle w:val="FootnoteReference"/>
          <w:rFonts w:asciiTheme="minorHAnsi" w:hAnsiTheme="minorHAnsi" w:cstheme="minorHAnsi"/>
          <w:sz w:val="16"/>
          <w:szCs w:val="16"/>
        </w:rPr>
        <w:footnoteRef/>
      </w:r>
      <w:r w:rsidRPr="0078056B">
        <w:rPr>
          <w:rFonts w:asciiTheme="minorHAnsi" w:hAnsiTheme="minorHAnsi" w:cstheme="minorHAnsi"/>
          <w:sz w:val="16"/>
          <w:szCs w:val="16"/>
        </w:rPr>
        <w:t xml:space="preserve"> </w:t>
      </w:r>
      <w:r w:rsidRPr="0078056B">
        <w:rPr>
          <w:rFonts w:asciiTheme="minorHAnsi" w:hAnsiTheme="minorHAnsi"/>
          <w:sz w:val="16"/>
          <w:szCs w:val="20"/>
        </w:rPr>
        <w:t>‘Other undergraduate’ learning includes Certificates of Higher Education, Foundation Degrees, other undergraduate-level certificates, diplomas and qualifications and undergraduate-level credits.</w:t>
      </w:r>
    </w:p>
  </w:footnote>
  <w:footnote w:id="42">
    <w:p w14:paraId="1316D5CF" w14:textId="04FE8BD2" w:rsidR="003A6119" w:rsidRPr="0078056B" w:rsidRDefault="003A6119" w:rsidP="001B223C">
      <w:pPr>
        <w:pStyle w:val="FootnoteText"/>
        <w:spacing w:before="0"/>
      </w:pPr>
      <w:r w:rsidRPr="0078056B">
        <w:rPr>
          <w:rStyle w:val="FootnoteReference"/>
        </w:rPr>
        <w:footnoteRef/>
      </w:r>
      <w:r w:rsidRPr="0078056B">
        <w:t xml:space="preserve"> See Annex </w:t>
      </w:r>
      <w:r w:rsidRPr="0078056B">
        <w:fldChar w:fldCharType="begin"/>
      </w:r>
      <w:r w:rsidRPr="0078056B">
        <w:instrText xml:space="preserve"> REF _Ref142578317 \r \h </w:instrText>
      </w:r>
      <w:r w:rsidR="0078056B">
        <w:instrText xml:space="preserve"> \* MERGEFORMAT </w:instrText>
      </w:r>
      <w:r w:rsidRPr="0078056B">
        <w:fldChar w:fldCharType="separate"/>
      </w:r>
      <w:r w:rsidR="00E33157">
        <w:t>A2.3</w:t>
      </w:r>
      <w:r w:rsidRPr="0078056B">
        <w:fldChar w:fldCharType="end"/>
      </w:r>
      <w:r w:rsidRPr="0078056B">
        <w:t xml:space="preserve"> for a detailed description of the methodology used to estimate the impact of the University’s teaching and learning activities.</w:t>
      </w:r>
    </w:p>
  </w:footnote>
  <w:footnote w:id="43">
    <w:p w14:paraId="6E1526EF" w14:textId="13ADAE6D" w:rsidR="003A6119" w:rsidRPr="0078056B" w:rsidRDefault="003A6119" w:rsidP="001B223C">
      <w:pPr>
        <w:pStyle w:val="FootnoteText"/>
        <w:spacing w:before="0"/>
      </w:pPr>
      <w:r w:rsidRPr="0078056B">
        <w:rPr>
          <w:rStyle w:val="FootnoteReference"/>
        </w:rPr>
        <w:footnoteRef/>
      </w:r>
      <w:r w:rsidRPr="0078056B">
        <w:t xml:space="preserve"> The full set of net graduate premiums and net Exchequer benefits (for all study levels, study modes, and prior attainment levels) is presented in Annex </w:t>
      </w:r>
      <w:r w:rsidRPr="0078056B">
        <w:fldChar w:fldCharType="begin"/>
      </w:r>
      <w:r w:rsidRPr="0078056B">
        <w:instrText xml:space="preserve"> REF _Ref143873700 \r \h </w:instrText>
      </w:r>
      <w:r w:rsidR="00935E7D" w:rsidRPr="0078056B">
        <w:instrText xml:space="preserve"> \* MERGEFORMAT </w:instrText>
      </w:r>
      <w:r w:rsidRPr="0078056B">
        <w:fldChar w:fldCharType="separate"/>
      </w:r>
      <w:r w:rsidR="00E33157">
        <w:t>A2.3.8</w:t>
      </w:r>
      <w:r w:rsidRPr="0078056B">
        <w:fldChar w:fldCharType="end"/>
      </w:r>
      <w:r w:rsidRPr="0078056B">
        <w:t>.</w:t>
      </w:r>
    </w:p>
  </w:footnote>
  <w:footnote w:id="44">
    <w:p w14:paraId="3C839CA1" w14:textId="4204F63D" w:rsidR="003A6119" w:rsidRPr="0078056B" w:rsidRDefault="003A6119" w:rsidP="001B223C">
      <w:pPr>
        <w:pStyle w:val="FootnoteText"/>
        <w:spacing w:before="0"/>
      </w:pPr>
      <w:r w:rsidRPr="0078056B">
        <w:rPr>
          <w:rStyle w:val="FootnoteReference"/>
        </w:rPr>
        <w:footnoteRef/>
      </w:r>
      <w:r w:rsidRPr="0078056B">
        <w:t xml:space="preserve"> For a breakdown of the results by gender, again see Annex </w:t>
      </w:r>
      <w:r w:rsidRPr="0078056B">
        <w:fldChar w:fldCharType="begin"/>
      </w:r>
      <w:r w:rsidRPr="0078056B">
        <w:instrText xml:space="preserve"> REF _Ref143873700 \r \h </w:instrText>
      </w:r>
      <w:r w:rsidR="00935E7D" w:rsidRPr="0078056B">
        <w:instrText xml:space="preserve"> \* MERGEFORMAT </w:instrText>
      </w:r>
      <w:r w:rsidRPr="0078056B">
        <w:fldChar w:fldCharType="separate"/>
      </w:r>
      <w:r w:rsidR="00E33157">
        <w:t>A2.3.8</w:t>
      </w:r>
      <w:r w:rsidRPr="0078056B">
        <w:fldChar w:fldCharType="end"/>
      </w:r>
      <w:r w:rsidRPr="0078056B">
        <w:t xml:space="preserve">. </w:t>
      </w:r>
    </w:p>
  </w:footnote>
  <w:footnote w:id="45">
    <w:p w14:paraId="201CA56E" w14:textId="40525163" w:rsidR="003A6119" w:rsidRPr="0078056B" w:rsidRDefault="003A6119" w:rsidP="001B223C">
      <w:pPr>
        <w:pStyle w:val="FootnoteText"/>
        <w:tabs>
          <w:tab w:val="left" w:pos="6237"/>
        </w:tabs>
        <w:spacing w:before="0"/>
        <w:rPr>
          <w:rFonts w:asciiTheme="minorHAnsi" w:hAnsiTheme="minorHAnsi"/>
          <w:szCs w:val="16"/>
        </w:rPr>
      </w:pPr>
      <w:r w:rsidRPr="0078056B">
        <w:rPr>
          <w:rStyle w:val="FootnoteReference"/>
          <w:rFonts w:asciiTheme="minorHAnsi" w:hAnsiTheme="minorHAnsi"/>
        </w:rPr>
        <w:footnoteRef/>
      </w:r>
      <w:r w:rsidRPr="0078056B">
        <w:rPr>
          <w:rFonts w:asciiTheme="minorHAnsi" w:hAnsiTheme="minorHAnsi"/>
          <w:szCs w:val="16"/>
        </w:rPr>
        <w:t xml:space="preserve"> The analysis is based on an average age at graduation of 21 for students undertaking full-time first degrees at </w:t>
      </w:r>
      <w:r w:rsidRPr="0078056B">
        <w:t xml:space="preserve">the University of Birmingham </w:t>
      </w:r>
      <w:r w:rsidRPr="0078056B">
        <w:rPr>
          <w:rFonts w:asciiTheme="minorHAnsi" w:hAnsiTheme="minorHAnsi"/>
          <w:szCs w:val="16"/>
        </w:rPr>
        <w:t xml:space="preserve">in the 2021-22 cohort (also see Annex </w:t>
      </w:r>
      <w:r w:rsidRPr="0078056B">
        <w:rPr>
          <w:rFonts w:asciiTheme="minorHAnsi" w:hAnsiTheme="minorHAnsi"/>
          <w:szCs w:val="16"/>
        </w:rPr>
        <w:fldChar w:fldCharType="begin"/>
      </w:r>
      <w:r w:rsidRPr="0078056B">
        <w:rPr>
          <w:rFonts w:asciiTheme="minorHAnsi" w:hAnsiTheme="minorHAnsi"/>
          <w:szCs w:val="16"/>
        </w:rPr>
        <w:instrText xml:space="preserve"> REF _Ref143860198 \r \h </w:instrText>
      </w:r>
      <w:r w:rsidR="0078056B">
        <w:rPr>
          <w:rFonts w:asciiTheme="minorHAnsi" w:hAnsiTheme="minorHAnsi"/>
          <w:szCs w:val="16"/>
        </w:rPr>
        <w:instrText xml:space="preserve"> \* MERGEFORMAT </w:instrText>
      </w:r>
      <w:r w:rsidRPr="0078056B">
        <w:rPr>
          <w:rFonts w:asciiTheme="minorHAnsi" w:hAnsiTheme="minorHAnsi"/>
          <w:szCs w:val="16"/>
        </w:rPr>
      </w:r>
      <w:r w:rsidRPr="0078056B">
        <w:rPr>
          <w:rFonts w:asciiTheme="minorHAnsi" w:hAnsiTheme="minorHAnsi"/>
          <w:szCs w:val="16"/>
        </w:rPr>
        <w:fldChar w:fldCharType="separate"/>
      </w:r>
      <w:r w:rsidR="00E33157">
        <w:rPr>
          <w:rFonts w:asciiTheme="minorHAnsi" w:hAnsiTheme="minorHAnsi"/>
          <w:szCs w:val="16"/>
        </w:rPr>
        <w:t>A2.3.5</w:t>
      </w:r>
      <w:r w:rsidRPr="0078056B">
        <w:rPr>
          <w:rFonts w:asciiTheme="minorHAnsi" w:hAnsiTheme="minorHAnsi"/>
          <w:szCs w:val="16"/>
        </w:rPr>
        <w:fldChar w:fldCharType="end"/>
      </w:r>
      <w:r w:rsidRPr="0078056B">
        <w:rPr>
          <w:rFonts w:asciiTheme="minorHAnsi" w:hAnsiTheme="minorHAnsi"/>
          <w:szCs w:val="16"/>
        </w:rPr>
        <w:t xml:space="preserve"> for further information).</w:t>
      </w:r>
    </w:p>
  </w:footnote>
  <w:footnote w:id="46">
    <w:p w14:paraId="060337BE" w14:textId="4463CADD" w:rsidR="003A6119" w:rsidRPr="0078056B" w:rsidRDefault="003A6119" w:rsidP="001B223C">
      <w:pPr>
        <w:pStyle w:val="FootnoteText"/>
        <w:spacing w:before="0"/>
      </w:pPr>
      <w:r w:rsidRPr="0078056B">
        <w:rPr>
          <w:rStyle w:val="FootnoteReference"/>
        </w:rPr>
        <w:footnoteRef/>
      </w:r>
      <w:r w:rsidRPr="0078056B">
        <w:t xml:space="preserve"> As further outlined in Annex </w:t>
      </w:r>
      <w:r w:rsidRPr="0078056B">
        <w:fldChar w:fldCharType="begin"/>
      </w:r>
      <w:r w:rsidRPr="0078056B">
        <w:instrText xml:space="preserve"> REF _Ref454898098 \r \h </w:instrText>
      </w:r>
      <w:r w:rsidR="0078056B">
        <w:instrText xml:space="preserve"> \* MERGEFORMAT </w:instrText>
      </w:r>
      <w:r w:rsidRPr="0078056B">
        <w:fldChar w:fldCharType="separate"/>
      </w:r>
      <w:r w:rsidR="00E33157">
        <w:t>A2.3.3</w:t>
      </w:r>
      <w:r w:rsidRPr="0078056B">
        <w:fldChar w:fldCharType="end"/>
      </w:r>
      <w:r w:rsidRPr="0078056B">
        <w:t>, this predominantly includes 2 or more GCE ‘A’ levels (or equivalent qualifications). RQF refers to the Regulated Qualifications Framework used in England, Wales, and Northern Ireland.</w:t>
      </w:r>
    </w:p>
  </w:footnote>
  <w:footnote w:id="47">
    <w:p w14:paraId="447E3224" w14:textId="77777777" w:rsidR="003A6119" w:rsidRPr="0078056B" w:rsidRDefault="003A6119" w:rsidP="001B223C">
      <w:pPr>
        <w:pStyle w:val="FootnoteText"/>
        <w:spacing w:before="0"/>
        <w:rPr>
          <w:rFonts w:asciiTheme="minorHAnsi" w:hAnsiTheme="minorHAnsi"/>
          <w:szCs w:val="16"/>
        </w:rPr>
      </w:pPr>
      <w:r w:rsidRPr="0078056B">
        <w:rPr>
          <w:rStyle w:val="FootnoteReference"/>
          <w:rFonts w:asciiTheme="minorHAnsi" w:hAnsiTheme="minorHAnsi"/>
        </w:rPr>
        <w:footnoteRef/>
      </w:r>
      <w:r w:rsidRPr="0078056B">
        <w:rPr>
          <w:rFonts w:asciiTheme="minorHAnsi" w:hAnsiTheme="minorHAnsi"/>
          <w:szCs w:val="16"/>
        </w:rPr>
        <w:t xml:space="preserve"> This is based on an average age at graduation in the 2021-22 cohort of 24 for full-time higher degree (taught) students and 31 for full-time higher degree (research) students.</w:t>
      </w:r>
    </w:p>
  </w:footnote>
  <w:footnote w:id="48">
    <w:p w14:paraId="385658CF" w14:textId="618EF51D" w:rsidR="003A6119" w:rsidRPr="0078056B" w:rsidRDefault="003A6119" w:rsidP="001B223C">
      <w:pPr>
        <w:pStyle w:val="FootnoteText"/>
        <w:spacing w:before="0"/>
      </w:pPr>
      <w:r w:rsidRPr="0078056B">
        <w:rPr>
          <w:rStyle w:val="FootnoteReference"/>
        </w:rPr>
        <w:footnoteRef/>
      </w:r>
      <w:r w:rsidRPr="0078056B">
        <w:t xml:space="preserve"> Again, see Annex </w:t>
      </w:r>
      <w:r w:rsidRPr="0078056B">
        <w:fldChar w:fldCharType="begin"/>
      </w:r>
      <w:r w:rsidRPr="0078056B">
        <w:instrText xml:space="preserve"> REF _Ref143860198 \r \h </w:instrText>
      </w:r>
      <w:r w:rsidR="0078056B">
        <w:instrText xml:space="preserve"> \* MERGEFORMAT </w:instrText>
      </w:r>
      <w:r w:rsidRPr="0078056B">
        <w:fldChar w:fldCharType="separate"/>
      </w:r>
      <w:r w:rsidR="00E33157">
        <w:t>A2.3.5</w:t>
      </w:r>
      <w:r w:rsidRPr="0078056B">
        <w:fldChar w:fldCharType="end"/>
      </w:r>
      <w:r w:rsidRPr="0078056B">
        <w:t xml:space="preserve"> for more information.</w:t>
      </w:r>
    </w:p>
  </w:footnote>
  <w:footnote w:id="49">
    <w:p w14:paraId="6399CCD9" w14:textId="77777777" w:rsidR="003A6119" w:rsidRPr="0078056B" w:rsidRDefault="003A6119" w:rsidP="001B223C">
      <w:pPr>
        <w:pStyle w:val="FootnoteText"/>
        <w:spacing w:before="0"/>
      </w:pPr>
      <w:r w:rsidRPr="0078056B">
        <w:rPr>
          <w:rStyle w:val="FootnoteReference"/>
        </w:rPr>
        <w:footnoteRef/>
      </w:r>
      <w:r w:rsidRPr="0078056B">
        <w:t xml:space="preserve"> As well as for postgraduate research qualifications.</w:t>
      </w:r>
    </w:p>
  </w:footnote>
  <w:footnote w:id="50">
    <w:p w14:paraId="6960DEF5" w14:textId="77777777" w:rsidR="009963E3" w:rsidRPr="0078056B" w:rsidRDefault="009963E3" w:rsidP="001B223C">
      <w:pPr>
        <w:pStyle w:val="FootnoteText"/>
        <w:spacing w:before="0"/>
      </w:pPr>
      <w:r w:rsidRPr="0078056B">
        <w:rPr>
          <w:rStyle w:val="FootnoteReference"/>
        </w:rPr>
        <w:footnoteRef/>
      </w:r>
      <w:r w:rsidRPr="0078056B">
        <w:t xml:space="preserve"> These sources include data on school (National Pupil Database, NPD), further education (Individualised Learner Record, ILR) and higher education (Higher Education Statistical Agency, HESA) participation and attainment with information on earnings, employments, and benefits records from administrative data sources (HM Revenue and Customs P14, P45 and self-assessment data (covering both employees and self-employed individuals), and the National Benefits Database from the Department for Work and Pensions).</w:t>
      </w:r>
    </w:p>
  </w:footnote>
  <w:footnote w:id="51">
    <w:p w14:paraId="44563A71" w14:textId="759868A7" w:rsidR="009963E3" w:rsidRPr="0078056B" w:rsidRDefault="009963E3" w:rsidP="001B223C">
      <w:pPr>
        <w:pStyle w:val="FootnoteText"/>
        <w:spacing w:before="0"/>
      </w:pPr>
      <w:r w:rsidRPr="0078056B">
        <w:rPr>
          <w:rStyle w:val="FootnoteReference"/>
        </w:rPr>
        <w:footnoteRef/>
      </w:r>
      <w:r w:rsidRPr="0078056B">
        <w:t xml:space="preserve"> Note that institutions from Northern Ireland are not covered by the LEO data and are therefore excluded from this analysis. Additionally, to avoid distortion by very small </w:t>
      </w:r>
      <w:r w:rsidR="00BE0E9E" w:rsidRPr="0078056B">
        <w:t>providers,</w:t>
      </w:r>
      <w:r w:rsidRPr="0078056B">
        <w:t xml:space="preserve"> those with </w:t>
      </w:r>
      <w:r w:rsidR="00BE0E9E" w:rsidRPr="0078056B">
        <w:t>fewer</w:t>
      </w:r>
      <w:r w:rsidRPr="0078056B">
        <w:t xml:space="preserve"> than 100 graduates have been excluded from rankings and averages across higher education </w:t>
      </w:r>
      <w:r w:rsidR="00EA496A" w:rsidRPr="0078056B">
        <w:t>institutions</w:t>
      </w:r>
      <w:r w:rsidRPr="0078056B">
        <w:t>.</w:t>
      </w:r>
    </w:p>
  </w:footnote>
  <w:footnote w:id="52">
    <w:p w14:paraId="705D75F8" w14:textId="77777777" w:rsidR="00BA21C3" w:rsidRPr="0078056B" w:rsidRDefault="00BA21C3" w:rsidP="001B223C">
      <w:pPr>
        <w:pStyle w:val="FootnoteText"/>
        <w:spacing w:before="0"/>
      </w:pPr>
      <w:r w:rsidRPr="0078056B">
        <w:rPr>
          <w:rStyle w:val="FootnoteReference"/>
        </w:rPr>
        <w:footnoteRef/>
      </w:r>
      <w:r w:rsidRPr="0078056B">
        <w:t xml:space="preserve"> To be classified as being in sustained employment in a given tax year, a graduate must be in paid employment for at least one day in five out of six months between October and March of a given tax year.</w:t>
      </w:r>
    </w:p>
  </w:footnote>
  <w:footnote w:id="53">
    <w:p w14:paraId="383BB447" w14:textId="789662AE" w:rsidR="0078624E" w:rsidRPr="0078056B" w:rsidRDefault="0078624E" w:rsidP="001B223C">
      <w:pPr>
        <w:pStyle w:val="FootnoteText"/>
        <w:spacing w:before="0"/>
      </w:pPr>
      <w:r w:rsidRPr="0078056B">
        <w:rPr>
          <w:rStyle w:val="FootnoteReference"/>
        </w:rPr>
        <w:footnoteRef/>
      </w:r>
      <w:r w:rsidRPr="0078056B">
        <w:t xml:space="preserve"> This comparison excludes further education colleges and alternative providers.</w:t>
      </w:r>
    </w:p>
  </w:footnote>
  <w:footnote w:id="54">
    <w:p w14:paraId="34DBCC85" w14:textId="017A87C5" w:rsidR="005F68A5" w:rsidRPr="0078056B" w:rsidRDefault="005F68A5" w:rsidP="001B223C">
      <w:pPr>
        <w:pStyle w:val="FootnoteText"/>
        <w:spacing w:before="0"/>
      </w:pPr>
      <w:r w:rsidRPr="0078056B">
        <w:rPr>
          <w:rStyle w:val="FootnoteReference"/>
        </w:rPr>
        <w:footnoteRef/>
      </w:r>
      <w:r w:rsidRPr="0078056B">
        <w:t xml:space="preserve"> As above, note that the figures provided do not control for graduate characteristics (most notably, subject of study), so differences across HEIs and sexes are likely to be driven by those characteristics.</w:t>
      </w:r>
    </w:p>
  </w:footnote>
  <w:footnote w:id="55">
    <w:p w14:paraId="7853CDFC" w14:textId="08C721FE" w:rsidR="00B91716" w:rsidRPr="0078056B" w:rsidRDefault="00B91716" w:rsidP="001B223C">
      <w:pPr>
        <w:pStyle w:val="FootnoteText"/>
        <w:spacing w:before="0"/>
      </w:pPr>
      <w:r w:rsidRPr="0078056B">
        <w:rPr>
          <w:rStyle w:val="FootnoteReference"/>
        </w:rPr>
        <w:footnoteRef/>
      </w:r>
      <w:r w:rsidRPr="0078056B">
        <w:t xml:space="preserve"> Note that other types of export income accrued directly by the University of Birmingham (such as research income from international sources, or any other income received from non-UK sources) are accounted for in our analysis of the impact of the University’s research activity (Section </w:t>
      </w:r>
      <w:r w:rsidR="009C1A8D" w:rsidRPr="0078056B">
        <w:fldChar w:fldCharType="begin"/>
      </w:r>
      <w:r w:rsidR="009C1A8D" w:rsidRPr="0078056B">
        <w:instrText xml:space="preserve"> REF _Ref162272695 \r \h  \* MERGEFORMAT </w:instrText>
      </w:r>
      <w:r w:rsidR="009C1A8D" w:rsidRPr="0078056B">
        <w:fldChar w:fldCharType="separate"/>
      </w:r>
      <w:r w:rsidR="00E33157">
        <w:t>2.1</w:t>
      </w:r>
      <w:r w:rsidR="009C1A8D" w:rsidRPr="0078056B">
        <w:fldChar w:fldCharType="end"/>
      </w:r>
      <w:r w:rsidRPr="0078056B">
        <w:t xml:space="preserve">) and the impact of the expenditures of the University (Section </w:t>
      </w:r>
      <w:r w:rsidR="009C1A8D" w:rsidRPr="0078056B">
        <w:fldChar w:fldCharType="begin"/>
      </w:r>
      <w:r w:rsidR="009C1A8D" w:rsidRPr="0078056B">
        <w:instrText xml:space="preserve"> REF _Ref162251984 \r \h  \* MERGEFORMAT </w:instrText>
      </w:r>
      <w:r w:rsidR="009C1A8D" w:rsidRPr="0078056B">
        <w:fldChar w:fldCharType="separate"/>
      </w:r>
      <w:r w:rsidR="00E33157">
        <w:t>5</w:t>
      </w:r>
      <w:r w:rsidR="009C1A8D" w:rsidRPr="0078056B">
        <w:fldChar w:fldCharType="end"/>
      </w:r>
      <w:r w:rsidRPr="0078056B">
        <w:t xml:space="preserve">) , and are thus excluded from the analysis of exports to avoid double-counting. </w:t>
      </w:r>
    </w:p>
  </w:footnote>
  <w:footnote w:id="56">
    <w:p w14:paraId="42123B8D" w14:textId="0E44E047" w:rsidR="00B91716" w:rsidRPr="0078056B" w:rsidRDefault="00B91716" w:rsidP="001B223C">
      <w:pPr>
        <w:pStyle w:val="FootnoteText"/>
        <w:spacing w:before="0"/>
      </w:pPr>
      <w:r w:rsidRPr="0078056B">
        <w:rPr>
          <w:rStyle w:val="FootnoteReference"/>
        </w:rPr>
        <w:footnoteRef/>
      </w:r>
      <w:r w:rsidRPr="0078056B">
        <w:t xml:space="preserve"> Our analysis excludes any similar direct, indirect, and induced effects associated with the non-fee expenditures of </w:t>
      </w:r>
      <w:r w:rsidRPr="0078056B">
        <w:rPr>
          <w:i/>
          <w:iCs/>
        </w:rPr>
        <w:t xml:space="preserve">UK </w:t>
      </w:r>
      <w:r w:rsidRPr="0078056B">
        <w:t xml:space="preserve">domiciled students. In this respect, we (conservatively) assume that these expenditures are </w:t>
      </w:r>
      <w:r w:rsidRPr="0078056B">
        <w:rPr>
          <w:i/>
          <w:iCs/>
        </w:rPr>
        <w:t>not</w:t>
      </w:r>
      <w:r w:rsidRPr="0078056B">
        <w:t xml:space="preserve"> additional to the UK economy (i.e. that they would likely have occurred even if these students had not enrolled in programmes at the University of Birmingham). The economic impact associated with UK students’ tuition fee expenditures is instead (implicitly) included in the estimated direct, indirect, and induced impacts associated with the University of Birmingham’s own expenditures</w:t>
      </w:r>
      <w:r w:rsidR="009C1A8D" w:rsidRPr="0078056B">
        <w:t xml:space="preserve"> (Section </w:t>
      </w:r>
      <w:r w:rsidR="009C1A8D" w:rsidRPr="0078056B">
        <w:fldChar w:fldCharType="begin"/>
      </w:r>
      <w:r w:rsidR="009C1A8D" w:rsidRPr="0078056B">
        <w:instrText xml:space="preserve"> REF _Ref162251984 \r \h  \* MERGEFORMAT </w:instrText>
      </w:r>
      <w:r w:rsidR="009C1A8D" w:rsidRPr="0078056B">
        <w:fldChar w:fldCharType="separate"/>
      </w:r>
      <w:r w:rsidR="00E33157">
        <w:t>5</w:t>
      </w:r>
      <w:r w:rsidR="009C1A8D" w:rsidRPr="0078056B">
        <w:fldChar w:fldCharType="end"/>
      </w:r>
      <w:r w:rsidR="009C1A8D" w:rsidRPr="0078056B">
        <w:t>)</w:t>
      </w:r>
      <w:r w:rsidRPr="0078056B">
        <w:t xml:space="preserve">. </w:t>
      </w:r>
    </w:p>
  </w:footnote>
  <w:footnote w:id="57">
    <w:p w14:paraId="50836591" w14:textId="158E13A6" w:rsidR="00B91716" w:rsidRPr="0078056B" w:rsidRDefault="00B91716" w:rsidP="001B223C">
      <w:pPr>
        <w:pStyle w:val="FootnoteText"/>
        <w:spacing w:before="0"/>
      </w:pPr>
      <w:r w:rsidRPr="0078056B">
        <w:rPr>
          <w:rStyle w:val="FootnoteReference"/>
        </w:rPr>
        <w:footnoteRef/>
      </w:r>
      <w:r w:rsidRPr="0078056B">
        <w:t xml:space="preserve"> For more detailed information on the University of Birmingham’s 2021-22 cohort of non-UK domiciled students, please refer to Annex </w:t>
      </w:r>
      <w:r w:rsidR="00213F8C" w:rsidRPr="0078056B">
        <w:fldChar w:fldCharType="begin"/>
      </w:r>
      <w:r w:rsidR="00213F8C" w:rsidRPr="0078056B">
        <w:instrText xml:space="preserve"> REF _Ref162272657 \r \h  \* MERGEFORMAT </w:instrText>
      </w:r>
      <w:r w:rsidR="00213F8C" w:rsidRPr="0078056B">
        <w:fldChar w:fldCharType="separate"/>
      </w:r>
      <w:r w:rsidR="00E33157">
        <w:t>A2.4.2</w:t>
      </w:r>
      <w:r w:rsidR="00213F8C" w:rsidRPr="0078056B">
        <w:fldChar w:fldCharType="end"/>
      </w:r>
      <w:r w:rsidRPr="0078056B">
        <w:t>.</w:t>
      </w:r>
    </w:p>
  </w:footnote>
  <w:footnote w:id="58">
    <w:p w14:paraId="2749E9A6" w14:textId="54873A2E" w:rsidR="004653C8" w:rsidRPr="0078056B" w:rsidRDefault="004653C8" w:rsidP="001B223C">
      <w:pPr>
        <w:pStyle w:val="FootnoteText"/>
        <w:spacing w:before="0"/>
      </w:pPr>
      <w:r w:rsidRPr="0078056B">
        <w:rPr>
          <w:rStyle w:val="FootnoteReference"/>
        </w:rPr>
        <w:footnoteRef/>
      </w:r>
      <w:r w:rsidRPr="0078056B">
        <w:t xml:space="preserve"> I.e. Aston University, Birmingham City University, Newman University, University College Birmingham and the University of Birmingham.</w:t>
      </w:r>
    </w:p>
  </w:footnote>
  <w:footnote w:id="59">
    <w:p w14:paraId="17D13782" w14:textId="5D8C2664" w:rsidR="00B91716" w:rsidRPr="0078056B" w:rsidRDefault="00B91716" w:rsidP="001B223C">
      <w:pPr>
        <w:pStyle w:val="FootnoteText"/>
        <w:spacing w:before="0"/>
        <w:rPr>
          <w:rFonts w:asciiTheme="minorHAnsi" w:hAnsiTheme="minorHAnsi" w:cstheme="minorHAnsi"/>
          <w:szCs w:val="16"/>
        </w:rPr>
      </w:pPr>
      <w:r w:rsidRPr="0078056B">
        <w:rPr>
          <w:rStyle w:val="FootnoteReference"/>
        </w:rPr>
        <w:footnoteRef/>
      </w:r>
      <w:r w:rsidRPr="0078056B">
        <w:t xml:space="preserve"> As in the analysis of the University of Birmingham’s teaching and learning activities (see </w:t>
      </w:r>
      <w:r w:rsidR="009F3266" w:rsidRPr="0078056B">
        <w:t xml:space="preserve">Annex </w:t>
      </w:r>
      <w:r w:rsidR="009F3266" w:rsidRPr="0078056B">
        <w:fldChar w:fldCharType="begin"/>
      </w:r>
      <w:r w:rsidR="009F3266" w:rsidRPr="0078056B">
        <w:instrText xml:space="preserve"> REF _Ref144285705 \r \h  \* MERGEFORMAT </w:instrText>
      </w:r>
      <w:r w:rsidR="009F3266" w:rsidRPr="0078056B">
        <w:fldChar w:fldCharType="separate"/>
      </w:r>
      <w:r w:rsidR="00E33157">
        <w:t>A2.3.7</w:t>
      </w:r>
      <w:r w:rsidR="009F3266" w:rsidRPr="0078056B">
        <w:fldChar w:fldCharType="end"/>
      </w:r>
      <w:r w:rsidRPr="0078056B">
        <w:t xml:space="preserve">), </w:t>
      </w:r>
      <w:r w:rsidR="009F3266" w:rsidRPr="0078056B">
        <w:rPr>
          <w:rFonts w:asciiTheme="minorHAnsi" w:hAnsiTheme="minorHAnsi"/>
          <w:szCs w:val="16"/>
        </w:rPr>
        <w:t>we made use of information provided by the University of Birmingham on the average tuition fees charged per student at the University of Birmingham in the 2021-22 academic year, separately by domicile, study level and study mode</w:t>
      </w:r>
      <w:r w:rsidR="009F3266" w:rsidRPr="0078056B">
        <w:rPr>
          <w:rFonts w:asciiTheme="minorHAnsi" w:hAnsiTheme="minorHAnsi" w:cstheme="minorHAnsi"/>
          <w:szCs w:val="16"/>
        </w:rPr>
        <w:t>. D</w:t>
      </w:r>
      <w:r w:rsidR="009F3266" w:rsidRPr="0078056B">
        <w:rPr>
          <w:rFonts w:asciiTheme="minorHAnsi" w:hAnsiTheme="minorHAnsi"/>
          <w:szCs w:val="16"/>
        </w:rPr>
        <w:t xml:space="preserve">ata was provided for all undergraduate students combined, postgraduate (taught) students, and postgraduate (research) students. We assume that students undertaking learning at ‘other postgraduate’ level are included in the postgraduate (taught) category. </w:t>
      </w:r>
      <w:r w:rsidRPr="0078056B">
        <w:rPr>
          <w:rFonts w:asciiTheme="minorHAnsi" w:hAnsiTheme="minorHAnsi" w:cstheme="minorHAnsi"/>
          <w:szCs w:val="16"/>
        </w:rPr>
        <w:t xml:space="preserve"> More information on the derivation of the average fee waiver per student is provided in </w:t>
      </w:r>
      <w:r w:rsidR="009F3266" w:rsidRPr="0078056B">
        <w:t xml:space="preserve">Annex </w:t>
      </w:r>
      <w:r w:rsidR="009F3266" w:rsidRPr="0078056B">
        <w:fldChar w:fldCharType="begin"/>
      </w:r>
      <w:r w:rsidR="009F3266" w:rsidRPr="0078056B">
        <w:instrText xml:space="preserve"> REF _Ref144285705 \r \h  \* MERGEFORMAT </w:instrText>
      </w:r>
      <w:r w:rsidR="009F3266" w:rsidRPr="0078056B">
        <w:fldChar w:fldCharType="separate"/>
      </w:r>
      <w:r w:rsidR="00E33157">
        <w:t>A2.3.7</w:t>
      </w:r>
      <w:r w:rsidR="009F3266" w:rsidRPr="0078056B">
        <w:fldChar w:fldCharType="end"/>
      </w:r>
      <w:r w:rsidRPr="0078056B">
        <w:rPr>
          <w:rFonts w:asciiTheme="minorHAnsi" w:hAnsiTheme="minorHAnsi" w:cstheme="minorHAnsi"/>
          <w:szCs w:val="16"/>
        </w:rPr>
        <w:t>.</w:t>
      </w:r>
    </w:p>
    <w:p w14:paraId="504B3A7C" w14:textId="5C1176FD" w:rsidR="00B91716" w:rsidRPr="0078056B" w:rsidRDefault="00B91716" w:rsidP="001B223C">
      <w:pPr>
        <w:pStyle w:val="FootnoteText"/>
        <w:spacing w:before="0"/>
      </w:pPr>
      <w:r w:rsidRPr="0078056B">
        <w:t xml:space="preserve">This approach was used to derive the estimated tuition fees per non-EU student (by study level and mode); as outlined in further detail in </w:t>
      </w:r>
      <w:r w:rsidR="00160B9E" w:rsidRPr="0078056B">
        <w:t xml:space="preserve">Annex </w:t>
      </w:r>
      <w:r w:rsidR="00160B9E" w:rsidRPr="0078056B">
        <w:fldChar w:fldCharType="begin"/>
      </w:r>
      <w:r w:rsidR="00160B9E" w:rsidRPr="0078056B">
        <w:instrText xml:space="preserve"> REF _Ref144478492 \r \h  \* MERGEFORMAT </w:instrText>
      </w:r>
      <w:r w:rsidR="00160B9E" w:rsidRPr="0078056B">
        <w:fldChar w:fldCharType="separate"/>
      </w:r>
      <w:r w:rsidR="00E33157">
        <w:t>A2.4.3</w:t>
      </w:r>
      <w:r w:rsidR="00160B9E" w:rsidRPr="0078056B">
        <w:fldChar w:fldCharType="end"/>
      </w:r>
      <w:r w:rsidRPr="0078056B">
        <w:t xml:space="preserve">, following the UK’s exit from the European Union, we assume that all EU students in the 2021-22 cohort were charged the same tuition fees as non-EU students (as EU students were generally no longer eligible for ‘home’ fee status). As a result, we apply the average non-EU fee rates to both non-EU </w:t>
      </w:r>
      <w:r w:rsidRPr="0078056B">
        <w:rPr>
          <w:i/>
          <w:iCs/>
        </w:rPr>
        <w:t xml:space="preserve">and </w:t>
      </w:r>
      <w:r w:rsidRPr="0078056B">
        <w:t xml:space="preserve">EU students (i.e. we assume the same fees per student per year for EU students as for non-EU students). </w:t>
      </w:r>
    </w:p>
  </w:footnote>
  <w:footnote w:id="60">
    <w:p w14:paraId="710F9317" w14:textId="3D65D42A" w:rsidR="00B91716" w:rsidRPr="0078056B" w:rsidRDefault="00B91716" w:rsidP="001B223C">
      <w:pPr>
        <w:pStyle w:val="FootnoteText"/>
        <w:spacing w:before="0"/>
      </w:pPr>
      <w:r w:rsidRPr="0078056B">
        <w:rPr>
          <w:rStyle w:val="FootnoteReference"/>
        </w:rPr>
        <w:footnoteRef/>
      </w:r>
      <w:r w:rsidRPr="0078056B">
        <w:t xml:space="preserve"> See </w:t>
      </w:r>
      <w:r w:rsidR="00160B9E" w:rsidRPr="0078056B">
        <w:rPr>
          <w:rFonts w:asciiTheme="minorHAnsi" w:hAnsiTheme="minorHAnsi" w:cstheme="minorHAnsi"/>
          <w:szCs w:val="16"/>
        </w:rPr>
        <w:t xml:space="preserve">Annex </w:t>
      </w:r>
      <w:r w:rsidR="00160B9E" w:rsidRPr="0078056B">
        <w:rPr>
          <w:rFonts w:asciiTheme="minorHAnsi" w:hAnsiTheme="minorHAnsi" w:cstheme="minorHAnsi"/>
          <w:szCs w:val="16"/>
        </w:rPr>
        <w:fldChar w:fldCharType="begin"/>
      </w:r>
      <w:r w:rsidR="00160B9E" w:rsidRPr="0078056B">
        <w:rPr>
          <w:rFonts w:asciiTheme="minorHAnsi" w:hAnsiTheme="minorHAnsi" w:cstheme="minorHAnsi"/>
          <w:szCs w:val="16"/>
        </w:rPr>
        <w:instrText xml:space="preserve"> REF _Ref162254768 \r \h  \* MERGEFORMAT </w:instrText>
      </w:r>
      <w:r w:rsidR="00160B9E" w:rsidRPr="0078056B">
        <w:rPr>
          <w:rFonts w:asciiTheme="minorHAnsi" w:hAnsiTheme="minorHAnsi" w:cstheme="minorHAnsi"/>
          <w:szCs w:val="16"/>
        </w:rPr>
      </w:r>
      <w:r w:rsidR="00160B9E" w:rsidRPr="0078056B">
        <w:rPr>
          <w:rFonts w:asciiTheme="minorHAnsi" w:hAnsiTheme="minorHAnsi" w:cstheme="minorHAnsi"/>
          <w:szCs w:val="16"/>
        </w:rPr>
        <w:fldChar w:fldCharType="separate"/>
      </w:r>
      <w:r w:rsidR="00E33157">
        <w:rPr>
          <w:rFonts w:asciiTheme="minorHAnsi" w:hAnsiTheme="minorHAnsi" w:cstheme="minorHAnsi"/>
          <w:szCs w:val="16"/>
        </w:rPr>
        <w:t>A2.3</w:t>
      </w:r>
      <w:r w:rsidR="00160B9E" w:rsidRPr="0078056B">
        <w:rPr>
          <w:rFonts w:asciiTheme="minorHAnsi" w:hAnsiTheme="minorHAnsi" w:cstheme="minorHAnsi"/>
          <w:szCs w:val="16"/>
        </w:rPr>
        <w:fldChar w:fldCharType="end"/>
      </w:r>
      <w:r w:rsidRPr="0078056B">
        <w:t xml:space="preserve"> for more information on our assumptions in relation to fee waivers and bursaries.</w:t>
      </w:r>
    </w:p>
  </w:footnote>
  <w:footnote w:id="61">
    <w:p w14:paraId="7D8AD6B5" w14:textId="55AD04C1" w:rsidR="00B91716" w:rsidRPr="0078056B" w:rsidRDefault="00B91716" w:rsidP="001B223C">
      <w:pPr>
        <w:pStyle w:val="FootnoteText"/>
        <w:spacing w:before="0"/>
      </w:pPr>
      <w:r w:rsidRPr="0078056B">
        <w:rPr>
          <w:rStyle w:val="FootnoteReference"/>
        </w:rPr>
        <w:footnoteRef/>
      </w:r>
      <w:r w:rsidRPr="0078056B">
        <w:t xml:space="preserve"> For information on the estimated levels of net fee income per student, please refer to Annex </w:t>
      </w:r>
      <w:r w:rsidR="00E35AF2" w:rsidRPr="0078056B">
        <w:fldChar w:fldCharType="begin"/>
      </w:r>
      <w:r w:rsidR="00E35AF2" w:rsidRPr="0078056B">
        <w:instrText xml:space="preserve"> REF _Ref146709926 \r \h  \* MERGEFORMAT </w:instrText>
      </w:r>
      <w:r w:rsidR="00E35AF2" w:rsidRPr="0078056B">
        <w:fldChar w:fldCharType="separate"/>
      </w:r>
      <w:r w:rsidR="00E33157">
        <w:t>A2.4.3</w:t>
      </w:r>
      <w:r w:rsidR="00E35AF2" w:rsidRPr="0078056B">
        <w:fldChar w:fldCharType="end"/>
      </w:r>
      <w:r w:rsidRPr="0078056B">
        <w:t>.</w:t>
      </w:r>
    </w:p>
  </w:footnote>
  <w:footnote w:id="62">
    <w:p w14:paraId="299BEBC5" w14:textId="2BFD3992" w:rsidR="006A7CF8" w:rsidRPr="0078056B" w:rsidRDefault="006A7CF8" w:rsidP="001B223C">
      <w:pPr>
        <w:pStyle w:val="FootnoteText"/>
        <w:spacing w:before="0"/>
      </w:pPr>
      <w:r w:rsidRPr="0078056B">
        <w:rPr>
          <w:rStyle w:val="FootnoteReference"/>
        </w:rPr>
        <w:footnoteRef/>
      </w:r>
      <w:r w:rsidRPr="0078056B">
        <w:t xml:space="preserve"> For more information on the impact of Brexit on fees and funding for EU students, please refer to Annex </w:t>
      </w:r>
      <w:r w:rsidRPr="0078056B">
        <w:fldChar w:fldCharType="begin"/>
      </w:r>
      <w:r w:rsidRPr="0078056B">
        <w:instrText xml:space="preserve"> REF _Ref162272902 \r \h  \* MERGEFORMAT </w:instrText>
      </w:r>
      <w:r w:rsidRPr="0078056B">
        <w:fldChar w:fldCharType="separate"/>
      </w:r>
      <w:r w:rsidR="00E33157">
        <w:t>A2.4.1</w:t>
      </w:r>
      <w:r w:rsidRPr="0078056B">
        <w:fldChar w:fldCharType="end"/>
      </w:r>
      <w:r w:rsidRPr="0078056B">
        <w:t>.</w:t>
      </w:r>
    </w:p>
  </w:footnote>
  <w:footnote w:id="63">
    <w:p w14:paraId="28B81941" w14:textId="77777777" w:rsidR="00B91716" w:rsidRPr="0078056B" w:rsidRDefault="00B91716" w:rsidP="001B223C">
      <w:pPr>
        <w:pStyle w:val="FootnoteText"/>
        <w:spacing w:before="0"/>
      </w:pPr>
      <w:r w:rsidRPr="0078056B">
        <w:rPr>
          <w:rStyle w:val="FootnoteReference"/>
        </w:rPr>
        <w:footnoteRef/>
      </w:r>
      <w:r w:rsidRPr="0078056B">
        <w:t xml:space="preserve"> See Institute for Employment Studies &amp; National Centre for Social Research (2023).</w:t>
      </w:r>
    </w:p>
  </w:footnote>
  <w:footnote w:id="64">
    <w:p w14:paraId="39AD9573" w14:textId="77777777" w:rsidR="00B91716" w:rsidRPr="0078056B" w:rsidRDefault="00B91716" w:rsidP="001B223C">
      <w:pPr>
        <w:pStyle w:val="FootnoteText"/>
        <w:spacing w:before="0"/>
        <w:rPr>
          <w:rFonts w:eastAsia="Times New Roman" w:cs="Microsoft Sans Serif"/>
          <w:b/>
          <w:color w:val="06357A"/>
          <w:sz w:val="18"/>
          <w:szCs w:val="18"/>
        </w:rPr>
      </w:pPr>
      <w:r w:rsidRPr="0078056B">
        <w:rPr>
          <w:rStyle w:val="FootnoteReference"/>
        </w:rPr>
        <w:footnoteRef/>
      </w:r>
      <w:r w:rsidRPr="0078056B">
        <w:t xml:space="preserve"> Specifically, following the approach undertaken by Oxford Economics (2017) in analysing the collective economic impact of all UK higher education institutions in 2014-15, we assume </w:t>
      </w:r>
      <w:r w:rsidRPr="0078056B">
        <w:rPr>
          <w:szCs w:val="16"/>
        </w:rPr>
        <w:t xml:space="preserve">that </w:t>
      </w:r>
      <w:r w:rsidRPr="0078056B">
        <w:rPr>
          <w:rFonts w:eastAsia="Times New Roman" w:cs="Microsoft Sans Serif"/>
          <w:b/>
          <w:color w:val="06357A"/>
          <w:szCs w:val="16"/>
        </w:rPr>
        <w:t xml:space="preserve">10% </w:t>
      </w:r>
      <w:r w:rsidRPr="0078056B">
        <w:rPr>
          <w:szCs w:val="16"/>
        </w:rPr>
        <w:t>of students’ non-tuition fee expenditures are spent on campus (i.e. are accrued as income by the University of Birmingham itself).</w:t>
      </w:r>
    </w:p>
  </w:footnote>
  <w:footnote w:id="65">
    <w:p w14:paraId="534B3784" w14:textId="1E2D0C01" w:rsidR="00B91716" w:rsidRPr="0078056B" w:rsidRDefault="00B91716" w:rsidP="001B223C">
      <w:pPr>
        <w:pStyle w:val="FootnoteText"/>
        <w:spacing w:before="0"/>
      </w:pPr>
      <w:r w:rsidRPr="0078056B">
        <w:rPr>
          <w:rStyle w:val="FootnoteReference"/>
        </w:rPr>
        <w:footnoteRef/>
      </w:r>
      <w:r w:rsidRPr="0078056B">
        <w:t xml:space="preserve"> These adjustments are based on the approach outlined by the Department for Business, Innovation and Skills (2011b) in estimating the value of educational exports to the UK economy. For more information, please refer to Annex </w:t>
      </w:r>
      <w:r w:rsidR="00163F53" w:rsidRPr="0078056B">
        <w:fldChar w:fldCharType="begin"/>
      </w:r>
      <w:r w:rsidR="00163F53" w:rsidRPr="0078056B">
        <w:instrText xml:space="preserve"> REF _Ref146710731 \r \h  \* MERGEFORMAT </w:instrText>
      </w:r>
      <w:r w:rsidR="00163F53" w:rsidRPr="0078056B">
        <w:fldChar w:fldCharType="separate"/>
      </w:r>
      <w:r w:rsidR="00E33157">
        <w:t>A2.4.4</w:t>
      </w:r>
      <w:r w:rsidR="00163F53" w:rsidRPr="0078056B">
        <w:fldChar w:fldCharType="end"/>
      </w:r>
      <w:r w:rsidRPr="0078056B">
        <w:t>.</w:t>
      </w:r>
    </w:p>
  </w:footnote>
  <w:footnote w:id="66">
    <w:p w14:paraId="079D9B86" w14:textId="4144E860" w:rsidR="00B91716" w:rsidRPr="0078056B" w:rsidRDefault="00B91716" w:rsidP="001B223C">
      <w:pPr>
        <w:pStyle w:val="FootnoteText"/>
        <w:spacing w:before="0"/>
      </w:pPr>
      <w:r w:rsidRPr="0078056B">
        <w:rPr>
          <w:rStyle w:val="FootnoteReference"/>
        </w:rPr>
        <w:footnoteRef/>
      </w:r>
      <w:r w:rsidRPr="0078056B">
        <w:t xml:space="preserve"> For information on the estimated levels of non-tuition fee income per student, please refer to Annex </w:t>
      </w:r>
      <w:r w:rsidR="00163F53" w:rsidRPr="0078056B">
        <w:fldChar w:fldCharType="begin"/>
      </w:r>
      <w:r w:rsidR="00163F53" w:rsidRPr="0078056B">
        <w:instrText xml:space="preserve"> REF _Ref146710741 \r \h  \* MERGEFORMAT </w:instrText>
      </w:r>
      <w:r w:rsidR="00163F53" w:rsidRPr="0078056B">
        <w:fldChar w:fldCharType="separate"/>
      </w:r>
      <w:r w:rsidR="00E33157">
        <w:t>A2.4.5</w:t>
      </w:r>
      <w:r w:rsidR="00163F53" w:rsidRPr="0078056B">
        <w:fldChar w:fldCharType="end"/>
      </w:r>
      <w:r w:rsidRPr="0078056B">
        <w:t>.</w:t>
      </w:r>
    </w:p>
  </w:footnote>
  <w:footnote w:id="67">
    <w:p w14:paraId="44640B9E" w14:textId="77777777" w:rsidR="00B91716" w:rsidRPr="0078056B" w:rsidRDefault="00B91716" w:rsidP="001B223C">
      <w:pPr>
        <w:pStyle w:val="FootnoteText"/>
        <w:spacing w:before="0"/>
      </w:pPr>
      <w:r w:rsidRPr="0078056B">
        <w:rPr>
          <w:rStyle w:val="FootnoteReference"/>
        </w:rPr>
        <w:footnoteRef/>
      </w:r>
      <w:r w:rsidRPr="0078056B">
        <w:t xml:space="preserve"> To estimate the direct GVA and employment associated with the (net) tuition fee income generated by the University of Birmingham’s international students, we multiplied this income by the average ratio of GVA to output and FTE employees to output within the West Midlands’s government, health, and education sector as a whole (again based on the above-described multi-regional Input-Output model). To estimate the direct GVA and employment associated with the non-tuition fee income generated by the University of Birmingham’s international students, we instead multiplied this income by the average ratio of GVA to output and FTE employees to output associated with the expenditure of households located in the West Midlands (again based on the multi-regional Input-Output model). In other words, we assume that the non-tuition fee expenditures of the University of Birmingham’s international students support the same levels of GVA and employment (in relative/proportionate terms) as the expenditure of households located in the West Midlands more generally. </w:t>
      </w:r>
    </w:p>
  </w:footnote>
  <w:footnote w:id="68">
    <w:p w14:paraId="4D1E7F1E" w14:textId="77777777" w:rsidR="00B91716" w:rsidRPr="0078056B" w:rsidRDefault="00B91716" w:rsidP="001B223C">
      <w:pPr>
        <w:pStyle w:val="FootnoteText"/>
        <w:spacing w:before="0"/>
      </w:pPr>
      <w:r w:rsidRPr="0078056B">
        <w:rPr>
          <w:rStyle w:val="FootnoteReference"/>
        </w:rPr>
        <w:footnoteRef/>
      </w:r>
      <w:r w:rsidRPr="0078056B">
        <w:t xml:space="preserve"> This approach is based on the fact that the tuition fee income from international students is accrued by the University of Birmingham itself. In other words, we assume that the expenditure patterns of the University are the same as for other institutions operating in the West Midlands’s government, health, and education sector. Specifically, we apply these multipliers to the gross tuition fee income generated by international students in the 2021-22 University of Birmingham cohort, and then deduct the University’s cost of provision (i.e. the University of Birmingham’s fee waivers and bursaries) to arrive at the net direct, indirect and induced impact associated with this income.</w:t>
      </w:r>
    </w:p>
  </w:footnote>
  <w:footnote w:id="69">
    <w:p w14:paraId="25FF901F" w14:textId="77777777" w:rsidR="00B91716" w:rsidRPr="0078056B" w:rsidRDefault="00B91716" w:rsidP="001B223C">
      <w:pPr>
        <w:pStyle w:val="FootnoteText"/>
        <w:spacing w:before="0"/>
      </w:pPr>
      <w:r w:rsidRPr="0078056B">
        <w:rPr>
          <w:rStyle w:val="FootnoteReference"/>
        </w:rPr>
        <w:footnoteRef/>
      </w:r>
      <w:r w:rsidRPr="0078056B">
        <w:t xml:space="preserve"> In other words, for the purpose of applying relevant economic multipliers, we assume that international students studying at the University of Birmingham have similar expenditure patterns as households in the West Midlands more generally. To estimate these multipliers, we inserted a separate vector into the multi-regional Input-Output model, capturing the estimated final demand (again by industry and region) of households located in each region.</w:t>
      </w:r>
    </w:p>
  </w:footnote>
  <w:footnote w:id="70">
    <w:p w14:paraId="5848B027" w14:textId="37B896BC" w:rsidR="00B91716" w:rsidRPr="0078056B" w:rsidRDefault="00B91716" w:rsidP="001B223C">
      <w:pPr>
        <w:pStyle w:val="FootnoteText"/>
        <w:spacing w:before="0"/>
      </w:pPr>
      <w:r w:rsidRPr="0078056B">
        <w:rPr>
          <w:rStyle w:val="FootnoteReference"/>
        </w:rPr>
        <w:footnoteRef/>
      </w:r>
      <w:r w:rsidRPr="0078056B">
        <w:t xml:space="preserve"> While the table presents the multipliers for the impacts on the West Midlands and the UK as a whole, a full breakdown of the total impacts across all regions (as well as by sector) is provided in </w:t>
      </w:r>
      <w:r w:rsidR="0027423B" w:rsidRPr="0078056B">
        <w:t xml:space="preserve">Section </w:t>
      </w:r>
      <w:r w:rsidR="0027423B" w:rsidRPr="0078056B">
        <w:fldChar w:fldCharType="begin"/>
      </w:r>
      <w:r w:rsidR="0027423B" w:rsidRPr="0078056B">
        <w:instrText xml:space="preserve"> REF _Ref146792031 \r \h  \* MERGEFORMAT </w:instrText>
      </w:r>
      <w:r w:rsidR="0027423B" w:rsidRPr="0078056B">
        <w:fldChar w:fldCharType="separate"/>
      </w:r>
      <w:r w:rsidR="00E33157">
        <w:t>8.1</w:t>
      </w:r>
      <w:r w:rsidR="0027423B" w:rsidRPr="0078056B">
        <w:fldChar w:fldCharType="end"/>
      </w:r>
      <w:r w:rsidRPr="0078056B">
        <w:t>.</w:t>
      </w:r>
    </w:p>
  </w:footnote>
  <w:footnote w:id="71">
    <w:p w14:paraId="779ABF87" w14:textId="77777777" w:rsidR="00B91716" w:rsidRPr="0078056B" w:rsidRDefault="00B91716" w:rsidP="001B223C">
      <w:pPr>
        <w:pStyle w:val="FootnoteText"/>
        <w:spacing w:before="0"/>
      </w:pPr>
      <w:r w:rsidRPr="0078056B">
        <w:rPr>
          <w:rStyle w:val="FootnoteReference"/>
        </w:rPr>
        <w:footnoteRef/>
      </w:r>
      <w:r w:rsidRPr="0078056B">
        <w:t xml:space="preserve"> Again, in terms of tuition fee income, note that we apply the relevant multipliers to the gross tuition fee income generated by international students in the 2021-22 University of Birmingham cohort, and then deduct the University’s cost of provision (i.e. the University of Birmingham’s fee waivers and bursaries) to arrive at the net direct, indirect and induced impact associated with this income.</w:t>
      </w:r>
    </w:p>
  </w:footnote>
  <w:footnote w:id="72">
    <w:p w14:paraId="06B28573" w14:textId="0A759E98" w:rsidR="00B91716" w:rsidRPr="0078056B" w:rsidRDefault="00B91716" w:rsidP="001B223C">
      <w:pPr>
        <w:pStyle w:val="FootnoteText"/>
        <w:spacing w:before="0"/>
      </w:pPr>
      <w:r w:rsidRPr="0078056B">
        <w:rPr>
          <w:rStyle w:val="FootnoteReference"/>
        </w:rPr>
        <w:footnoteRef/>
      </w:r>
      <w:r w:rsidRPr="0078056B">
        <w:t xml:space="preserve"> Again, for more detail on wh</w:t>
      </w:r>
      <w:r w:rsidR="00297BDE" w:rsidRPr="0078056B">
        <w:t>ich</w:t>
      </w:r>
      <w:r w:rsidRPr="0078056B">
        <w:t xml:space="preserve"> industries are included in this high-level sector classification, please refer to  </w:t>
      </w:r>
      <w:r w:rsidR="00297BDE" w:rsidRPr="0078056B">
        <w:fldChar w:fldCharType="begin"/>
      </w:r>
      <w:r w:rsidR="00297BDE" w:rsidRPr="0078056B">
        <w:instrText xml:space="preserve"> REF _Ref147844515 \r \h  \* MERGEFORMAT </w:instrText>
      </w:r>
      <w:r w:rsidR="00297BDE" w:rsidRPr="0078056B">
        <w:fldChar w:fldCharType="separate"/>
      </w:r>
      <w:r w:rsidR="00E33157">
        <w:t>Table 14</w:t>
      </w:r>
      <w:r w:rsidR="00297BDE" w:rsidRPr="0078056B">
        <w:fldChar w:fldCharType="end"/>
      </w:r>
      <w:r w:rsidR="00297BDE" w:rsidRPr="0078056B">
        <w:t xml:space="preserve"> </w:t>
      </w:r>
      <w:r w:rsidRPr="0078056B">
        <w:t xml:space="preserve">in Annex </w:t>
      </w:r>
      <w:r w:rsidR="00297BDE" w:rsidRPr="0078056B">
        <w:fldChar w:fldCharType="begin"/>
      </w:r>
      <w:r w:rsidR="00297BDE" w:rsidRPr="0078056B">
        <w:instrText xml:space="preserve"> REF _Ref162272294 \r \h  \* MERGEFORMAT </w:instrText>
      </w:r>
      <w:r w:rsidR="00297BDE" w:rsidRPr="0078056B">
        <w:fldChar w:fldCharType="separate"/>
      </w:r>
      <w:r w:rsidR="00E33157">
        <w:t>A2.1.2</w:t>
      </w:r>
      <w:r w:rsidR="00297BDE" w:rsidRPr="0078056B">
        <w:fldChar w:fldCharType="end"/>
      </w:r>
      <w:r w:rsidRPr="0078056B">
        <w:t>.</w:t>
      </w:r>
    </w:p>
  </w:footnote>
  <w:footnote w:id="73">
    <w:p w14:paraId="1D8A6376" w14:textId="77777777" w:rsidR="00383BF9" w:rsidRPr="0078056B" w:rsidRDefault="00383BF9" w:rsidP="001B223C">
      <w:pPr>
        <w:pStyle w:val="FootnoteText"/>
        <w:spacing w:before="0"/>
        <w:rPr>
          <w:rFonts w:asciiTheme="minorHAnsi" w:hAnsiTheme="minorHAnsi" w:cstheme="minorHAnsi"/>
          <w:szCs w:val="16"/>
        </w:rPr>
      </w:pPr>
      <w:r w:rsidRPr="0078056B">
        <w:rPr>
          <w:rStyle w:val="FootnoteReference"/>
          <w:rFonts w:asciiTheme="minorHAnsi" w:hAnsiTheme="minorHAnsi" w:cstheme="minorHAnsi"/>
          <w:szCs w:val="16"/>
        </w:rPr>
        <w:footnoteRef/>
      </w:r>
      <w:r w:rsidRPr="0078056B">
        <w:rPr>
          <w:rFonts w:asciiTheme="minorHAnsi" w:hAnsiTheme="minorHAnsi" w:cstheme="minorHAnsi"/>
          <w:szCs w:val="16"/>
        </w:rPr>
        <w:t xml:space="preserve"> Based on staff and financial data published by HESA and the University of Birmingham’s annual accounts.</w:t>
      </w:r>
    </w:p>
  </w:footnote>
  <w:footnote w:id="74">
    <w:p w14:paraId="61166B40" w14:textId="77777777" w:rsidR="00383BF9" w:rsidRPr="0078056B" w:rsidRDefault="00383BF9" w:rsidP="001B223C">
      <w:pPr>
        <w:pStyle w:val="FootnoteText"/>
        <w:spacing w:before="0"/>
        <w:rPr>
          <w:rFonts w:asciiTheme="minorHAnsi" w:hAnsiTheme="minorHAnsi" w:cstheme="minorHAnsi"/>
          <w:szCs w:val="16"/>
        </w:rPr>
      </w:pPr>
      <w:r w:rsidRPr="0078056B">
        <w:rPr>
          <w:rStyle w:val="FootnoteReference"/>
          <w:rFonts w:asciiTheme="minorHAnsi" w:hAnsiTheme="minorHAnsi" w:cstheme="minorHAnsi"/>
          <w:szCs w:val="16"/>
        </w:rPr>
        <w:footnoteRef/>
      </w:r>
      <w:r w:rsidRPr="0078056B">
        <w:rPr>
          <w:rFonts w:asciiTheme="minorHAnsi" w:hAnsiTheme="minorHAnsi" w:cstheme="minorHAnsi"/>
          <w:szCs w:val="16"/>
        </w:rPr>
        <w:t xml:space="preserve"> The total operational expenditure (excluding capital expenditure) of the University of Birmingham in 2021-22 stood at </w:t>
      </w:r>
      <w:r w:rsidRPr="0078056B">
        <w:rPr>
          <w:rFonts w:eastAsia="Calibri" w:cs="Times New Roman"/>
          <w:b/>
          <w:color w:val="06357A" w:themeColor="accent1"/>
        </w:rPr>
        <w:t>£1,043 million</w:t>
      </w:r>
      <w:r w:rsidRPr="0078056B">
        <w:rPr>
          <w:rFonts w:asciiTheme="minorHAnsi" w:hAnsiTheme="minorHAnsi" w:cstheme="minorHAnsi"/>
          <w:szCs w:val="16"/>
        </w:rPr>
        <w:t xml:space="preserve">. From this, for the purpose of the analysis, we excluded </w:t>
      </w:r>
      <w:r w:rsidRPr="0078056B">
        <w:rPr>
          <w:rFonts w:eastAsia="Calibri" w:cs="Times New Roman"/>
          <w:b/>
          <w:color w:val="06357A" w:themeColor="accent1"/>
        </w:rPr>
        <w:t>£71 million</w:t>
      </w:r>
      <w:r w:rsidRPr="0078056B">
        <w:rPr>
          <w:rFonts w:asciiTheme="minorHAnsi" w:eastAsia="Calibri" w:hAnsiTheme="minorHAnsi" w:cstheme="minorHAnsi"/>
          <w:b/>
          <w:szCs w:val="16"/>
        </w:rPr>
        <w:t xml:space="preserve"> </w:t>
      </w:r>
      <w:r w:rsidRPr="0078056B">
        <w:rPr>
          <w:rFonts w:asciiTheme="minorHAnsi" w:hAnsiTheme="minorHAnsi" w:cstheme="minorHAnsi"/>
          <w:szCs w:val="16"/>
        </w:rPr>
        <w:t xml:space="preserve">in depreciation costs (from non-staff expenditure) and </w:t>
      </w:r>
      <w:r w:rsidRPr="0078056B">
        <w:rPr>
          <w:rFonts w:eastAsia="Calibri" w:cs="Times New Roman"/>
          <w:b/>
          <w:color w:val="06357A" w:themeColor="accent1"/>
        </w:rPr>
        <w:t>£203 million</w:t>
      </w:r>
      <w:r w:rsidRPr="0078056B">
        <w:rPr>
          <w:rFonts w:asciiTheme="minorHAnsi" w:hAnsiTheme="minorHAnsi" w:cstheme="minorHAnsi"/>
          <w:szCs w:val="16"/>
        </w:rPr>
        <w:t xml:space="preserve"> in movements in pension provisions (from staff expenditure), as it is assumed that these are not relevant from a procurement perspective (i.e. these costs are not accounted for as income by other organisations). This results in total operational expenditure of </w:t>
      </w:r>
      <w:r w:rsidRPr="0078056B">
        <w:rPr>
          <w:rFonts w:eastAsia="Calibri" w:cs="Times New Roman"/>
          <w:b/>
          <w:color w:val="06357A" w:themeColor="accent1"/>
        </w:rPr>
        <w:t xml:space="preserve">£769 million </w:t>
      </w:r>
      <w:r w:rsidRPr="0078056B">
        <w:t xml:space="preserve">in 2021-22 included here. Totals may not add up precisely due to rounding. </w:t>
      </w:r>
    </w:p>
  </w:footnote>
  <w:footnote w:id="75">
    <w:p w14:paraId="341D57BC" w14:textId="29EBD96E" w:rsidR="00383BF9" w:rsidRPr="0078056B" w:rsidRDefault="00383BF9" w:rsidP="001B223C">
      <w:pPr>
        <w:pStyle w:val="FootnoteText"/>
        <w:spacing w:before="0"/>
        <w:rPr>
          <w:szCs w:val="16"/>
        </w:rPr>
      </w:pPr>
      <w:r w:rsidRPr="0078056B">
        <w:rPr>
          <w:rStyle w:val="FootnoteReference"/>
        </w:rPr>
        <w:footnoteRef/>
      </w:r>
      <w:r w:rsidRPr="0078056B">
        <w:rPr>
          <w:szCs w:val="16"/>
        </w:rPr>
        <w:t xml:space="preserve"> The University’s bursary support to UK domiciled students is considered as a benefit to the student in the analysis of the impact of teaching and learning activities (see Section </w:t>
      </w:r>
      <w:r w:rsidR="00845CA2" w:rsidRPr="0078056B">
        <w:rPr>
          <w:szCs w:val="16"/>
        </w:rPr>
        <w:fldChar w:fldCharType="begin"/>
      </w:r>
      <w:r w:rsidR="00845CA2" w:rsidRPr="0078056B">
        <w:rPr>
          <w:szCs w:val="16"/>
        </w:rPr>
        <w:instrText xml:space="preserve"> REF _Ref161750690 \r \h  \* MERGEFORMAT </w:instrText>
      </w:r>
      <w:r w:rsidR="00845CA2" w:rsidRPr="0078056B">
        <w:rPr>
          <w:szCs w:val="16"/>
        </w:rPr>
      </w:r>
      <w:r w:rsidR="00845CA2" w:rsidRPr="0078056B">
        <w:rPr>
          <w:szCs w:val="16"/>
        </w:rPr>
        <w:fldChar w:fldCharType="separate"/>
      </w:r>
      <w:r w:rsidR="00E33157">
        <w:rPr>
          <w:szCs w:val="16"/>
        </w:rPr>
        <w:t>3</w:t>
      </w:r>
      <w:r w:rsidR="00845CA2" w:rsidRPr="0078056B">
        <w:rPr>
          <w:szCs w:val="16"/>
        </w:rPr>
        <w:fldChar w:fldCharType="end"/>
      </w:r>
      <w:r w:rsidRPr="0078056B">
        <w:t>)</w:t>
      </w:r>
      <w:r w:rsidRPr="0078056B">
        <w:rPr>
          <w:szCs w:val="16"/>
        </w:rPr>
        <w:t>. It was therefore necessary to deduct these bursaries from the direct impact of the University’s spending to correctly take account of the fact that these bursaries are a transfer from the University to its students, and not an additional benefit to the UK economy.</w:t>
      </w:r>
    </w:p>
  </w:footnote>
  <w:footnote w:id="76">
    <w:p w14:paraId="64BB86D6" w14:textId="3E301F07" w:rsidR="00383BF9" w:rsidRPr="0078056B" w:rsidRDefault="00383BF9" w:rsidP="001B223C">
      <w:pPr>
        <w:pStyle w:val="FootnoteText"/>
        <w:spacing w:before="0"/>
      </w:pPr>
      <w:r w:rsidRPr="0078056B">
        <w:rPr>
          <w:rStyle w:val="FootnoteReference"/>
        </w:rPr>
        <w:footnoteRef/>
      </w:r>
      <w:r w:rsidRPr="0078056B">
        <w:t xml:space="preserve"> This is slightly larger than the above direct impact of the </w:t>
      </w:r>
      <w:r w:rsidRPr="0078056B">
        <w:rPr>
          <w:i/>
          <w:iCs/>
        </w:rPr>
        <w:t>net</w:t>
      </w:r>
      <w:r w:rsidRPr="0078056B">
        <w:t xml:space="preserve"> tuition fee income associated with international students in the 2021-22 cohort (£151 million; see Section </w:t>
      </w:r>
      <w:r w:rsidR="00585090" w:rsidRPr="0078056B">
        <w:fldChar w:fldCharType="begin"/>
      </w:r>
      <w:r w:rsidR="00585090" w:rsidRPr="0078056B">
        <w:instrText xml:space="preserve"> REF _Ref162270067 \r \h </w:instrText>
      </w:r>
      <w:r w:rsidR="0078056B">
        <w:instrText xml:space="preserve"> \* MERGEFORMAT </w:instrText>
      </w:r>
      <w:r w:rsidR="00585090" w:rsidRPr="0078056B">
        <w:fldChar w:fldCharType="separate"/>
      </w:r>
      <w:r w:rsidR="00E33157">
        <w:t>4.3</w:t>
      </w:r>
      <w:r w:rsidR="00585090" w:rsidRPr="0078056B">
        <w:fldChar w:fldCharType="end"/>
      </w:r>
      <w:r w:rsidRPr="0078056B">
        <w:t xml:space="preserve">), as the value deducted here relates to the impact of the University’s </w:t>
      </w:r>
      <w:r w:rsidRPr="0078056B">
        <w:rPr>
          <w:i/>
        </w:rPr>
        <w:t xml:space="preserve">gross </w:t>
      </w:r>
      <w:r w:rsidRPr="0078056B">
        <w:t xml:space="preserve">international fee income </w:t>
      </w:r>
      <w:r w:rsidRPr="0078056B">
        <w:rPr>
          <w:i/>
        </w:rPr>
        <w:t>before</w:t>
      </w:r>
      <w:r w:rsidRPr="0078056B">
        <w:t xml:space="preserve"> the deduction of the University fee waiver/bursary costs associated with these students (since these costs are already deducted when estimating the impact of the University’s educational exports).</w:t>
      </w:r>
    </w:p>
  </w:footnote>
  <w:footnote w:id="77">
    <w:p w14:paraId="09309AC9" w14:textId="77777777" w:rsidR="00383BF9" w:rsidRPr="0078056B" w:rsidRDefault="00383BF9" w:rsidP="001B223C">
      <w:pPr>
        <w:pStyle w:val="FootnoteText"/>
        <w:spacing w:before="0"/>
      </w:pPr>
      <w:r w:rsidRPr="0078056B">
        <w:rPr>
          <w:rStyle w:val="FootnoteReference"/>
        </w:rPr>
        <w:footnoteRef/>
      </w:r>
      <w:r w:rsidRPr="0078056B">
        <w:t xml:space="preserve"> It is possible that the data overestimates the level of procurement expenditure occurring in London as compared to other regions, since the invoice data would often reflect suppliers’ head office locations, rather than reflecting the location where these activities took place.</w:t>
      </w:r>
    </w:p>
  </w:footnote>
  <w:footnote w:id="78">
    <w:p w14:paraId="28AEB8BC" w14:textId="79147BFF" w:rsidR="00383BF9" w:rsidRPr="0078056B" w:rsidRDefault="00383BF9" w:rsidP="001B223C">
      <w:pPr>
        <w:pStyle w:val="FootnoteText"/>
        <w:spacing w:before="0"/>
        <w:rPr>
          <w:rFonts w:asciiTheme="minorHAnsi" w:hAnsiTheme="minorHAnsi" w:cstheme="minorHAnsi"/>
          <w:szCs w:val="16"/>
        </w:rPr>
      </w:pPr>
      <w:r w:rsidRPr="0078056B">
        <w:rPr>
          <w:rStyle w:val="FootnoteReference"/>
          <w:rFonts w:asciiTheme="minorHAnsi" w:hAnsiTheme="minorHAnsi" w:cstheme="minorHAnsi"/>
          <w:szCs w:val="16"/>
        </w:rPr>
        <w:footnoteRef/>
      </w:r>
      <w:r w:rsidRPr="0078056B">
        <w:rPr>
          <w:rFonts w:asciiTheme="minorHAnsi" w:hAnsiTheme="minorHAnsi" w:cstheme="minorHAnsi"/>
          <w:szCs w:val="16"/>
        </w:rPr>
        <w:t xml:space="preserve"> See </w:t>
      </w:r>
      <w:r w:rsidR="00E1585A" w:rsidRPr="0078056B">
        <w:rPr>
          <w:rFonts w:asciiTheme="minorHAnsi" w:hAnsiTheme="minorHAnsi" w:cstheme="minorHAnsi"/>
          <w:szCs w:val="16"/>
        </w:rPr>
        <w:t xml:space="preserve">Annex </w:t>
      </w:r>
      <w:r w:rsidR="00E1585A" w:rsidRPr="0078056B">
        <w:rPr>
          <w:rFonts w:asciiTheme="minorHAnsi" w:hAnsiTheme="minorHAnsi" w:cstheme="minorHAnsi"/>
          <w:szCs w:val="16"/>
        </w:rPr>
        <w:fldChar w:fldCharType="begin"/>
      </w:r>
      <w:r w:rsidR="00E1585A" w:rsidRPr="0078056B">
        <w:rPr>
          <w:rFonts w:asciiTheme="minorHAnsi" w:hAnsiTheme="minorHAnsi" w:cstheme="minorHAnsi"/>
          <w:szCs w:val="16"/>
        </w:rPr>
        <w:instrText xml:space="preserve"> REF _Ref162272356 \r \h  \* MERGEFORMAT </w:instrText>
      </w:r>
      <w:r w:rsidR="00E1585A" w:rsidRPr="0078056B">
        <w:rPr>
          <w:rFonts w:asciiTheme="minorHAnsi" w:hAnsiTheme="minorHAnsi" w:cstheme="minorHAnsi"/>
          <w:szCs w:val="16"/>
        </w:rPr>
      </w:r>
      <w:r w:rsidR="00E1585A" w:rsidRPr="0078056B">
        <w:rPr>
          <w:rFonts w:asciiTheme="minorHAnsi" w:hAnsiTheme="minorHAnsi" w:cstheme="minorHAnsi"/>
          <w:szCs w:val="16"/>
        </w:rPr>
        <w:fldChar w:fldCharType="separate"/>
      </w:r>
      <w:r w:rsidR="00E33157">
        <w:rPr>
          <w:rFonts w:asciiTheme="minorHAnsi" w:hAnsiTheme="minorHAnsi" w:cstheme="minorHAnsi"/>
          <w:szCs w:val="16"/>
        </w:rPr>
        <w:t>A2.1</w:t>
      </w:r>
      <w:r w:rsidR="00E1585A" w:rsidRPr="0078056B">
        <w:rPr>
          <w:rFonts w:asciiTheme="minorHAnsi" w:hAnsiTheme="minorHAnsi" w:cstheme="minorHAnsi"/>
          <w:szCs w:val="16"/>
        </w:rPr>
        <w:fldChar w:fldCharType="end"/>
      </w:r>
      <w:r w:rsidRPr="0078056B">
        <w:rPr>
          <w:rFonts w:asciiTheme="minorHAnsi" w:hAnsiTheme="minorHAnsi" w:cstheme="minorHAnsi"/>
          <w:szCs w:val="16"/>
        </w:rPr>
        <w:t xml:space="preserve"> for more information.</w:t>
      </w:r>
    </w:p>
  </w:footnote>
  <w:footnote w:id="79">
    <w:p w14:paraId="0DFA1A40" w14:textId="4913BE57" w:rsidR="00383BF9" w:rsidRPr="0078056B" w:rsidRDefault="00383BF9" w:rsidP="001B223C">
      <w:pPr>
        <w:pStyle w:val="FootnoteText"/>
        <w:spacing w:before="0"/>
        <w:rPr>
          <w:rFonts w:asciiTheme="minorHAnsi" w:hAnsiTheme="minorHAnsi" w:cstheme="minorHAnsi"/>
          <w:szCs w:val="16"/>
        </w:rPr>
      </w:pPr>
      <w:r w:rsidRPr="0078056B">
        <w:rPr>
          <w:rStyle w:val="FootnoteReference"/>
          <w:rFonts w:asciiTheme="minorHAnsi" w:hAnsiTheme="minorHAnsi" w:cstheme="minorHAnsi"/>
          <w:szCs w:val="16"/>
        </w:rPr>
        <w:footnoteRef/>
      </w:r>
      <w:r w:rsidRPr="0078056B">
        <w:rPr>
          <w:rFonts w:asciiTheme="minorHAnsi" w:hAnsiTheme="minorHAnsi" w:cstheme="minorHAnsi"/>
          <w:szCs w:val="16"/>
        </w:rPr>
        <w:t xml:space="preserve"> Again, for more detail on which industries are included in this high-level sector classification, please refer to </w:t>
      </w:r>
      <w:r w:rsidR="00F65176" w:rsidRPr="0078056B">
        <w:rPr>
          <w:rFonts w:asciiTheme="minorHAnsi" w:hAnsiTheme="minorHAnsi" w:cstheme="minorHAnsi"/>
          <w:szCs w:val="16"/>
        </w:rPr>
        <w:fldChar w:fldCharType="begin"/>
      </w:r>
      <w:r w:rsidR="00F65176" w:rsidRPr="0078056B">
        <w:rPr>
          <w:rFonts w:asciiTheme="minorHAnsi" w:hAnsiTheme="minorHAnsi" w:cstheme="minorHAnsi"/>
          <w:szCs w:val="16"/>
        </w:rPr>
        <w:instrText xml:space="preserve"> REF _Ref147844515 \r \h  \* MERGEFORMAT </w:instrText>
      </w:r>
      <w:r w:rsidR="00F65176" w:rsidRPr="0078056B">
        <w:rPr>
          <w:rFonts w:asciiTheme="minorHAnsi" w:hAnsiTheme="minorHAnsi" w:cstheme="minorHAnsi"/>
          <w:szCs w:val="16"/>
        </w:rPr>
      </w:r>
      <w:r w:rsidR="00F65176" w:rsidRPr="0078056B">
        <w:rPr>
          <w:rFonts w:asciiTheme="minorHAnsi" w:hAnsiTheme="minorHAnsi" w:cstheme="minorHAnsi"/>
          <w:szCs w:val="16"/>
        </w:rPr>
        <w:fldChar w:fldCharType="separate"/>
      </w:r>
      <w:r w:rsidR="00E33157">
        <w:rPr>
          <w:rFonts w:asciiTheme="minorHAnsi" w:hAnsiTheme="minorHAnsi" w:cstheme="minorHAnsi"/>
          <w:szCs w:val="16"/>
        </w:rPr>
        <w:t>Table 14</w:t>
      </w:r>
      <w:r w:rsidR="00F65176" w:rsidRPr="0078056B">
        <w:rPr>
          <w:rFonts w:asciiTheme="minorHAnsi" w:hAnsiTheme="minorHAnsi" w:cstheme="minorHAnsi"/>
          <w:szCs w:val="16"/>
        </w:rPr>
        <w:fldChar w:fldCharType="end"/>
      </w:r>
      <w:r w:rsidRPr="0078056B">
        <w:rPr>
          <w:rFonts w:asciiTheme="minorHAnsi" w:hAnsiTheme="minorHAnsi" w:cstheme="minorHAnsi"/>
          <w:szCs w:val="16"/>
        </w:rPr>
        <w:t xml:space="preserve"> in Annex </w:t>
      </w:r>
      <w:r w:rsidR="00F65176" w:rsidRPr="0078056B">
        <w:rPr>
          <w:rFonts w:asciiTheme="minorHAnsi" w:hAnsiTheme="minorHAnsi" w:cstheme="minorHAnsi"/>
          <w:szCs w:val="16"/>
        </w:rPr>
        <w:fldChar w:fldCharType="begin"/>
      </w:r>
      <w:r w:rsidR="00F65176" w:rsidRPr="0078056B">
        <w:rPr>
          <w:rFonts w:asciiTheme="minorHAnsi" w:hAnsiTheme="minorHAnsi" w:cstheme="minorHAnsi"/>
          <w:szCs w:val="16"/>
        </w:rPr>
        <w:instrText xml:space="preserve"> REF _Ref162272294 \r \h  \* MERGEFORMAT </w:instrText>
      </w:r>
      <w:r w:rsidR="00F65176" w:rsidRPr="0078056B">
        <w:rPr>
          <w:rFonts w:asciiTheme="minorHAnsi" w:hAnsiTheme="minorHAnsi" w:cstheme="minorHAnsi"/>
          <w:szCs w:val="16"/>
        </w:rPr>
      </w:r>
      <w:r w:rsidR="00F65176" w:rsidRPr="0078056B">
        <w:rPr>
          <w:rFonts w:asciiTheme="minorHAnsi" w:hAnsiTheme="minorHAnsi" w:cstheme="minorHAnsi"/>
          <w:szCs w:val="16"/>
        </w:rPr>
        <w:fldChar w:fldCharType="separate"/>
      </w:r>
      <w:r w:rsidR="00E33157">
        <w:rPr>
          <w:rFonts w:asciiTheme="minorHAnsi" w:hAnsiTheme="minorHAnsi" w:cstheme="minorHAnsi"/>
          <w:szCs w:val="16"/>
        </w:rPr>
        <w:t>A2.1.2</w:t>
      </w:r>
      <w:r w:rsidR="00F65176" w:rsidRPr="0078056B">
        <w:rPr>
          <w:rFonts w:asciiTheme="minorHAnsi" w:hAnsiTheme="minorHAnsi" w:cstheme="minorHAnsi"/>
          <w:szCs w:val="16"/>
        </w:rPr>
        <w:fldChar w:fldCharType="end"/>
      </w:r>
      <w:r w:rsidRPr="0078056B">
        <w:rPr>
          <w:rFonts w:asciiTheme="minorHAnsi" w:hAnsiTheme="minorHAnsi" w:cstheme="minorHAnsi"/>
          <w:szCs w:val="16"/>
        </w:rPr>
        <w:t>.</w:t>
      </w:r>
    </w:p>
  </w:footnote>
  <w:footnote w:id="80">
    <w:p w14:paraId="00D66BB1" w14:textId="77777777" w:rsidR="00E13125" w:rsidRPr="0078056B" w:rsidRDefault="00E13125" w:rsidP="001B223C">
      <w:pPr>
        <w:pStyle w:val="FootnoteText"/>
        <w:spacing w:before="0"/>
      </w:pPr>
      <w:r w:rsidRPr="0078056B">
        <w:rPr>
          <w:rStyle w:val="FootnoteReference"/>
        </w:rPr>
        <w:footnoteRef/>
      </w:r>
      <w:r w:rsidRPr="0078056B">
        <w:t xml:space="preserve"> Number of visits is based on the city’s visitors’ reported spending on at least one night during their trip.</w:t>
      </w:r>
    </w:p>
  </w:footnote>
  <w:footnote w:id="81">
    <w:p w14:paraId="489BCBD2" w14:textId="000A4C0A" w:rsidR="008059A4" w:rsidRPr="0078056B" w:rsidRDefault="008059A4" w:rsidP="001B223C">
      <w:pPr>
        <w:pStyle w:val="FootnoteText"/>
        <w:spacing w:before="0"/>
      </w:pPr>
      <w:r w:rsidRPr="0078056B">
        <w:rPr>
          <w:rStyle w:val="FootnoteReference"/>
        </w:rPr>
        <w:footnoteRef/>
      </w:r>
      <w:r w:rsidRPr="0078056B">
        <w:t xml:space="preserve"> Data from 2022 are used as they are the most recent data available and cover the majority of the 2021-22 academic year. The ONS was unable to interview at the Eurotunnel from January to June 2022 due to COVID-19 restrictions</w:t>
      </w:r>
      <w:r w:rsidR="00293B4A" w:rsidRPr="0078056B">
        <w:t>, so those data were modelled by the ONS for consistency.</w:t>
      </w:r>
    </w:p>
  </w:footnote>
  <w:footnote w:id="82">
    <w:p w14:paraId="3CEE0D63" w14:textId="77777777" w:rsidR="00E13125" w:rsidRPr="0078056B" w:rsidRDefault="00E13125" w:rsidP="001B223C">
      <w:pPr>
        <w:pStyle w:val="FootnoteText"/>
        <w:spacing w:before="0"/>
      </w:pPr>
      <w:r w:rsidRPr="0078056B">
        <w:rPr>
          <w:rStyle w:val="FootnoteReference"/>
        </w:rPr>
        <w:footnoteRef/>
      </w:r>
      <w:r w:rsidRPr="0078056B">
        <w:t xml:space="preserve"> More specifically, it is likely that any domestic (day or overnight) visits to Birmingham would have </w:t>
      </w:r>
      <w:r w:rsidRPr="0078056B">
        <w:rPr>
          <w:i/>
          <w:iCs/>
        </w:rPr>
        <w:t>displaced</w:t>
      </w:r>
      <w:r w:rsidRPr="0078056B">
        <w:t xml:space="preserve"> activity from other regions of the United Kingdom. Therefore, following standard evaluation guidance (HM Treasury, 2022), all visitor trips and associated expenditure originating from elsewhere in the United Kingdom - i.e. domestic day trips and domestic overnight trips - are excluded from the analysis.</w:t>
      </w:r>
    </w:p>
  </w:footnote>
  <w:footnote w:id="83">
    <w:p w14:paraId="13846FA0" w14:textId="77777777" w:rsidR="00E13125" w:rsidRPr="0078056B" w:rsidRDefault="00E13125" w:rsidP="001B223C">
      <w:pPr>
        <w:pStyle w:val="FootnoteText"/>
        <w:spacing w:before="0"/>
      </w:pPr>
      <w:r w:rsidRPr="0078056B">
        <w:rPr>
          <w:rStyle w:val="FootnoteReference"/>
        </w:rPr>
        <w:footnoteRef/>
      </w:r>
      <w:r w:rsidRPr="0078056B">
        <w:t xml:space="preserve"> This data was provided from the University, which does not provide this data to HESA, so it may not be consistent with HESA staff data collection methods.</w:t>
      </w:r>
    </w:p>
  </w:footnote>
  <w:footnote w:id="84">
    <w:p w14:paraId="5ABB1834" w14:textId="77777777" w:rsidR="00E13125" w:rsidRPr="0078056B" w:rsidRDefault="00E13125" w:rsidP="001B223C">
      <w:pPr>
        <w:pStyle w:val="FootnoteText"/>
        <w:spacing w:before="0"/>
      </w:pPr>
      <w:r w:rsidRPr="0078056B">
        <w:rPr>
          <w:rStyle w:val="FootnoteReference"/>
        </w:rPr>
        <w:footnoteRef/>
      </w:r>
      <w:r w:rsidRPr="0078056B">
        <w:t xml:space="preserve"> Note that this includes </w:t>
      </w:r>
      <w:r w:rsidRPr="0078056B">
        <w:rPr>
          <w:i/>
          <w:iCs/>
        </w:rPr>
        <w:t>all</w:t>
      </w:r>
      <w:r w:rsidRPr="0078056B">
        <w:t xml:space="preserve"> students enrolled with the University in 2021-22, i.e. including both first-year and continuing students. </w:t>
      </w:r>
    </w:p>
  </w:footnote>
  <w:footnote w:id="85">
    <w:p w14:paraId="569C5CE1" w14:textId="77777777" w:rsidR="00E13125" w:rsidRPr="0078056B" w:rsidRDefault="00E13125" w:rsidP="001B223C">
      <w:pPr>
        <w:pStyle w:val="FootnoteText"/>
        <w:spacing w:before="0"/>
      </w:pPr>
      <w:r w:rsidRPr="0078056B">
        <w:rPr>
          <w:rStyle w:val="FootnoteReference"/>
        </w:rPr>
        <w:footnoteRef/>
      </w:r>
      <w:r w:rsidRPr="0078056B">
        <w:t xml:space="preserve"> See London Economics (2023).</w:t>
      </w:r>
    </w:p>
  </w:footnote>
  <w:footnote w:id="86">
    <w:p w14:paraId="47A40359" w14:textId="77777777" w:rsidR="00E13125" w:rsidRPr="0078056B" w:rsidRDefault="00E13125" w:rsidP="001B223C">
      <w:pPr>
        <w:pStyle w:val="FootnoteText"/>
        <w:spacing w:before="0"/>
      </w:pPr>
      <w:r w:rsidRPr="0078056B">
        <w:rPr>
          <w:rStyle w:val="FootnoteReference"/>
        </w:rPr>
        <w:footnoteRef/>
      </w:r>
      <w:r w:rsidRPr="0078056B">
        <w:t xml:space="preserve"> </w:t>
      </w:r>
      <w:bookmarkStart w:id="313" w:name="_Hlk126829421"/>
      <w:r w:rsidRPr="0078056B">
        <w:t xml:space="preserve">The previous analysis (London Economics, 2023) estimated that the number of visits from overseas per EU and non-EU student per year. We assumed these numbers would be the same for staff receiving visits. </w:t>
      </w:r>
      <w:bookmarkEnd w:id="313"/>
      <w:r w:rsidRPr="0078056B">
        <w:t>We then used the same method to calculate the weighted average of visits for each non-UK staff employed by the University in 2021-22.</w:t>
      </w:r>
    </w:p>
  </w:footnote>
  <w:footnote w:id="87">
    <w:p w14:paraId="7A213E7A" w14:textId="77777777" w:rsidR="00E13125" w:rsidRPr="0078056B" w:rsidRDefault="00E13125" w:rsidP="001B223C">
      <w:pPr>
        <w:pStyle w:val="FootnoteText"/>
        <w:spacing w:before="0"/>
      </w:pPr>
      <w:r w:rsidRPr="0078056B">
        <w:rPr>
          <w:rStyle w:val="FootnoteReference"/>
        </w:rPr>
        <w:footnoteRef/>
      </w:r>
      <w:r w:rsidRPr="0078056B">
        <w:t xml:space="preserve"> See Nomis (2023). </w:t>
      </w:r>
    </w:p>
  </w:footnote>
  <w:footnote w:id="88">
    <w:p w14:paraId="6866C3A8" w14:textId="77777777" w:rsidR="00E13125" w:rsidRPr="0078056B" w:rsidRDefault="00E13125" w:rsidP="001B223C">
      <w:pPr>
        <w:pStyle w:val="FootnoteText"/>
        <w:spacing w:before="0"/>
      </w:pPr>
      <w:r w:rsidRPr="0078056B">
        <w:rPr>
          <w:rStyle w:val="FootnoteReference"/>
        </w:rPr>
        <w:footnoteRef/>
      </w:r>
      <w:r w:rsidRPr="0078056B">
        <w:t xml:space="preserve"> Using official labour market statistics data (Nomis, 2023), there were approximately 497,000 individuals employed (or self-employed) in Birmingham between July 2021 and June 2022.</w:t>
      </w:r>
    </w:p>
  </w:footnote>
  <w:footnote w:id="89">
    <w:p w14:paraId="496CEF41" w14:textId="306849D1" w:rsidR="00E13125" w:rsidRPr="0078056B" w:rsidRDefault="00E13125" w:rsidP="001B223C">
      <w:pPr>
        <w:pStyle w:val="FootnoteText"/>
        <w:spacing w:before="0"/>
      </w:pPr>
      <w:r w:rsidRPr="0078056B">
        <w:rPr>
          <w:rStyle w:val="FootnoteReference"/>
        </w:rPr>
        <w:footnoteRef/>
      </w:r>
      <w:r w:rsidRPr="0078056B">
        <w:t xml:space="preserve"> See Section </w:t>
      </w:r>
      <w:r w:rsidR="00E64C67" w:rsidRPr="0078056B">
        <w:fldChar w:fldCharType="begin"/>
      </w:r>
      <w:r w:rsidR="00E64C67" w:rsidRPr="0078056B">
        <w:instrText xml:space="preserve"> REF _Ref160114268 \r \h </w:instrText>
      </w:r>
      <w:r w:rsidR="0078056B">
        <w:instrText xml:space="preserve"> \* MERGEFORMAT </w:instrText>
      </w:r>
      <w:r w:rsidR="00E64C67" w:rsidRPr="0078056B">
        <w:fldChar w:fldCharType="separate"/>
      </w:r>
      <w:r w:rsidR="00E33157">
        <w:t>2.1.3</w:t>
      </w:r>
      <w:r w:rsidR="00E64C67" w:rsidRPr="0078056B">
        <w:fldChar w:fldCharType="end"/>
      </w:r>
      <w:r w:rsidR="00E64C67" w:rsidRPr="0078056B">
        <w:t xml:space="preserve"> and Annex </w:t>
      </w:r>
      <w:r w:rsidR="00E64C67" w:rsidRPr="0078056B">
        <w:fldChar w:fldCharType="begin"/>
      </w:r>
      <w:r w:rsidR="00E64C67" w:rsidRPr="0078056B">
        <w:instrText xml:space="preserve"> REF _Ref162272356 \r \h </w:instrText>
      </w:r>
      <w:r w:rsidR="0078056B">
        <w:instrText xml:space="preserve"> \* MERGEFORMAT </w:instrText>
      </w:r>
      <w:r w:rsidR="00E64C67" w:rsidRPr="0078056B">
        <w:fldChar w:fldCharType="separate"/>
      </w:r>
      <w:r w:rsidR="00E33157">
        <w:t>A2.1</w:t>
      </w:r>
      <w:r w:rsidR="00E64C67" w:rsidRPr="0078056B">
        <w:fldChar w:fldCharType="end"/>
      </w:r>
      <w:r w:rsidRPr="0078056B">
        <w:t xml:space="preserve"> for more information.</w:t>
      </w:r>
    </w:p>
  </w:footnote>
  <w:footnote w:id="90">
    <w:p w14:paraId="732367AD" w14:textId="77777777" w:rsidR="00E13125" w:rsidRPr="0078056B" w:rsidRDefault="00E13125" w:rsidP="001B223C">
      <w:pPr>
        <w:pStyle w:val="FootnoteText"/>
        <w:spacing w:before="0"/>
      </w:pPr>
      <w:r w:rsidRPr="0078056B">
        <w:rPr>
          <w:rStyle w:val="FootnoteReference"/>
        </w:rPr>
        <w:footnoteRef/>
      </w:r>
      <w:r w:rsidRPr="0078056B">
        <w:t xml:space="preserve"> Based on data on tourism spending in Birmingham in 2022 recently commissioned by Destination Coventry and the West Midlands Growth Company (2023).</w:t>
      </w:r>
    </w:p>
  </w:footnote>
  <w:footnote w:id="91">
    <w:p w14:paraId="304D5A99" w14:textId="3EE0B0A5" w:rsidR="00E13125" w:rsidRPr="0078056B" w:rsidRDefault="00E13125" w:rsidP="001B223C">
      <w:pPr>
        <w:pStyle w:val="FootnoteText"/>
        <w:spacing w:before="0"/>
      </w:pPr>
      <w:r w:rsidRPr="0078056B">
        <w:rPr>
          <w:rStyle w:val="FootnoteReference"/>
        </w:rPr>
        <w:footnoteRef/>
      </w:r>
      <w:r w:rsidRPr="0078056B">
        <w:t xml:space="preserve"> For more detail on which industries are included in this high-level sector classification, please refer to </w:t>
      </w:r>
      <w:r w:rsidR="00CA4C5B" w:rsidRPr="0078056B">
        <w:fldChar w:fldCharType="begin"/>
      </w:r>
      <w:r w:rsidR="00CA4C5B" w:rsidRPr="0078056B">
        <w:instrText xml:space="preserve"> REF _Ref147844515 \r \h </w:instrText>
      </w:r>
      <w:r w:rsidR="0078056B">
        <w:instrText xml:space="preserve"> \* MERGEFORMAT </w:instrText>
      </w:r>
      <w:r w:rsidR="00CA4C5B" w:rsidRPr="0078056B">
        <w:fldChar w:fldCharType="separate"/>
      </w:r>
      <w:r w:rsidR="00E33157">
        <w:t>Table 14</w:t>
      </w:r>
      <w:r w:rsidR="00CA4C5B" w:rsidRPr="0078056B">
        <w:fldChar w:fldCharType="end"/>
      </w:r>
      <w:r w:rsidRPr="0078056B">
        <w:t xml:space="preserve"> in Annex </w:t>
      </w:r>
      <w:r w:rsidR="00CA4C5B" w:rsidRPr="0078056B">
        <w:fldChar w:fldCharType="begin"/>
      </w:r>
      <w:r w:rsidR="00CA4C5B" w:rsidRPr="0078056B">
        <w:instrText xml:space="preserve"> REF _Ref150434337 \r \h </w:instrText>
      </w:r>
      <w:r w:rsidR="0078056B">
        <w:instrText xml:space="preserve"> \* MERGEFORMAT </w:instrText>
      </w:r>
      <w:r w:rsidR="00CA4C5B" w:rsidRPr="0078056B">
        <w:fldChar w:fldCharType="separate"/>
      </w:r>
      <w:r w:rsidR="00E33157">
        <w:t>A2.1.1</w:t>
      </w:r>
      <w:r w:rsidR="00CA4C5B" w:rsidRPr="0078056B">
        <w:fldChar w:fldCharType="end"/>
      </w:r>
      <w:r w:rsidRPr="0078056B">
        <w:t>.</w:t>
      </w:r>
    </w:p>
  </w:footnote>
  <w:footnote w:id="92">
    <w:p w14:paraId="6FEEF34E" w14:textId="77777777" w:rsidR="003541E0" w:rsidRPr="0078056B" w:rsidRDefault="003541E0" w:rsidP="001B223C">
      <w:pPr>
        <w:pStyle w:val="FootnoteText"/>
        <w:spacing w:before="0"/>
      </w:pPr>
      <w:r w:rsidRPr="0078056B">
        <w:rPr>
          <w:rStyle w:val="FootnoteReference"/>
        </w:rPr>
        <w:footnoteRef/>
      </w:r>
      <w:r w:rsidRPr="0078056B">
        <w:t xml:space="preserve"> ‘Museum education’ includes all forms of museum education held by the museums and galleries owned by the University of Birmingham, including lectures, workshops and children’s clubs.</w:t>
      </w:r>
    </w:p>
  </w:footnote>
  <w:footnote w:id="93">
    <w:p w14:paraId="03FD3847" w14:textId="77777777" w:rsidR="00C75D45" w:rsidRPr="0078056B" w:rsidRDefault="00C75D45" w:rsidP="001B223C">
      <w:pPr>
        <w:pStyle w:val="FootnoteText"/>
        <w:spacing w:before="0"/>
      </w:pPr>
      <w:r w:rsidRPr="0078056B">
        <w:rPr>
          <w:rStyle w:val="FootnoteReference"/>
        </w:rPr>
        <w:footnoteRef/>
      </w:r>
      <w:r w:rsidRPr="0078056B">
        <w:t xml:space="preserve"> Based on 2021-22 staff headcount figures provided to London Economics by the University of Birmingham.</w:t>
      </w:r>
    </w:p>
  </w:footnote>
  <w:footnote w:id="94">
    <w:p w14:paraId="2464B6C3" w14:textId="77777777" w:rsidR="00C75D45" w:rsidRPr="0078056B" w:rsidRDefault="00C75D45" w:rsidP="001B223C">
      <w:pPr>
        <w:pStyle w:val="FootnoteText"/>
        <w:spacing w:before="0"/>
      </w:pPr>
      <w:r w:rsidRPr="0078056B">
        <w:rPr>
          <w:rStyle w:val="FootnoteReference"/>
        </w:rPr>
        <w:footnoteRef/>
      </w:r>
      <w:r w:rsidRPr="0078056B">
        <w:t xml:space="preserve"> It is not possible to extrapolate these figures to the University’s entire staff base, given that staff who volunteered would be more likely to respond to the survey and therefore the survey cannot be considered representative.</w:t>
      </w:r>
    </w:p>
  </w:footnote>
  <w:footnote w:id="95">
    <w:p w14:paraId="4EDDB57A" w14:textId="6BB1E7C0" w:rsidR="00E063DB" w:rsidRPr="0078056B" w:rsidRDefault="00E063DB" w:rsidP="001B223C">
      <w:pPr>
        <w:pStyle w:val="FootnoteText"/>
        <w:spacing w:before="0"/>
      </w:pPr>
      <w:r w:rsidRPr="0078056B">
        <w:rPr>
          <w:rStyle w:val="FootnoteReference"/>
        </w:rPr>
        <w:footnoteRef/>
      </w:r>
      <w:r w:rsidRPr="0078056B">
        <w:t xml:space="preserve"> Note that respondents could choose more than one type of volunteering, so responses do not add up to 100%.</w:t>
      </w:r>
    </w:p>
  </w:footnote>
  <w:footnote w:id="96">
    <w:p w14:paraId="46F972AC" w14:textId="77777777" w:rsidR="00A91497" w:rsidRPr="0078056B" w:rsidRDefault="00A91497" w:rsidP="001B223C">
      <w:pPr>
        <w:pStyle w:val="FootnoteText"/>
        <w:spacing w:before="0"/>
      </w:pPr>
      <w:r w:rsidRPr="0078056B">
        <w:rPr>
          <w:rStyle w:val="FootnoteReference"/>
        </w:rPr>
        <w:footnoteRef/>
      </w:r>
      <w:r w:rsidRPr="0078056B">
        <w:t xml:space="preserve"> Scope 1 emissions refer to the University’s direct emissions (e.g. use of natural gas). Scope 2 emissions refer to the University’s indirect emissions through its energy purchases (e.g. grid electricity). Scope 3 emission refer to the University’s other indirect emissions, such as through procurement, commuting and business travel.</w:t>
      </w:r>
    </w:p>
  </w:footnote>
  <w:footnote w:id="97">
    <w:p w14:paraId="28DE391C" w14:textId="77777777" w:rsidR="00E13125" w:rsidRPr="0078056B" w:rsidRDefault="00E13125" w:rsidP="001B223C">
      <w:pPr>
        <w:pStyle w:val="FootnoteText"/>
        <w:spacing w:before="0"/>
        <w:rPr>
          <w:rFonts w:asciiTheme="minorHAnsi" w:hAnsiTheme="minorHAnsi" w:cstheme="minorHAnsi"/>
          <w:szCs w:val="16"/>
        </w:rPr>
      </w:pPr>
      <w:r w:rsidRPr="0078056B">
        <w:rPr>
          <w:rStyle w:val="FootnoteReference"/>
          <w:rFonts w:asciiTheme="minorHAnsi" w:hAnsiTheme="minorHAnsi" w:cstheme="minorHAnsi"/>
          <w:szCs w:val="16"/>
        </w:rPr>
        <w:footnoteRef/>
      </w:r>
      <w:r w:rsidRPr="0078056B">
        <w:rPr>
          <w:rFonts w:asciiTheme="minorHAnsi" w:hAnsiTheme="minorHAnsi" w:cstheme="minorHAnsi"/>
          <w:szCs w:val="16"/>
        </w:rPr>
        <w:t xml:space="preserve"> This</w:t>
      </w:r>
      <w:r w:rsidRPr="0078056B">
        <w:rPr>
          <w:rFonts w:asciiTheme="minorHAnsi" w:eastAsia="Calibri" w:hAnsiTheme="minorHAnsi" w:cstheme="minorHAnsi"/>
          <w:bCs/>
          <w:szCs w:val="16"/>
        </w:rPr>
        <w:t xml:space="preserve"> relates to the University’s total operating expenditure, </w:t>
      </w:r>
      <w:r w:rsidRPr="0078056B">
        <w:rPr>
          <w:rFonts w:asciiTheme="minorHAnsi" w:hAnsiTheme="minorHAnsi" w:cstheme="minorHAnsi"/>
          <w:szCs w:val="16"/>
        </w:rPr>
        <w:t>excluding capital expenditure, depreciation, amortisation and movements in pension provisions.</w:t>
      </w:r>
    </w:p>
  </w:footnote>
  <w:footnote w:id="98">
    <w:p w14:paraId="7041BCBD" w14:textId="77777777" w:rsidR="00E13125" w:rsidRPr="0078056B" w:rsidRDefault="00E13125" w:rsidP="001B223C">
      <w:pPr>
        <w:pStyle w:val="FootnoteText"/>
        <w:spacing w:before="0"/>
      </w:pPr>
      <w:r w:rsidRPr="0078056B">
        <w:rPr>
          <w:rStyle w:val="FootnoteReference"/>
        </w:rPr>
        <w:footnoteRef/>
      </w:r>
      <w:r w:rsidRPr="0078056B">
        <w:t xml:space="preserve"> Note that this does not include the productivity spillovers associated with the University’s research activities, as these cannot be attributed to a region or sector.</w:t>
      </w:r>
    </w:p>
  </w:footnote>
  <w:footnote w:id="99">
    <w:p w14:paraId="24F28923" w14:textId="77777777" w:rsidR="00E13125" w:rsidRPr="0078056B" w:rsidRDefault="00E13125" w:rsidP="001B223C">
      <w:pPr>
        <w:pStyle w:val="FootnoteText"/>
        <w:spacing w:before="0"/>
      </w:pPr>
      <w:r w:rsidRPr="0078056B">
        <w:rPr>
          <w:rStyle w:val="FootnoteReference"/>
        </w:rPr>
        <w:footnoteRef/>
      </w:r>
      <w:r w:rsidRPr="0078056B">
        <w:t xml:space="preserve"> The remaining </w:t>
      </w:r>
      <w:r w:rsidRPr="0078056B">
        <w:rPr>
          <w:b/>
          <w:bCs/>
          <w:color w:val="06357A"/>
        </w:rPr>
        <w:t>£2.2 billion</w:t>
      </w:r>
      <w:r w:rsidRPr="0078056B">
        <w:rPr>
          <w:color w:val="06357A"/>
        </w:rPr>
        <w:t xml:space="preserve"> </w:t>
      </w:r>
      <w:r w:rsidRPr="0078056B">
        <w:t xml:space="preserve">of impact includes the impacts associated with the University’s </w:t>
      </w:r>
      <w:r w:rsidRPr="0078056B">
        <w:rPr>
          <w:b/>
          <w:bCs/>
          <w:color w:val="06357A"/>
        </w:rPr>
        <w:t>research activities</w:t>
      </w:r>
      <w:r w:rsidRPr="0078056B">
        <w:rPr>
          <w:color w:val="06357A"/>
        </w:rPr>
        <w:t xml:space="preserve"> </w:t>
      </w:r>
      <w:r w:rsidRPr="0078056B">
        <w:t>(</w:t>
      </w:r>
      <w:r w:rsidRPr="0078056B">
        <w:rPr>
          <w:b/>
          <w:bCs/>
          <w:color w:val="06357A"/>
        </w:rPr>
        <w:t>£858 million</w:t>
      </w:r>
      <w:r w:rsidRPr="0078056B">
        <w:t xml:space="preserve">, where a breakdown by region or sector is not available as it was not possible to assign the geographic location or sectors of businesses benefiting from productivity spillovers generated by the University’s research); and the impact of </w:t>
      </w:r>
      <w:r w:rsidRPr="0078056B">
        <w:rPr>
          <w:b/>
          <w:bCs/>
          <w:color w:val="06357A"/>
        </w:rPr>
        <w:t xml:space="preserve">teaching and learning activities </w:t>
      </w:r>
      <w:r w:rsidRPr="0078056B">
        <w:t>(</w:t>
      </w:r>
      <w:r w:rsidRPr="0078056B">
        <w:rPr>
          <w:b/>
          <w:bCs/>
          <w:color w:val="06357A"/>
        </w:rPr>
        <w:t>£1.3 billion</w:t>
      </w:r>
      <w:r w:rsidRPr="0078056B">
        <w:t>, where a breakdown by region or sector is not available due to graduate mobility (i.e. it is very difficult to determine the region/sector of employment that graduates end up in)).</w:t>
      </w:r>
    </w:p>
  </w:footnote>
  <w:footnote w:id="100">
    <w:p w14:paraId="7D75932A" w14:textId="77777777" w:rsidR="009B693C" w:rsidRPr="0078056B" w:rsidRDefault="009B693C" w:rsidP="001B223C">
      <w:pPr>
        <w:pStyle w:val="FootnoteText"/>
        <w:spacing w:before="0"/>
        <w:rPr>
          <w:rFonts w:asciiTheme="minorHAnsi" w:hAnsiTheme="minorHAnsi"/>
          <w:szCs w:val="16"/>
        </w:rPr>
      </w:pPr>
      <w:r w:rsidRPr="0078056B">
        <w:rPr>
          <w:rStyle w:val="FootnoteReference"/>
          <w:rFonts w:asciiTheme="minorHAnsi" w:hAnsiTheme="minorHAnsi"/>
        </w:rPr>
        <w:footnoteRef/>
      </w:r>
      <w:r w:rsidRPr="0078056B">
        <w:rPr>
          <w:rFonts w:asciiTheme="minorHAnsi" w:hAnsiTheme="minorHAnsi"/>
          <w:szCs w:val="16"/>
        </w:rPr>
        <w:t xml:space="preserve"> Also, see Imperial College London (2010) for a summary of Haskel and Wallis’s findings. </w:t>
      </w:r>
    </w:p>
  </w:footnote>
  <w:footnote w:id="101">
    <w:p w14:paraId="229BA952" w14:textId="77777777" w:rsidR="009B693C" w:rsidRPr="0078056B" w:rsidRDefault="009B693C" w:rsidP="001B223C">
      <w:pPr>
        <w:pStyle w:val="FootnoteText"/>
        <w:spacing w:before="0"/>
        <w:rPr>
          <w:szCs w:val="16"/>
        </w:rPr>
      </w:pPr>
      <w:r w:rsidRPr="0078056B">
        <w:rPr>
          <w:rStyle w:val="FootnoteReference"/>
        </w:rPr>
        <w:footnoteRef/>
      </w:r>
      <w:r w:rsidRPr="0078056B">
        <w:rPr>
          <w:szCs w:val="16"/>
        </w:rPr>
        <w:t xml:space="preserve"> The authors use data on government expenditure published by the (former) Department for Business, Innovation and Skills for the financial years between 1986-87 and 2005-06.</w:t>
      </w:r>
    </w:p>
  </w:footnote>
  <w:footnote w:id="102">
    <w:p w14:paraId="48BB7A64" w14:textId="77777777" w:rsidR="009B693C" w:rsidRPr="0078056B" w:rsidRDefault="009B693C" w:rsidP="001B223C">
      <w:pPr>
        <w:pStyle w:val="FootnoteText"/>
        <w:shd w:val="clear" w:color="auto" w:fill="FFFFFF" w:themeFill="background1"/>
        <w:spacing w:before="0"/>
        <w:rPr>
          <w:rFonts w:asciiTheme="minorHAnsi" w:hAnsiTheme="minorHAnsi"/>
          <w:szCs w:val="16"/>
        </w:rPr>
      </w:pPr>
      <w:r w:rsidRPr="0078056B">
        <w:rPr>
          <w:rStyle w:val="FootnoteReference"/>
          <w:rFonts w:asciiTheme="minorHAnsi" w:hAnsiTheme="minorHAnsi"/>
        </w:rPr>
        <w:footnoteRef/>
      </w:r>
      <w:r w:rsidRPr="0078056B">
        <w:rPr>
          <w:rFonts w:asciiTheme="minorHAnsi" w:hAnsiTheme="minorHAnsi"/>
          <w:szCs w:val="16"/>
        </w:rPr>
        <w:t xml:space="preserve"> This is undertaken by regressing total factor productivity growth in the UK on various measures of public sector R&amp;D spending. </w:t>
      </w:r>
    </w:p>
  </w:footnote>
  <w:footnote w:id="103">
    <w:p w14:paraId="5B5332BB" w14:textId="77777777" w:rsidR="009B693C" w:rsidRPr="0078056B" w:rsidRDefault="009B693C" w:rsidP="001B223C">
      <w:pPr>
        <w:pStyle w:val="FootnoteText"/>
        <w:shd w:val="clear" w:color="auto" w:fill="FFFFFF" w:themeFill="background1"/>
        <w:spacing w:before="0"/>
        <w:rPr>
          <w:rFonts w:asciiTheme="minorHAnsi" w:hAnsiTheme="minorHAnsi"/>
          <w:szCs w:val="16"/>
        </w:rPr>
      </w:pPr>
      <w:r w:rsidRPr="0078056B">
        <w:rPr>
          <w:rStyle w:val="FootnoteReference"/>
          <w:rFonts w:asciiTheme="minorHAnsi" w:hAnsiTheme="minorHAnsi"/>
        </w:rPr>
        <w:footnoteRef/>
      </w:r>
      <w:r w:rsidRPr="0078056B">
        <w:rPr>
          <w:rFonts w:asciiTheme="minorHAnsi" w:hAnsiTheme="minorHAnsi"/>
          <w:szCs w:val="16"/>
        </w:rPr>
        <w:t xml:space="preserve"> Note that the authors’ regressions only test for correlation, so their results could be subject to the problem of reverse causation (i.e. it might be the case that increased market sector productivity induced the government to raise public sector spending on R&amp;D). To address this issue, the authors not only test for 1-year lags, but for lags of 2 and 3 years respectively, and produce similar estimates. These time lags imply that if there was a reverse causation issue, it would have to be the government’s </w:t>
      </w:r>
      <w:r w:rsidRPr="0078056B">
        <w:rPr>
          <w:rFonts w:asciiTheme="minorHAnsi" w:hAnsiTheme="minorHAnsi"/>
          <w:i/>
          <w:szCs w:val="16"/>
        </w:rPr>
        <w:t>anticipation</w:t>
      </w:r>
      <w:r w:rsidRPr="0078056B">
        <w:rPr>
          <w:rFonts w:asciiTheme="minorHAnsi" w:hAnsiTheme="minorHAnsi"/>
          <w:szCs w:val="16"/>
        </w:rPr>
        <w:t xml:space="preserve"> of increased total factor productivity growth in 2 or 3 years which would induce the government to raise its spending on research; as this seems an unlikely relationship, Haskel and Wallis argue that their results appear robust in relation to reverse causation.</w:t>
      </w:r>
    </w:p>
  </w:footnote>
  <w:footnote w:id="104">
    <w:p w14:paraId="21CE190F" w14:textId="77777777" w:rsidR="009B693C" w:rsidRPr="0078056B" w:rsidRDefault="009B693C" w:rsidP="001B223C">
      <w:pPr>
        <w:pStyle w:val="FootnoteText"/>
        <w:shd w:val="clear" w:color="auto" w:fill="FFFFFF" w:themeFill="background1"/>
        <w:spacing w:before="0"/>
        <w:rPr>
          <w:szCs w:val="16"/>
        </w:rPr>
      </w:pPr>
      <w:r w:rsidRPr="0078056B">
        <w:rPr>
          <w:rStyle w:val="FootnoteReference"/>
        </w:rPr>
        <w:footnoteRef/>
      </w:r>
      <w:r w:rsidRPr="0078056B">
        <w:rPr>
          <w:szCs w:val="16"/>
        </w:rPr>
        <w:t xml:space="preserve"> Haskel et al. (2014) use data on 7 industries in the United Kingdom for the years 1995 to 2007.</w:t>
      </w:r>
    </w:p>
  </w:footnote>
  <w:footnote w:id="105">
    <w:p w14:paraId="7AA42837" w14:textId="3D05513D" w:rsidR="009B693C" w:rsidRPr="0078056B" w:rsidRDefault="009B693C" w:rsidP="001B223C">
      <w:pPr>
        <w:pStyle w:val="FootnoteText"/>
        <w:spacing w:before="0"/>
        <w:rPr>
          <w:rFonts w:asciiTheme="minorHAnsi" w:hAnsiTheme="minorHAnsi"/>
          <w:szCs w:val="16"/>
        </w:rPr>
      </w:pPr>
      <w:r w:rsidRPr="0078056B">
        <w:rPr>
          <w:rStyle w:val="FootnoteReference"/>
          <w:rFonts w:asciiTheme="minorHAnsi" w:hAnsiTheme="minorHAnsi"/>
        </w:rPr>
        <w:footnoteRef/>
      </w:r>
      <w:r w:rsidRPr="0078056B">
        <w:rPr>
          <w:rFonts w:asciiTheme="minorHAnsi" w:hAnsiTheme="minorHAnsi"/>
          <w:szCs w:val="16"/>
        </w:rPr>
        <w:t xml:space="preserve"> A key difference to the multiplier for Research Council spending provided by Haskel and Wallis (2010) lies in the distinction between </w:t>
      </w:r>
      <w:r w:rsidRPr="0078056B">
        <w:rPr>
          <w:rFonts w:asciiTheme="minorHAnsi" w:hAnsiTheme="minorHAnsi"/>
          <w:i/>
          <w:szCs w:val="16"/>
        </w:rPr>
        <w:t>performed</w:t>
      </w:r>
      <w:r w:rsidRPr="0078056B">
        <w:rPr>
          <w:rFonts w:asciiTheme="minorHAnsi" w:hAnsiTheme="minorHAnsi"/>
          <w:szCs w:val="16"/>
        </w:rPr>
        <w:t xml:space="preserve"> and </w:t>
      </w:r>
      <w:r w:rsidRPr="0078056B">
        <w:rPr>
          <w:rFonts w:asciiTheme="minorHAnsi" w:hAnsiTheme="minorHAnsi"/>
          <w:i/>
          <w:szCs w:val="16"/>
        </w:rPr>
        <w:t>funded</w:t>
      </w:r>
      <w:r w:rsidRPr="0078056B">
        <w:rPr>
          <w:rFonts w:asciiTheme="minorHAnsi" w:hAnsiTheme="minorHAnsi"/>
          <w:szCs w:val="16"/>
        </w:rPr>
        <w:t xml:space="preserve"> research, as outlined by Haskel et al. (2014). In particular, whereas Haskel and Wallis (2010) estimated the impact of research </w:t>
      </w:r>
      <w:r w:rsidRPr="0078056B">
        <w:rPr>
          <w:rFonts w:asciiTheme="minorHAnsi" w:hAnsiTheme="minorHAnsi"/>
          <w:i/>
          <w:szCs w:val="16"/>
        </w:rPr>
        <w:t>funding</w:t>
      </w:r>
      <w:r w:rsidRPr="0078056B">
        <w:rPr>
          <w:rFonts w:asciiTheme="minorHAnsi" w:hAnsiTheme="minorHAnsi"/>
          <w:szCs w:val="16"/>
        </w:rPr>
        <w:t xml:space="preserve"> by the Research Councils on private sector productivity, Haskel et al. (2014) instead focus on the </w:t>
      </w:r>
      <w:r w:rsidRPr="0078056B">
        <w:rPr>
          <w:rFonts w:asciiTheme="minorHAnsi" w:hAnsiTheme="minorHAnsi"/>
          <w:i/>
          <w:szCs w:val="16"/>
        </w:rPr>
        <w:t>performance</w:t>
      </w:r>
      <w:r w:rsidRPr="0078056B">
        <w:rPr>
          <w:rFonts w:asciiTheme="minorHAnsi" w:hAnsiTheme="minorHAnsi"/>
          <w:szCs w:val="16"/>
        </w:rPr>
        <w:t xml:space="preserve"> of R&amp;D. Hence, they use measures of the research undertaken by the Research Councils and the government, rather than the research funding which they provide for external research, (e.g. by higher education </w:t>
      </w:r>
      <w:r w:rsidR="00257F75" w:rsidRPr="0078056B">
        <w:rPr>
          <w:rFonts w:asciiTheme="minorHAnsi" w:hAnsiTheme="minorHAnsi"/>
          <w:szCs w:val="16"/>
        </w:rPr>
        <w:t>institutions</w:t>
      </w:r>
      <w:r w:rsidRPr="0078056B">
        <w:rPr>
          <w:rFonts w:asciiTheme="minorHAnsi" w:hAnsiTheme="minorHAnsi"/>
          <w:szCs w:val="16"/>
        </w:rPr>
        <w:t xml:space="preserve">). The distinction is less relevant in the higher education sector. To measure the research performed in higher education, the authors use Higher Education Funding Council funding where research is both funded by and performed in higher education. </w:t>
      </w:r>
    </w:p>
  </w:footnote>
  <w:footnote w:id="106">
    <w:p w14:paraId="06A7C909" w14:textId="77777777" w:rsidR="009B693C" w:rsidRPr="0078056B" w:rsidRDefault="009B693C" w:rsidP="001B223C">
      <w:pPr>
        <w:pStyle w:val="FootnoteText"/>
        <w:spacing w:before="0"/>
        <w:rPr>
          <w:rFonts w:asciiTheme="minorHAnsi" w:hAnsiTheme="minorHAnsi"/>
          <w:szCs w:val="16"/>
        </w:rPr>
      </w:pPr>
      <w:r w:rsidRPr="0078056B">
        <w:rPr>
          <w:rStyle w:val="FootnoteReference"/>
          <w:rFonts w:asciiTheme="minorHAnsi" w:hAnsiTheme="minorHAnsi"/>
        </w:rPr>
        <w:footnoteRef/>
      </w:r>
      <w:r w:rsidRPr="0078056B">
        <w:rPr>
          <w:rFonts w:asciiTheme="minorHAnsi" w:hAnsiTheme="minorHAnsi"/>
          <w:szCs w:val="16"/>
        </w:rPr>
        <w:t xml:space="preserve"> In particular, the authors regress the three-year natural log difference of total factor productivity on the three-year and six-year lagged ratio of total research performed by the Research Councils, government, and the Higher Education Funding Councils over real gross output per industry. To arrive at the relevant multiplier, this ratio is then interacted with a measure of co-operation of private sector firms with universities and public research institutes, capturing the fraction of firms in each industry co-operating with government or universities. The lagged independent variables are adjusted to ensure that the resulting coefficients can be interpreted as annual elasticities and rates of return.</w:t>
      </w:r>
    </w:p>
  </w:footnote>
  <w:footnote w:id="107">
    <w:p w14:paraId="6DD805E7" w14:textId="77777777" w:rsidR="009B693C" w:rsidRPr="0078056B" w:rsidRDefault="009B693C" w:rsidP="001B223C">
      <w:pPr>
        <w:pStyle w:val="FootnoteText"/>
        <w:spacing w:before="0"/>
      </w:pPr>
      <w:r w:rsidRPr="0078056B">
        <w:rPr>
          <w:rStyle w:val="FootnoteReference"/>
        </w:rPr>
        <w:footnoteRef/>
      </w:r>
      <w:r w:rsidRPr="0078056B">
        <w:t xml:space="preserve"> The coefficient on research council spending is 10.71 in the sample up to 2008, although this is not statistically significant given the limited number of observations employed in their sample.</w:t>
      </w:r>
    </w:p>
  </w:footnote>
  <w:footnote w:id="108">
    <w:p w14:paraId="1367727F" w14:textId="77777777" w:rsidR="009B693C" w:rsidRPr="0078056B" w:rsidRDefault="009B693C" w:rsidP="001B223C">
      <w:pPr>
        <w:pStyle w:val="FootnoteText"/>
        <w:spacing w:before="0"/>
      </w:pPr>
      <w:r w:rsidRPr="0078056B">
        <w:rPr>
          <w:rStyle w:val="FootnoteReference"/>
        </w:rPr>
        <w:footnoteRef/>
      </w:r>
      <w:r w:rsidRPr="0078056B">
        <w:t xml:space="preserve"> See London Economics (2018), </w:t>
      </w:r>
      <w:r w:rsidRPr="0078056B">
        <w:rPr>
          <w:i/>
          <w:iCs/>
        </w:rPr>
        <w:t>The economic impact of the Group of Eight in Australia</w:t>
      </w:r>
      <w:r w:rsidRPr="0078056B">
        <w:t xml:space="preserve"> (Section 2.2.1). The authors find an elasticity of 0.175, which converted to a research spillover, equals 9.76.</w:t>
      </w:r>
    </w:p>
  </w:footnote>
  <w:footnote w:id="109">
    <w:p w14:paraId="02A0241E" w14:textId="77777777" w:rsidR="009B693C" w:rsidRPr="0078056B" w:rsidRDefault="009B693C" w:rsidP="001B223C">
      <w:pPr>
        <w:pStyle w:val="FootnoteText"/>
        <w:spacing w:before="0"/>
      </w:pPr>
      <w:r w:rsidRPr="0078056B">
        <w:rPr>
          <w:rStyle w:val="FootnoteReference"/>
        </w:rPr>
        <w:footnoteRef/>
      </w:r>
      <w:r w:rsidRPr="0078056B">
        <w:t xml:space="preserve"> See also Salter and Martin (2001).</w:t>
      </w:r>
    </w:p>
  </w:footnote>
  <w:footnote w:id="110">
    <w:p w14:paraId="17F1D64D" w14:textId="77777777" w:rsidR="00307258" w:rsidRPr="0078056B" w:rsidRDefault="00307258" w:rsidP="001B223C">
      <w:pPr>
        <w:pStyle w:val="FootnoteText"/>
        <w:spacing w:before="0"/>
      </w:pPr>
      <w:r w:rsidRPr="0078056B">
        <w:rPr>
          <w:rStyle w:val="FootnoteReference"/>
        </w:rPr>
        <w:footnoteRef/>
      </w:r>
      <w:r w:rsidRPr="0078056B">
        <w:t xml:space="preserve"> Note that this does not include productivity spillovers as it is </w:t>
      </w:r>
      <w:r w:rsidRPr="0078056B">
        <w:rPr>
          <w:i/>
          <w:iCs/>
        </w:rPr>
        <w:t>not</w:t>
      </w:r>
      <w:r w:rsidRPr="0078056B">
        <w:t xml:space="preserve"> possible to provide a breakdown by region or sector (as it is not possible to assign a geographic location or sector to each business benefiting from productivity spillovers generated by the University of Birmingham’s research).</w:t>
      </w:r>
    </w:p>
  </w:footnote>
  <w:footnote w:id="111">
    <w:p w14:paraId="33B71886" w14:textId="77777777" w:rsidR="00307258" w:rsidRPr="0078056B" w:rsidRDefault="00307258" w:rsidP="001B223C">
      <w:pPr>
        <w:pStyle w:val="FootnoteText"/>
        <w:spacing w:before="0"/>
      </w:pPr>
      <w:r w:rsidRPr="0078056B">
        <w:rPr>
          <w:rStyle w:val="FootnoteReference"/>
        </w:rPr>
        <w:footnoteRef/>
      </w:r>
      <w:r w:rsidRPr="0078056B">
        <w:t xml:space="preserve"> Note that this is the total impact that can be broken down by regions and sectors, i.e. the impact of research activities and knowledge exchange activities, and therefore does not include productivity spillovers.</w:t>
      </w:r>
    </w:p>
  </w:footnote>
  <w:footnote w:id="112">
    <w:p w14:paraId="2AA54C47" w14:textId="77777777" w:rsidR="003A6119" w:rsidRPr="0078056B" w:rsidRDefault="003A6119" w:rsidP="001B223C">
      <w:pPr>
        <w:pStyle w:val="FootnoteText"/>
        <w:spacing w:before="0"/>
      </w:pPr>
      <w:r w:rsidRPr="0078056B">
        <w:rPr>
          <w:rStyle w:val="FootnoteReference"/>
        </w:rPr>
        <w:footnoteRef/>
      </w:r>
      <w:r w:rsidRPr="0078056B">
        <w:t xml:space="preserve"> Data is based on </w:t>
      </w:r>
      <w:r w:rsidRPr="0078056B">
        <w:rPr>
          <w:bCs/>
          <w:iCs/>
        </w:rPr>
        <w:t>the</w:t>
      </w:r>
      <w:r w:rsidRPr="0078056B">
        <w:rPr>
          <w:b/>
          <w:bCs/>
          <w:i/>
          <w:iCs/>
        </w:rPr>
        <w:t xml:space="preserve"> </w:t>
      </w:r>
      <w:r w:rsidRPr="0078056B">
        <w:rPr>
          <w:bCs/>
          <w:iCs/>
        </w:rPr>
        <w:t>University of Birmingham’s 2021-22 HESA Student submission.</w:t>
      </w:r>
    </w:p>
  </w:footnote>
  <w:footnote w:id="113">
    <w:p w14:paraId="226C15BD" w14:textId="77777777" w:rsidR="003A6119" w:rsidRPr="0078056B" w:rsidRDefault="003A6119" w:rsidP="001B223C">
      <w:pPr>
        <w:pStyle w:val="FootnoteText"/>
        <w:spacing w:before="0"/>
        <w:rPr>
          <w:rFonts w:cs="Calibri"/>
          <w:szCs w:val="16"/>
        </w:rPr>
      </w:pPr>
      <w:r w:rsidRPr="0078056B">
        <w:rPr>
          <w:rStyle w:val="FootnoteReference"/>
          <w:rFonts w:cs="Calibri"/>
          <w:szCs w:val="16"/>
        </w:rPr>
        <w:footnoteRef/>
      </w:r>
      <w:r w:rsidRPr="0078056B">
        <w:rPr>
          <w:rFonts w:cs="Calibri"/>
          <w:szCs w:val="16"/>
        </w:rPr>
        <w:t xml:space="preserve"> In other words, we assume that students who discontinued their studies at least complete one or several standalone modules associated with their intended qualification, so that these students’ completion outcomes were modelled as either completion at ‘other undergraduate’ or ‘other postgraduate’ level. As a result, the total assumed completion rates sum up to 100%.</w:t>
      </w:r>
    </w:p>
  </w:footnote>
  <w:footnote w:id="114">
    <w:p w14:paraId="278AB440" w14:textId="1D8CEF5B" w:rsidR="003A6119" w:rsidRPr="0078056B" w:rsidRDefault="003A6119" w:rsidP="001B223C">
      <w:pPr>
        <w:pStyle w:val="FootnoteText"/>
        <w:spacing w:before="0"/>
      </w:pPr>
      <w:r w:rsidRPr="0078056B">
        <w:rPr>
          <w:rStyle w:val="FootnoteReference"/>
        </w:rPr>
        <w:footnoteRef/>
      </w:r>
      <w:r w:rsidRPr="0078056B">
        <w:t xml:space="preserve"> See Annex </w:t>
      </w:r>
      <w:r w:rsidRPr="0078056B">
        <w:fldChar w:fldCharType="begin"/>
      </w:r>
      <w:r w:rsidRPr="0078056B">
        <w:instrText xml:space="preserve"> REF _Ref143860198 \r \h </w:instrText>
      </w:r>
      <w:r w:rsidR="0078056B">
        <w:instrText xml:space="preserve"> \* MERGEFORMAT </w:instrText>
      </w:r>
      <w:r w:rsidRPr="0078056B">
        <w:fldChar w:fldCharType="separate"/>
      </w:r>
      <w:r w:rsidR="00E33157">
        <w:t>A2.3.5</w:t>
      </w:r>
      <w:r w:rsidRPr="0078056B">
        <w:fldChar w:fldCharType="end"/>
      </w:r>
      <w:r w:rsidRPr="0078056B">
        <w:t xml:space="preserve"> for more information.</w:t>
      </w:r>
    </w:p>
  </w:footnote>
  <w:footnote w:id="115">
    <w:p w14:paraId="0F31C4C2" w14:textId="77777777" w:rsidR="003A6119" w:rsidRPr="0078056B" w:rsidRDefault="003A6119" w:rsidP="001B223C">
      <w:pPr>
        <w:pStyle w:val="FootnoteText"/>
        <w:spacing w:before="0"/>
        <w:rPr>
          <w:rFonts w:asciiTheme="minorHAnsi" w:hAnsiTheme="minorHAnsi" w:cstheme="minorHAnsi"/>
          <w:szCs w:val="16"/>
        </w:rPr>
      </w:pPr>
      <w:r w:rsidRPr="0078056B">
        <w:rPr>
          <w:rStyle w:val="FootnoteReference"/>
        </w:rPr>
        <w:footnoteRef/>
      </w:r>
      <w:r w:rsidRPr="0078056B">
        <w:t xml:space="preserve"> </w:t>
      </w:r>
      <w:r w:rsidRPr="0078056B">
        <w:rPr>
          <w:rFonts w:asciiTheme="minorHAnsi" w:hAnsiTheme="minorHAnsi" w:cstheme="minorHAnsi"/>
          <w:szCs w:val="16"/>
        </w:rPr>
        <w:t>‘Other’ postgraduate relates to Labour Force Survey variables HIQUAL8, HIQUAL11, HIQUAL15 and HIQUAL22 value labels ‘</w:t>
      </w:r>
      <w:r w:rsidRPr="0078056B">
        <w:t xml:space="preserve">Postgraduate Certificate in Education’, </w:t>
      </w:r>
      <w:r w:rsidRPr="0078056B">
        <w:rPr>
          <w:rFonts w:asciiTheme="minorHAnsi" w:hAnsiTheme="minorHAnsi" w:cstheme="minorHAnsi"/>
          <w:szCs w:val="16"/>
        </w:rPr>
        <w:t>‘Other postgraduate degree or professional qualification’ and ‘Don’t know’, for individuals who selected ‘Higher degree’ (other than Masters or Doctorate degree).</w:t>
      </w:r>
    </w:p>
  </w:footnote>
  <w:footnote w:id="116">
    <w:p w14:paraId="03560139" w14:textId="77777777" w:rsidR="003A6119" w:rsidRPr="0078056B" w:rsidRDefault="003A6119" w:rsidP="001B223C">
      <w:pPr>
        <w:pStyle w:val="FootnoteText"/>
        <w:spacing w:before="0"/>
        <w:rPr>
          <w:rFonts w:asciiTheme="minorHAnsi" w:hAnsiTheme="minorHAnsi"/>
          <w:szCs w:val="16"/>
        </w:rPr>
      </w:pPr>
      <w:r w:rsidRPr="0078056B">
        <w:rPr>
          <w:rFonts w:asciiTheme="minorHAnsi" w:hAnsiTheme="minorHAnsi"/>
          <w:szCs w:val="16"/>
          <w:vertAlign w:val="superscript"/>
        </w:rPr>
        <w:footnoteRef/>
      </w:r>
      <w:r w:rsidRPr="0078056B">
        <w:rPr>
          <w:rFonts w:asciiTheme="minorHAnsi" w:hAnsiTheme="minorHAnsi"/>
          <w:szCs w:val="16"/>
        </w:rPr>
        <w:t xml:space="preserve"> </w:t>
      </w:r>
      <w:r w:rsidRPr="0078056B">
        <w:rPr>
          <w:rFonts w:asciiTheme="minorHAnsi" w:hAnsiTheme="minorHAnsi" w:cstheme="minorHAnsi"/>
          <w:szCs w:val="16"/>
        </w:rPr>
        <w:t xml:space="preserve">‘Other’ undergraduate </w:t>
      </w:r>
      <w:bookmarkStart w:id="481" w:name="_Hlk29212284"/>
      <w:r w:rsidRPr="0078056B">
        <w:rPr>
          <w:rFonts w:eastAsia="Times New Roman"/>
        </w:rPr>
        <w:t>relates to Labour Force Survey variables HIQUAL8, HIQUAL11, HIQUAL15 and HIQUAL22 value labels ‘other degree’, ‘diploma in higher education’, and ‘other higher education below degree’</w:t>
      </w:r>
      <w:r w:rsidRPr="0078056B">
        <w:rPr>
          <w:rFonts w:asciiTheme="minorHAnsi" w:hAnsiTheme="minorHAnsi" w:cstheme="minorHAnsi"/>
          <w:szCs w:val="16"/>
        </w:rPr>
        <w:t>. Interviewers are instructed to use ‘other higher education below degree’ only if the respondent states that they have ‘something from higher education but they do not know what it is’. It is therefore not possible to provide examples of typical qualifications that would normally fall under this category. The response option serves the purpose of confirming that higher education qualifications have been achieved but that the respondent is unaware of the actual qualification title itself.</w:t>
      </w:r>
      <w:bookmarkEnd w:id="481"/>
    </w:p>
  </w:footnote>
  <w:footnote w:id="117">
    <w:p w14:paraId="1579AAC5" w14:textId="6BB46B2D" w:rsidR="003A6119" w:rsidRPr="0078056B" w:rsidRDefault="003A6119" w:rsidP="001B223C">
      <w:pPr>
        <w:pStyle w:val="FootnoteText"/>
        <w:spacing w:before="0"/>
      </w:pPr>
      <w:r w:rsidRPr="0078056B">
        <w:rPr>
          <w:rStyle w:val="FootnoteReference"/>
        </w:rPr>
        <w:footnoteRef/>
      </w:r>
      <w:r w:rsidRPr="0078056B">
        <w:t xml:space="preserve"> Historically (and looking across all UK higher education institutions), students starting first degrees or other undergraduate qualifications are in possession of </w:t>
      </w:r>
      <w:r w:rsidRPr="0078056B">
        <w:rPr>
          <w:rFonts w:asciiTheme="minorHAnsi" w:hAnsiTheme="minorHAnsi" w:cs="Calibri"/>
        </w:rPr>
        <w:t xml:space="preserve">2 or more GCE ‘A’ Levels as their highest level of prior attainment. However, as this is no longer the case for all HE institutions and subject areas, </w:t>
      </w:r>
      <w:r w:rsidR="00481436" w:rsidRPr="0078056B">
        <w:rPr>
          <w:rFonts w:asciiTheme="minorHAnsi" w:hAnsiTheme="minorHAnsi" w:cs="Calibri"/>
        </w:rPr>
        <w:t xml:space="preserve">the analysis reflects the fact that more than 40% of first degree students in the 2021-22 University of Birmingham cohort started their degrees with </w:t>
      </w:r>
      <w:r w:rsidR="00481436" w:rsidRPr="0078056B">
        <w:t xml:space="preserve">RQF Level 3 </w:t>
      </w:r>
      <w:r w:rsidRPr="0078056B">
        <w:rPr>
          <w:rFonts w:asciiTheme="minorHAnsi" w:hAnsiTheme="minorHAnsi" w:cs="Calibri"/>
        </w:rPr>
        <w:t xml:space="preserve">qualifications </w:t>
      </w:r>
      <w:r w:rsidRPr="0078056B">
        <w:rPr>
          <w:rFonts w:asciiTheme="minorHAnsi" w:hAnsiTheme="minorHAnsi" w:cs="Calibri"/>
          <w:i/>
          <w:iCs/>
        </w:rPr>
        <w:t>other than</w:t>
      </w:r>
      <w:r w:rsidRPr="0078056B">
        <w:rPr>
          <w:rFonts w:asciiTheme="minorHAnsi" w:hAnsiTheme="minorHAnsi" w:cs="Calibri"/>
        </w:rPr>
        <w:t xml:space="preserve"> GCE ‘A’ Levels as their highest prior attainment.</w:t>
      </w:r>
    </w:p>
  </w:footnote>
  <w:footnote w:id="118">
    <w:p w14:paraId="779910D8" w14:textId="77777777" w:rsidR="003A6119" w:rsidRPr="0078056B" w:rsidRDefault="003A6119" w:rsidP="001B223C">
      <w:pPr>
        <w:pStyle w:val="FootnoteText"/>
        <w:spacing w:before="0"/>
      </w:pPr>
      <w:r w:rsidRPr="0078056B">
        <w:rPr>
          <w:rStyle w:val="FootnoteReference"/>
        </w:rPr>
        <w:footnoteRef/>
      </w:r>
      <w:r w:rsidRPr="0078056B">
        <w:t xml:space="preserve"> In terms of prior attainment for HE students, note that for 215 students in the 2021-22 cohort of UK domiciled students, previous attainment levels were specified as ‘Not known’, ‘Mature student admitted on basis of previous experience and/or admissions test’ or ‘Other qualification level not known’. For these students, we imputed their prior attainment level using a group-wise imputation approach based on the most common prior attainment among students in the cohort undertaking qualifications at the same level, separately by study mode.</w:t>
      </w:r>
    </w:p>
  </w:footnote>
  <w:footnote w:id="119">
    <w:p w14:paraId="46282109" w14:textId="77777777" w:rsidR="003A6119" w:rsidRPr="0078056B" w:rsidRDefault="003A6119" w:rsidP="001B223C">
      <w:pPr>
        <w:pStyle w:val="FootnoteText"/>
        <w:spacing w:before="0"/>
        <w:rPr>
          <w:szCs w:val="16"/>
        </w:rPr>
      </w:pPr>
      <w:r w:rsidRPr="0078056B">
        <w:rPr>
          <w:rStyle w:val="FootnoteReference"/>
        </w:rPr>
        <w:footnoteRef/>
      </w:r>
      <w:r w:rsidRPr="0078056B">
        <w:rPr>
          <w:szCs w:val="16"/>
        </w:rPr>
        <w:t xml:space="preserve"> In some instances, this stepwise calculation would result in </w:t>
      </w:r>
      <w:r w:rsidRPr="0078056B">
        <w:rPr>
          <w:i/>
          <w:szCs w:val="16"/>
        </w:rPr>
        <w:t>negative</w:t>
      </w:r>
      <w:r w:rsidRPr="0078056B">
        <w:rPr>
          <w:szCs w:val="16"/>
        </w:rPr>
        <w:t xml:space="preserve"> lifetime returns to achieving higher education qualifications. As this seems illogical and unlikely in reality, any negative returns in these instances were set to zero. Hence, the analysis implicitly assumes that all calculated gross returns (</w:t>
      </w:r>
      <w:r w:rsidRPr="0078056B">
        <w:rPr>
          <w:i/>
          <w:szCs w:val="16"/>
        </w:rPr>
        <w:t>before</w:t>
      </w:r>
      <w:r w:rsidRPr="0078056B">
        <w:rPr>
          <w:szCs w:val="16"/>
        </w:rPr>
        <w:t xml:space="preserve"> the deduction of any foregone earnings or other costs) can only be greater than or equal to zero (i.e. there can be no wage or employment </w:t>
      </w:r>
      <w:r w:rsidRPr="0078056B">
        <w:rPr>
          <w:i/>
          <w:szCs w:val="16"/>
        </w:rPr>
        <w:t>penalty</w:t>
      </w:r>
      <w:r w:rsidRPr="0078056B">
        <w:rPr>
          <w:szCs w:val="16"/>
        </w:rPr>
        <w:t xml:space="preserve"> associated with any higher education qualification attainment, irrespective of the level of prior education attainment).</w:t>
      </w:r>
    </w:p>
  </w:footnote>
  <w:footnote w:id="120">
    <w:p w14:paraId="0C8825C6" w14:textId="77777777" w:rsidR="003A6119" w:rsidRPr="0078056B" w:rsidRDefault="003A6119" w:rsidP="001B223C">
      <w:pPr>
        <w:pStyle w:val="FootnoteText"/>
        <w:spacing w:before="0"/>
      </w:pPr>
      <w:r w:rsidRPr="0078056B">
        <w:rPr>
          <w:rStyle w:val="FootnoteReference"/>
        </w:rPr>
        <w:footnoteRef/>
      </w:r>
      <w:r w:rsidRPr="0078056B">
        <w:t xml:space="preserve"> This subject mix adjustment was made by applying weights in the LFS regressions reflecting the proportion of students in the cohort enrolled in each subject area. T</w:t>
      </w:r>
      <w:r w:rsidRPr="0078056B">
        <w:rPr>
          <w:rFonts w:asciiTheme="minorHAnsi" w:hAnsiTheme="minorHAnsi"/>
        </w:rPr>
        <w:t xml:space="preserve">he HESA Common Aggregation Hierarchy </w:t>
      </w:r>
      <w:r w:rsidRPr="0078056B">
        <w:rPr>
          <w:rFonts w:asciiTheme="minorHAnsi" w:hAnsiTheme="minorHAnsi" w:cs="Arial"/>
          <w:shd w:val="clear" w:color="auto" w:fill="FFFFFF"/>
        </w:rPr>
        <w:t>(CAH) was used to classify subject areas for HE qualification holders. The following subject groups were distinguished</w:t>
      </w:r>
      <w:r w:rsidRPr="0078056B">
        <w:t>: (1) Medicine &amp; dentistry, (2) Subjects allied to medicine, (3) Biological and sports sciences, (4) Psychology, (5) Veterinary science, (6) Agriculture, food &amp; related subjects, (7) Physical sciences, (8) General &amp; others in sciences, (9) Mathematical sciences, (10) Engineering &amp; technology, (11) Computer science, (13) Architecture, building &amp; planning, (14) Humanities &amp; liberal arts (non-specific), (15) Social sciences, (16) Law, (17) Business &amp; management, (19) Language &amp; area studies, (20) Historical, philosophical &amp; religious studies, (22) Education and teaching, (23) Combined &amp; general studies, (24) Media, journalism and communications, (25) Design, and creative and performing arts, and (26) Geography, earth and environmental studies.</w:t>
      </w:r>
    </w:p>
  </w:footnote>
  <w:footnote w:id="121">
    <w:p w14:paraId="5E1DC5B0" w14:textId="77777777" w:rsidR="003A6119" w:rsidRPr="0078056B" w:rsidRDefault="003A6119" w:rsidP="001B223C">
      <w:pPr>
        <w:pStyle w:val="FootnoteText"/>
        <w:spacing w:before="0"/>
      </w:pPr>
      <w:r w:rsidRPr="0078056B">
        <w:rPr>
          <w:rStyle w:val="FootnoteReference"/>
        </w:rPr>
        <w:footnoteRef/>
      </w:r>
      <w:r w:rsidRPr="0078056B">
        <w:t xml:space="preserve"> Note that the LFS data did not include information on subject for students undertaking ‘other undergraduate’ qualifications. Therefore, the subject mix adjustment factors for other undergraduate qualifications were instead based on the subject-level returns to first degrees, weighted by the number of students in the cohort undertaking other undergraduate qualifications in each subject, and multiplied by the overall ratio of the marginal earnings returns to other undergraduate qualifications relative to first degrees (across all subjects). </w:t>
      </w:r>
    </w:p>
  </w:footnote>
  <w:footnote w:id="122">
    <w:p w14:paraId="3735E9F3" w14:textId="77777777" w:rsidR="003A6119" w:rsidRPr="0078056B" w:rsidRDefault="003A6119" w:rsidP="001B223C">
      <w:pPr>
        <w:pStyle w:val="FootnoteText"/>
        <w:spacing w:before="0"/>
      </w:pPr>
      <w:r w:rsidRPr="0078056B">
        <w:rPr>
          <w:rStyle w:val="FootnoteReference"/>
        </w:rPr>
        <w:footnoteRef/>
      </w:r>
      <w:r w:rsidRPr="0078056B">
        <w:t xml:space="preserve"> Where i is again an individual LFS respondent.</w:t>
      </w:r>
    </w:p>
  </w:footnote>
  <w:footnote w:id="123">
    <w:p w14:paraId="2A5CD02B" w14:textId="77777777" w:rsidR="003A6119" w:rsidRPr="0078056B" w:rsidRDefault="003A6119" w:rsidP="001B223C">
      <w:pPr>
        <w:pStyle w:val="FootnoteText"/>
        <w:spacing w:before="0"/>
      </w:pPr>
      <w:r w:rsidRPr="0078056B">
        <w:rPr>
          <w:rStyle w:val="FootnoteReference"/>
        </w:rPr>
        <w:footnoteRef/>
      </w:r>
      <w:r w:rsidRPr="0078056B">
        <w:t xml:space="preserve"> </w:t>
      </w:r>
      <w:r w:rsidRPr="0078056B">
        <w:rPr>
          <w:rFonts w:asciiTheme="minorHAnsi" w:hAnsiTheme="minorHAnsi" w:cs="Calibri"/>
        </w:rPr>
        <w:t xml:space="preserve">The probit function reflects the cumulative distribution function of the standard normal distribution. </w:t>
      </w:r>
    </w:p>
  </w:footnote>
  <w:footnote w:id="124">
    <w:p w14:paraId="45AAC0A3" w14:textId="6DE49AB0" w:rsidR="003A6119" w:rsidRPr="0078056B" w:rsidRDefault="003A6119" w:rsidP="001B223C">
      <w:pPr>
        <w:pStyle w:val="FootnoteText"/>
        <w:spacing w:before="0"/>
        <w:rPr>
          <w:szCs w:val="16"/>
        </w:rPr>
      </w:pPr>
      <w:r w:rsidRPr="0078056B">
        <w:rPr>
          <w:rStyle w:val="FootnoteReference"/>
        </w:rPr>
        <w:footnoteRef/>
      </w:r>
      <w:r w:rsidRPr="0078056B">
        <w:rPr>
          <w:szCs w:val="16"/>
        </w:rPr>
        <w:t xml:space="preserve"> The assumed average age at enrolment is based on the number of individuals in the cohort assumed to </w:t>
      </w:r>
      <w:r w:rsidRPr="0078056B">
        <w:rPr>
          <w:i/>
          <w:szCs w:val="16"/>
        </w:rPr>
        <w:t>complete</w:t>
      </w:r>
      <w:r w:rsidRPr="0078056B">
        <w:rPr>
          <w:szCs w:val="16"/>
        </w:rPr>
        <w:t xml:space="preserve"> a given qualification at the University of Birmingham (based on the assumption that some students might complete a different qualification than initially intended, or instead only complete several standalone credits/modules associated with the intended qualification (see Annex </w:t>
      </w:r>
      <w:r w:rsidRPr="0078056B">
        <w:rPr>
          <w:szCs w:val="16"/>
        </w:rPr>
        <w:fldChar w:fldCharType="begin"/>
      </w:r>
      <w:r w:rsidRPr="0078056B">
        <w:rPr>
          <w:szCs w:val="16"/>
        </w:rPr>
        <w:instrText xml:space="preserve"> REF _Ref143866239 \r \h </w:instrText>
      </w:r>
      <w:r w:rsidR="0078056B">
        <w:rPr>
          <w:szCs w:val="16"/>
        </w:rPr>
        <w:instrText xml:space="preserve"> \* MERGEFORMAT </w:instrText>
      </w:r>
      <w:r w:rsidRPr="0078056B">
        <w:rPr>
          <w:szCs w:val="16"/>
        </w:rPr>
      </w:r>
      <w:r w:rsidRPr="0078056B">
        <w:rPr>
          <w:szCs w:val="16"/>
        </w:rPr>
        <w:fldChar w:fldCharType="separate"/>
      </w:r>
      <w:r w:rsidR="00E33157">
        <w:rPr>
          <w:szCs w:val="16"/>
        </w:rPr>
        <w:t>A2.3.1</w:t>
      </w:r>
      <w:r w:rsidRPr="0078056B">
        <w:rPr>
          <w:szCs w:val="16"/>
        </w:rPr>
        <w:fldChar w:fldCharType="end"/>
      </w:r>
      <w:r w:rsidRPr="0078056B">
        <w:rPr>
          <w:szCs w:val="16"/>
        </w:rPr>
        <w:t xml:space="preserve"> for more information)). In particular, the age at enrolment per qualification (based on the HESA data provided by the University of Birmingham) is calculated as the weighted average age at enrolment across students in the 2021-22 cohort expected to </w:t>
      </w:r>
      <w:r w:rsidRPr="0078056B">
        <w:rPr>
          <w:i/>
          <w:szCs w:val="16"/>
        </w:rPr>
        <w:t>complete</w:t>
      </w:r>
      <w:r w:rsidRPr="0078056B">
        <w:rPr>
          <w:szCs w:val="16"/>
        </w:rPr>
        <w:t xml:space="preserve"> the given qualification (weighted by the number of students starting different qualification aims and completing each given qualification, separately by study mode). The assumed average duration of study for both full-time and part-time students (by qualification level) is based on separate information provided by the University of Birmingham.</w:t>
      </w:r>
    </w:p>
  </w:footnote>
  <w:footnote w:id="125">
    <w:p w14:paraId="42ACFDD6" w14:textId="77777777" w:rsidR="003A6119" w:rsidRPr="0078056B" w:rsidRDefault="003A6119" w:rsidP="001B223C">
      <w:pPr>
        <w:pStyle w:val="FootnoteText"/>
        <w:spacing w:before="0"/>
        <w:rPr>
          <w:rFonts w:asciiTheme="minorHAnsi" w:hAnsiTheme="minorHAnsi"/>
          <w:szCs w:val="16"/>
        </w:rPr>
      </w:pPr>
      <w:r w:rsidRPr="0078056B">
        <w:rPr>
          <w:rStyle w:val="FootnoteReference"/>
          <w:rFonts w:asciiTheme="minorHAnsi" w:hAnsiTheme="minorHAnsi"/>
        </w:rPr>
        <w:footnoteRef/>
      </w:r>
      <w:r w:rsidRPr="0078056B">
        <w:rPr>
          <w:rFonts w:asciiTheme="minorHAnsi" w:hAnsiTheme="minorHAnsi"/>
          <w:szCs w:val="16"/>
        </w:rPr>
        <w:t xml:space="preserve"> E.g. Callender et al. (2011) suggest that the evidence points to decreasing employment returns with age at qualification: older graduates are less likely to be employed than younger graduates three and a half years after graduation; however, there are no differences in the likelihood of graduates undertaking part-time and full-time study being employed according to their age or motivations to study.</w:t>
      </w:r>
    </w:p>
  </w:footnote>
  <w:footnote w:id="126">
    <w:p w14:paraId="0192E5AB" w14:textId="49F6FFF0" w:rsidR="003A6119" w:rsidRPr="0078056B" w:rsidRDefault="003A6119" w:rsidP="001B223C">
      <w:pPr>
        <w:pStyle w:val="FootnoteText"/>
        <w:spacing w:before="0"/>
      </w:pPr>
      <w:r w:rsidRPr="0078056B">
        <w:rPr>
          <w:rStyle w:val="FootnoteReference"/>
        </w:rPr>
        <w:footnoteRef/>
      </w:r>
      <w:r w:rsidRPr="0078056B">
        <w:t xml:space="preserve"> Specifically, we make use of the Office for Budget Responsibility’s short-term forecasts (for 2022-23 to 2028-29; see Office for Budget Responsibility (2023a)) and long-term forecasts (for 2029-30 to 2072-73; see Office for Budget Responsibility (2023b)) of nominal average earnings growth. The assumed </w:t>
      </w:r>
      <w:r w:rsidRPr="0078056B">
        <w:rPr>
          <w:rFonts w:asciiTheme="minorHAnsi" w:hAnsiTheme="minorHAnsi"/>
          <w:szCs w:val="16"/>
        </w:rPr>
        <w:t>1.5%</w:t>
      </w:r>
      <w:r w:rsidRPr="0078056B">
        <w:t xml:space="preserve"> rate captures the average annual growth rate in real earnings over the total period (adjusted from nominal to real terms based on projected </w:t>
      </w:r>
      <w:r w:rsidR="00C62CCF" w:rsidRPr="0078056B">
        <w:t>c</w:t>
      </w:r>
      <w:r w:rsidRPr="0078056B">
        <w:t xml:space="preserve">onsumer </w:t>
      </w:r>
      <w:r w:rsidR="00C62CCF" w:rsidRPr="0078056B">
        <w:t>pr</w:t>
      </w:r>
      <w:r w:rsidRPr="0078056B">
        <w:t xml:space="preserve">ice </w:t>
      </w:r>
      <w:r w:rsidR="00C62CCF" w:rsidRPr="0078056B">
        <w:t>i</w:t>
      </w:r>
      <w:r w:rsidRPr="0078056B">
        <w:t>ndex (CPI) inflation over the same period (and based on the same sources)).</w:t>
      </w:r>
    </w:p>
  </w:footnote>
  <w:footnote w:id="127">
    <w:p w14:paraId="7B818C50" w14:textId="77777777" w:rsidR="003A6119" w:rsidRPr="0078056B" w:rsidRDefault="003A6119" w:rsidP="001B223C">
      <w:pPr>
        <w:pStyle w:val="FootnoteText"/>
        <w:spacing w:before="0"/>
        <w:rPr>
          <w:rFonts w:asciiTheme="minorHAnsi" w:hAnsiTheme="minorHAnsi"/>
          <w:szCs w:val="16"/>
        </w:rPr>
      </w:pPr>
      <w:r w:rsidRPr="0078056B">
        <w:rPr>
          <w:rStyle w:val="FootnoteReference"/>
          <w:rFonts w:asciiTheme="minorHAnsi" w:hAnsiTheme="minorHAnsi"/>
        </w:rPr>
        <w:footnoteRef/>
      </w:r>
      <w:r w:rsidRPr="0078056B">
        <w:rPr>
          <w:rFonts w:asciiTheme="minorHAnsi" w:hAnsiTheme="minorHAnsi"/>
          <w:szCs w:val="16"/>
        </w:rPr>
        <w:t xml:space="preserve"> i.e. 2021-22. Note that the analysis assumes fiscal neutrality, i.e. it is asserted that, in subsequent years, the earnings tax and National Insurance income bands grow at the same rate of annual earnings growth of 1.5%.</w:t>
      </w:r>
    </w:p>
  </w:footnote>
  <w:footnote w:id="128">
    <w:p w14:paraId="33F0C5F0" w14:textId="77777777" w:rsidR="003A6119" w:rsidRPr="0078056B" w:rsidRDefault="003A6119" w:rsidP="001B223C">
      <w:pPr>
        <w:pStyle w:val="FootnoteText"/>
        <w:spacing w:before="0"/>
        <w:rPr>
          <w:rFonts w:asciiTheme="minorHAnsi" w:hAnsiTheme="minorHAnsi"/>
          <w:szCs w:val="16"/>
        </w:rPr>
      </w:pPr>
      <w:r w:rsidRPr="0078056B">
        <w:rPr>
          <w:rStyle w:val="FootnoteReference"/>
          <w:rFonts w:asciiTheme="minorHAnsi" w:hAnsiTheme="minorHAnsi"/>
        </w:rPr>
        <w:footnoteRef/>
      </w:r>
      <w:r w:rsidRPr="0078056B">
        <w:rPr>
          <w:rFonts w:asciiTheme="minorHAnsi" w:hAnsiTheme="minorHAnsi"/>
          <w:szCs w:val="16"/>
        </w:rPr>
        <w:t xml:space="preserve"> The tax adjustment also takes account of increased VAT revenues for HMG, by assuming that individuals consume 92.1% of their annual income, and that 50% of their consumption is subject to VAT at a rate of 20%. The assumed proportion of income consumed is based on forecasts of the household savings rate published by the Office for Budget Responsibility (2023a), while the proportion of consumption subject to VAT is based on VAT estimates provided by the Office for Budget Responsibility (no date).</w:t>
      </w:r>
    </w:p>
  </w:footnote>
  <w:footnote w:id="129">
    <w:p w14:paraId="36E6445B" w14:textId="4414294E" w:rsidR="003A6119" w:rsidRPr="0078056B" w:rsidRDefault="003A6119" w:rsidP="001B223C">
      <w:pPr>
        <w:pStyle w:val="FootnoteText"/>
        <w:spacing w:before="0"/>
        <w:rPr>
          <w:szCs w:val="16"/>
        </w:rPr>
      </w:pPr>
      <w:r w:rsidRPr="0078056B">
        <w:rPr>
          <w:rStyle w:val="FootnoteReference"/>
        </w:rPr>
        <w:footnoteRef/>
      </w:r>
      <w:r w:rsidRPr="0078056B">
        <w:rPr>
          <w:szCs w:val="16"/>
        </w:rPr>
        <w:t xml:space="preserve"> The foregone earnings calculations are based on the baseline or counterfactual earnings associated with either a</w:t>
      </w:r>
      <w:r w:rsidRPr="0078056B">
        <w:t xml:space="preserve"> Level 3 (academic or vocational) </w:t>
      </w:r>
      <w:r w:rsidRPr="0078056B">
        <w:rPr>
          <w:rFonts w:asciiTheme="minorHAnsi" w:hAnsiTheme="minorHAnsi" w:cs="Calibri"/>
          <w:szCs w:val="16"/>
        </w:rPr>
        <w:t xml:space="preserve">qualification or first degrees. Specifically, as outlined in Annex </w:t>
      </w:r>
      <w:r w:rsidRPr="0078056B">
        <w:rPr>
          <w:rFonts w:asciiTheme="minorHAnsi" w:hAnsiTheme="minorHAnsi" w:cs="Calibri"/>
          <w:szCs w:val="16"/>
        </w:rPr>
        <w:fldChar w:fldCharType="begin"/>
      </w:r>
      <w:r w:rsidRPr="0078056B">
        <w:rPr>
          <w:rFonts w:asciiTheme="minorHAnsi" w:hAnsiTheme="minorHAnsi" w:cs="Calibri"/>
          <w:szCs w:val="16"/>
        </w:rPr>
        <w:instrText xml:space="preserve"> REF _Ref454898098 \r \h </w:instrText>
      </w:r>
      <w:r w:rsidR="0078056B">
        <w:rPr>
          <w:rFonts w:asciiTheme="minorHAnsi" w:hAnsiTheme="minorHAnsi" w:cs="Calibri"/>
          <w:szCs w:val="16"/>
        </w:rPr>
        <w:instrText xml:space="preserve"> \* MERGEFORMAT </w:instrText>
      </w:r>
      <w:r w:rsidRPr="0078056B">
        <w:rPr>
          <w:rFonts w:asciiTheme="minorHAnsi" w:hAnsiTheme="minorHAnsi" w:cs="Calibri"/>
          <w:szCs w:val="16"/>
        </w:rPr>
      </w:r>
      <w:r w:rsidRPr="0078056B">
        <w:rPr>
          <w:rFonts w:asciiTheme="minorHAnsi" w:hAnsiTheme="minorHAnsi" w:cs="Calibri"/>
          <w:szCs w:val="16"/>
        </w:rPr>
        <w:fldChar w:fldCharType="separate"/>
      </w:r>
      <w:r w:rsidR="00E33157">
        <w:rPr>
          <w:rFonts w:asciiTheme="minorHAnsi" w:hAnsiTheme="minorHAnsi" w:cs="Calibri"/>
          <w:szCs w:val="16"/>
        </w:rPr>
        <w:t>A2.3.3</w:t>
      </w:r>
      <w:r w:rsidRPr="0078056B">
        <w:rPr>
          <w:rFonts w:asciiTheme="minorHAnsi" w:hAnsiTheme="minorHAnsi" w:cs="Calibri"/>
          <w:szCs w:val="16"/>
        </w:rPr>
        <w:fldChar w:fldCharType="end"/>
      </w:r>
      <w:r w:rsidRPr="0078056B">
        <w:rPr>
          <w:rFonts w:asciiTheme="minorHAnsi" w:hAnsiTheme="minorHAnsi" w:cs="Calibri"/>
          <w:szCs w:val="16"/>
        </w:rPr>
        <w:t xml:space="preserve">, some students in the 2021-22 University of Birmingham cohort were in possession of other levels of prior attainment. To accommodate this, as a simplifying assumption, </w:t>
      </w:r>
      <w:r w:rsidRPr="0078056B">
        <w:rPr>
          <w:szCs w:val="16"/>
        </w:rPr>
        <w:t xml:space="preserve">the foregone earnings for students previously in possession of other undergraduate qualifications (other than first degrees) are based on the earnings associated with possession of </w:t>
      </w:r>
      <w:r w:rsidRPr="0078056B">
        <w:t xml:space="preserve">a Level 3 </w:t>
      </w:r>
      <w:r w:rsidRPr="0078056B">
        <w:rPr>
          <w:szCs w:val="16"/>
        </w:rPr>
        <w:t>qualification as the highest qualification (adjusted for the age at enrolment and completion associated with the relevant qualification obtained). In addition, the estimated foregone earnings for students previously in possession of postgraduate qualifications are based on the level of earnings associated with first degrees.</w:t>
      </w:r>
    </w:p>
  </w:footnote>
  <w:footnote w:id="130">
    <w:p w14:paraId="3AD92B6E" w14:textId="77777777" w:rsidR="003A6119" w:rsidRPr="0078056B" w:rsidRDefault="003A6119" w:rsidP="001B223C">
      <w:pPr>
        <w:pStyle w:val="FootnoteText"/>
        <w:spacing w:before="0"/>
      </w:pPr>
      <w:r w:rsidRPr="0078056B">
        <w:rPr>
          <w:rStyle w:val="FootnoteReference"/>
        </w:rPr>
        <w:footnoteRef/>
      </w:r>
      <w:r w:rsidRPr="0078056B">
        <w:t xml:space="preserve"> Note again that the </w:t>
      </w:r>
      <w:r w:rsidRPr="0078056B">
        <w:rPr>
          <w:i/>
        </w:rPr>
        <w:t xml:space="preserve">indirect </w:t>
      </w:r>
      <w:r w:rsidRPr="0078056B">
        <w:t>costs associated with qualification attainment, in terms of the foregone earnings during the period of study (for full-time students only), are already deducted from the gross graduate premium.</w:t>
      </w:r>
    </w:p>
  </w:footnote>
  <w:footnote w:id="131">
    <w:p w14:paraId="3863E2AB" w14:textId="77777777" w:rsidR="003A6119" w:rsidRPr="0078056B" w:rsidRDefault="003A6119" w:rsidP="001B223C">
      <w:pPr>
        <w:pStyle w:val="FootnoteText"/>
        <w:spacing w:before="0"/>
      </w:pPr>
      <w:r w:rsidRPr="0078056B">
        <w:rPr>
          <w:rStyle w:val="FootnoteReference"/>
        </w:rPr>
        <w:footnoteRef/>
      </w:r>
      <w:r w:rsidRPr="0078056B">
        <w:t xml:space="preserve"> </w:t>
      </w:r>
      <w:r w:rsidRPr="0078056B">
        <w:rPr>
          <w:rFonts w:asciiTheme="minorHAnsi" w:hAnsiTheme="minorHAnsi"/>
          <w:szCs w:val="16"/>
        </w:rPr>
        <w:t>We made use of information provided by the University of Birmingham on the average tuition fees charged per student at the University of Birmingham in the 2021-22 academic year, separately by domicile, study level and study mode</w:t>
      </w:r>
      <w:r w:rsidRPr="0078056B">
        <w:rPr>
          <w:rFonts w:asciiTheme="minorHAnsi" w:hAnsiTheme="minorHAnsi" w:cstheme="minorHAnsi"/>
          <w:szCs w:val="16"/>
        </w:rPr>
        <w:t>. D</w:t>
      </w:r>
      <w:r w:rsidRPr="0078056B">
        <w:rPr>
          <w:rFonts w:asciiTheme="minorHAnsi" w:hAnsiTheme="minorHAnsi"/>
          <w:szCs w:val="16"/>
        </w:rPr>
        <w:t xml:space="preserve">ata was provided for all undergraduate students combined, postgraduate (taught) students, and postgraduate (research) students. We assume that students undertaking learning at ‘other postgraduate’ level are included in the postgraduate (taught) category. </w:t>
      </w:r>
    </w:p>
  </w:footnote>
  <w:footnote w:id="132">
    <w:p w14:paraId="3051938F" w14:textId="77777777" w:rsidR="003428FF" w:rsidRPr="0078056B" w:rsidRDefault="003428FF" w:rsidP="001B223C">
      <w:pPr>
        <w:pStyle w:val="FootnoteText"/>
        <w:spacing w:before="0"/>
      </w:pPr>
      <w:r w:rsidRPr="0078056B">
        <w:rPr>
          <w:rStyle w:val="FootnoteReference"/>
        </w:rPr>
        <w:footnoteRef/>
      </w:r>
      <w:r w:rsidRPr="0078056B">
        <w:t xml:space="preserve"> </w:t>
      </w:r>
      <w:r w:rsidRPr="0078056B">
        <w:rPr>
          <w:szCs w:val="16"/>
        </w:rPr>
        <w:t xml:space="preserve">The analysis makes use of </w:t>
      </w:r>
      <w:r w:rsidRPr="0078056B">
        <w:rPr>
          <w:i/>
          <w:szCs w:val="16"/>
        </w:rPr>
        <w:t>average</w:t>
      </w:r>
      <w:r w:rsidRPr="0078056B">
        <w:rPr>
          <w:szCs w:val="16"/>
        </w:rPr>
        <w:t xml:space="preserve"> levels of support paid per student, separately by study mode, study level (i.e. undergraduate, higher degree (taught) and higher degree (research) (and we assume that no funding is available for students undertaking qualifications at ‘other postgraduate’ level)), and domicile. Our estimates are based on publications by the SLC on student support for higher education in England, Wales, and Northern Ireland in 2021-22 (see Student Loans Company 2022a, 2022b and 2022c, respectively) and a publication by the Student Awards Agency for Scotland on student support for higher education in Scotland (see Student Awards Agency for Scotland, 2022). To ensure comparability across the different Home Nations, we focus only on core student support in terms of tuition fee grants, tuition fee loans, maintenance grants and maintenance loans (where applicable), but </w:t>
      </w:r>
      <w:r w:rsidRPr="0078056B">
        <w:rPr>
          <w:i/>
          <w:szCs w:val="16"/>
        </w:rPr>
        <w:t>exclude</w:t>
      </w:r>
      <w:r w:rsidRPr="0078056B">
        <w:rPr>
          <w:szCs w:val="16"/>
        </w:rPr>
        <w:t xml:space="preserve"> any Disabled Students’ Allowance and other targeted support. Wherever possible, we focus on the average level of support for students in public providers only, for the most recent cohorts possible, split by domicile (i.e. ‘Home’ vs. EU). Furthermore, and again wherever possible, we adjusted the average levels of fee and maintenance loans for average loan take-up rates available from the same sources. </w:t>
      </w:r>
      <w:r w:rsidRPr="0078056B">
        <w:rPr>
          <w:rFonts w:asciiTheme="minorHAnsi" w:hAnsiTheme="minorHAnsi" w:cstheme="minorHAnsi"/>
          <w:szCs w:val="16"/>
        </w:rPr>
        <w:t>In addition, the assumed average fee loans or fee grants per student (where applicable) have been capped at the average tuition fees charged per University of Birmingham student in 2021-22.</w:t>
      </w:r>
    </w:p>
  </w:footnote>
  <w:footnote w:id="133">
    <w:p w14:paraId="4F6E014A" w14:textId="77777777" w:rsidR="003A6119" w:rsidRPr="0078056B" w:rsidRDefault="003A6119" w:rsidP="001B223C">
      <w:pPr>
        <w:pStyle w:val="FootnoteText"/>
        <w:spacing w:before="0"/>
      </w:pPr>
      <w:r w:rsidRPr="0078056B">
        <w:rPr>
          <w:rStyle w:val="FootnoteReference"/>
        </w:rPr>
        <w:footnoteRef/>
      </w:r>
      <w:r w:rsidRPr="0078056B">
        <w:t xml:space="preserve"> </w:t>
      </w:r>
      <w:r w:rsidRPr="0078056B">
        <w:rPr>
          <w:rFonts w:asciiTheme="minorHAnsi" w:hAnsiTheme="minorHAnsi" w:cstheme="minorHAnsi"/>
          <w:szCs w:val="16"/>
        </w:rPr>
        <w:t xml:space="preserve">Average fee waivers and non-fee waivers (i.e. other bursaries and scholarships) per student were calculated based on information provided by the University of Birmingham on total funding through non-fee waivers by scholarship or bursary scheme, which were applied to the specific domiciles, modes, and levels of study which each scheme applies to. To arrive at the average level of funding per student (per year), we then divided the relevant total funding (by domicile, mode, and level) by the total number of (first-year and continuing) students studying at the University of Birmingham in 2021-22 (again, by domicile, mode, and level). </w:t>
      </w:r>
    </w:p>
  </w:footnote>
  <w:footnote w:id="134">
    <w:p w14:paraId="47225C4E" w14:textId="77777777" w:rsidR="003428FF" w:rsidRPr="0078056B" w:rsidRDefault="003428FF" w:rsidP="001B223C">
      <w:pPr>
        <w:pStyle w:val="FootnoteText"/>
        <w:spacing w:before="0"/>
      </w:pPr>
      <w:r w:rsidRPr="0078056B">
        <w:rPr>
          <w:rStyle w:val="FootnoteReference"/>
        </w:rPr>
        <w:footnoteRef/>
      </w:r>
      <w:r w:rsidRPr="0078056B">
        <w:t xml:space="preserve"> For </w:t>
      </w:r>
      <w:r w:rsidRPr="0078056B">
        <w:rPr>
          <w:b/>
          <w:bCs/>
          <w:color w:val="06357A" w:themeColor="text2"/>
        </w:rPr>
        <w:t>undergraduate full-time students</w:t>
      </w:r>
      <w:r w:rsidRPr="0078056B">
        <w:t xml:space="preserve">, we have assumed a RAB charge of </w:t>
      </w:r>
      <w:r w:rsidRPr="0078056B">
        <w:rPr>
          <w:b/>
          <w:bCs/>
          <w:color w:val="06357A" w:themeColor="text2"/>
        </w:rPr>
        <w:t>28%</w:t>
      </w:r>
      <w:r w:rsidRPr="0078056B">
        <w:t xml:space="preserve"> associated with tuition fee and maintenance loans for English domiciled students (based on data published by the Department for Education (2023)), </w:t>
      </w:r>
      <w:r w:rsidRPr="0078056B">
        <w:rPr>
          <w:szCs w:val="16"/>
        </w:rPr>
        <w:t xml:space="preserve">which includes the impact on the RAB charge of the Department’s recently announced policy changes in response to the Augar Review of Higher Education (for post-2012 English loan borrowers). </w:t>
      </w:r>
      <w:r w:rsidRPr="0078056B">
        <w:t xml:space="preserve">We have further assumed a RAB charge of </w:t>
      </w:r>
      <w:r w:rsidRPr="0078056B">
        <w:rPr>
          <w:b/>
          <w:bCs/>
          <w:color w:val="06357A" w:themeColor="text2"/>
        </w:rPr>
        <w:t xml:space="preserve">0% </w:t>
      </w:r>
      <w:r w:rsidRPr="0078056B">
        <w:t xml:space="preserve">for Welsh domiciled students, </w:t>
      </w:r>
      <w:r w:rsidRPr="0078056B">
        <w:rPr>
          <w:b/>
          <w:bCs/>
          <w:color w:val="06357A" w:themeColor="text2"/>
        </w:rPr>
        <w:t>30%</w:t>
      </w:r>
      <w:r w:rsidRPr="0078056B">
        <w:t xml:space="preserve"> for Scottish domiciled students, and </w:t>
      </w:r>
      <w:r w:rsidRPr="0078056B">
        <w:rPr>
          <w:b/>
          <w:bCs/>
          <w:color w:val="06357A" w:themeColor="text2"/>
        </w:rPr>
        <w:t>14%</w:t>
      </w:r>
      <w:r w:rsidRPr="0078056B">
        <w:t xml:space="preserve"> for Northern Irish students, all of which are based on our modelling of the Exchequer costs associated with the current higher education fees and funding systems (for undergraduate students) operating in Wales, Scotland, and Northern Ireland, respectively (for more information, see London Economics (2024)). </w:t>
      </w:r>
    </w:p>
    <w:p w14:paraId="0C3BFD39" w14:textId="77777777" w:rsidR="003428FF" w:rsidRPr="0078056B" w:rsidRDefault="003428FF" w:rsidP="001B223C">
      <w:pPr>
        <w:pStyle w:val="FootnoteText"/>
        <w:spacing w:before="0"/>
      </w:pPr>
      <w:r w:rsidRPr="0078056B">
        <w:t xml:space="preserve">For </w:t>
      </w:r>
      <w:r w:rsidRPr="0078056B">
        <w:rPr>
          <w:b/>
          <w:bCs/>
          <w:color w:val="06357A" w:themeColor="text2"/>
        </w:rPr>
        <w:t>undergraduate part-time students</w:t>
      </w:r>
      <w:r w:rsidRPr="0078056B">
        <w:t xml:space="preserve">, based on the same sources, we have assumed a RAB charge of </w:t>
      </w:r>
      <w:r w:rsidRPr="0078056B">
        <w:rPr>
          <w:b/>
          <w:bCs/>
          <w:color w:val="06357A" w:themeColor="text2"/>
        </w:rPr>
        <w:t>21%</w:t>
      </w:r>
      <w:r w:rsidRPr="0078056B">
        <w:t xml:space="preserve"> for English domiciled students, </w:t>
      </w:r>
      <w:r w:rsidRPr="0078056B">
        <w:rPr>
          <w:b/>
          <w:bCs/>
          <w:color w:val="06357A" w:themeColor="text2"/>
        </w:rPr>
        <w:t>7%</w:t>
      </w:r>
      <w:r w:rsidRPr="0078056B">
        <w:t xml:space="preserve"> for Welsh domiciled students; and </w:t>
      </w:r>
      <w:r w:rsidRPr="0078056B">
        <w:rPr>
          <w:b/>
          <w:bCs/>
          <w:color w:val="06357A" w:themeColor="text2"/>
        </w:rPr>
        <w:t>10%</w:t>
      </w:r>
      <w:r w:rsidRPr="0078056B">
        <w:t xml:space="preserve"> for Northern Irish domiciled students. There is currently no student loan funding provided to Scottish domiciled undergraduate part-time students (so that no RAB charge assumptions are required).</w:t>
      </w:r>
    </w:p>
    <w:p w14:paraId="746E21DC" w14:textId="77777777" w:rsidR="003428FF" w:rsidRPr="0078056B" w:rsidRDefault="003428FF" w:rsidP="001B223C">
      <w:pPr>
        <w:pStyle w:val="FootnoteText"/>
        <w:spacing w:before="0"/>
      </w:pPr>
      <w:r w:rsidRPr="0078056B">
        <w:t xml:space="preserve">For the loans for both </w:t>
      </w:r>
      <w:r w:rsidRPr="0078056B">
        <w:rPr>
          <w:b/>
          <w:bCs/>
          <w:color w:val="06357A" w:themeColor="text2"/>
        </w:rPr>
        <w:t>full-time and part-time postgraduate taught students</w:t>
      </w:r>
      <w:r w:rsidRPr="0078056B">
        <w:t xml:space="preserve"> from England, we have assumed a RAB charge of </w:t>
      </w:r>
      <w:r w:rsidRPr="0078056B">
        <w:rPr>
          <w:b/>
          <w:bCs/>
          <w:color w:val="06357A" w:themeColor="text2"/>
        </w:rPr>
        <w:t xml:space="preserve">0% </w:t>
      </w:r>
      <w:r w:rsidRPr="0078056B">
        <w:t xml:space="preserve">(based on the Department for Education’s (2023) student RAB charge estimates for postgraduate Master’s loans for English students). In the absence of alternative information, we have also assumed a RAB charge of </w:t>
      </w:r>
      <w:r w:rsidRPr="0078056B">
        <w:rPr>
          <w:b/>
          <w:bCs/>
          <w:color w:val="06357A" w:themeColor="text2"/>
        </w:rPr>
        <w:t>0%</w:t>
      </w:r>
      <w:r w:rsidRPr="0078056B">
        <w:t xml:space="preserve"> for students from Wales, Scotland, and Northern Ireland. </w:t>
      </w:r>
    </w:p>
    <w:p w14:paraId="4015F0EE" w14:textId="77777777" w:rsidR="003428FF" w:rsidRPr="0078056B" w:rsidRDefault="003428FF" w:rsidP="001B223C">
      <w:pPr>
        <w:pStyle w:val="FootnoteText"/>
        <w:spacing w:before="0"/>
      </w:pPr>
      <w:r w:rsidRPr="0078056B">
        <w:t xml:space="preserve">Finally, for (full-time and part-time) postgraduate research students, while there were no Doctorate loans available for Scottish domiciled or Northern Irish domiciled students, for students from England and Wales, we have assumed a RAB charge of </w:t>
      </w:r>
      <w:r w:rsidRPr="0078056B">
        <w:rPr>
          <w:b/>
          <w:bCs/>
          <w:color w:val="06357A" w:themeColor="text2"/>
        </w:rPr>
        <w:t>25%</w:t>
      </w:r>
      <w:r w:rsidRPr="0078056B">
        <w:t xml:space="preserve"> (again based on Department for Education (2023)). </w:t>
      </w:r>
    </w:p>
  </w:footnote>
  <w:footnote w:id="135">
    <w:p w14:paraId="18AC2B18" w14:textId="06814CC7" w:rsidR="003A6119" w:rsidRPr="0078056B" w:rsidRDefault="003A6119" w:rsidP="001B223C">
      <w:pPr>
        <w:pStyle w:val="FootnoteText"/>
        <w:spacing w:before="0"/>
      </w:pPr>
      <w:r w:rsidRPr="0078056B">
        <w:rPr>
          <w:rStyle w:val="FootnoteReference"/>
        </w:rPr>
        <w:footnoteRef/>
      </w:r>
      <w:r w:rsidRPr="0078056B">
        <w:t xml:space="preserve"> Note that, in some instances, the total financial support provided to students (through tuition fee loans and grants, maintenance loans and grants, and fee waivers/other bursaries (where applicable)) may </w:t>
      </w:r>
      <w:r w:rsidRPr="0078056B">
        <w:rPr>
          <w:i/>
          <w:iCs/>
        </w:rPr>
        <w:t>exceed</w:t>
      </w:r>
      <w:r w:rsidRPr="0078056B">
        <w:t xml:space="preserve"> the costs of their University of Birmingham</w:t>
      </w:r>
      <w:r w:rsidRPr="0078056B">
        <w:rPr>
          <w:szCs w:val="16"/>
        </w:rPr>
        <w:t xml:space="preserve"> </w:t>
      </w:r>
      <w:r w:rsidRPr="0078056B">
        <w:t xml:space="preserve">tuition fees – i.e. the net graduate premium </w:t>
      </w:r>
      <w:r w:rsidRPr="0078056B">
        <w:rPr>
          <w:i/>
          <w:iCs/>
        </w:rPr>
        <w:t xml:space="preserve">exceeds </w:t>
      </w:r>
      <w:r w:rsidRPr="0078056B">
        <w:t xml:space="preserve">the gross graduate premium per student (see the results presented in Annex </w:t>
      </w:r>
      <w:r w:rsidRPr="0078056B">
        <w:fldChar w:fldCharType="begin"/>
      </w:r>
      <w:r w:rsidRPr="0078056B">
        <w:instrText xml:space="preserve"> REF _Ref160528468 \r \h  \* MERGEFORMAT </w:instrText>
      </w:r>
      <w:r w:rsidRPr="0078056B">
        <w:fldChar w:fldCharType="separate"/>
      </w:r>
      <w:r w:rsidR="00E33157">
        <w:t>A2.3.8</w:t>
      </w:r>
      <w:r w:rsidRPr="0078056B">
        <w:fldChar w:fldCharType="end"/>
      </w:r>
      <w:r w:rsidRPr="0078056B">
        <w:t xml:space="preserve">). </w:t>
      </w:r>
    </w:p>
  </w:footnote>
  <w:footnote w:id="136">
    <w:p w14:paraId="1FFDE534" w14:textId="77777777" w:rsidR="003A6119" w:rsidRPr="0078056B" w:rsidRDefault="003A6119" w:rsidP="001B223C">
      <w:pPr>
        <w:pStyle w:val="FootnoteText"/>
        <w:spacing w:before="0"/>
      </w:pPr>
      <w:r w:rsidRPr="0078056B">
        <w:rPr>
          <w:rStyle w:val="FootnoteReference"/>
        </w:rPr>
        <w:footnoteRef/>
      </w:r>
      <w:r w:rsidRPr="0078056B">
        <w:t xml:space="preserve"> </w:t>
      </w:r>
      <w:r w:rsidRPr="0078056B">
        <w:rPr>
          <w:rFonts w:asciiTheme="minorHAnsi" w:hAnsiTheme="minorHAnsi"/>
        </w:rPr>
        <w:t>Again, any indirect costs to the public purse in terms of foregone income tax, National Insurance and VAT receipts foregone during the period of qualification attainment (applicable to full-time students only) are already incorporated in the gross public purse benefits as described above.</w:t>
      </w:r>
    </w:p>
  </w:footnote>
  <w:footnote w:id="137">
    <w:p w14:paraId="6A4EB92E" w14:textId="5287A9BB" w:rsidR="003A6119" w:rsidRPr="0078056B" w:rsidRDefault="003A6119" w:rsidP="001B223C">
      <w:pPr>
        <w:pStyle w:val="FootnoteText"/>
        <w:spacing w:before="0"/>
        <w:rPr>
          <w:szCs w:val="16"/>
        </w:rPr>
      </w:pPr>
      <w:r w:rsidRPr="0078056B">
        <w:rPr>
          <w:rStyle w:val="FootnoteReference"/>
        </w:rPr>
        <w:footnoteRef/>
      </w:r>
      <w:r w:rsidRPr="0078056B">
        <w:t xml:space="preserve"> </w:t>
      </w:r>
      <w:r w:rsidRPr="0078056B">
        <w:rPr>
          <w:szCs w:val="16"/>
        </w:rPr>
        <w:t xml:space="preserve">This is based on published HESA financial information on the total OfS recurrent teaching grant received by the University of Birmingham in 2021-22 (see HESA, </w:t>
      </w:r>
      <w:r w:rsidR="00E87F38" w:rsidRPr="0078056B">
        <w:rPr>
          <w:szCs w:val="16"/>
        </w:rPr>
        <w:t>2023b</w:t>
      </w:r>
      <w:r w:rsidRPr="0078056B">
        <w:rPr>
          <w:szCs w:val="16"/>
        </w:rPr>
        <w:t xml:space="preserve">), divided by the total number of UK domiciled and </w:t>
      </w:r>
      <w:r w:rsidRPr="0078056B">
        <w:rPr>
          <w:i/>
          <w:iCs/>
          <w:szCs w:val="16"/>
        </w:rPr>
        <w:t xml:space="preserve">continuing </w:t>
      </w:r>
      <w:r w:rsidRPr="0078056B">
        <w:rPr>
          <w:szCs w:val="16"/>
        </w:rPr>
        <w:t xml:space="preserve">EU students enrolled with the University of Birmingham in 2021-22 (excluding any first-year EU students, as well as any non-EU domiciled students and higher degree (research) students (i.e. it is assumed that there is no teaching funding associated with these students)). The inclusion of </w:t>
      </w:r>
      <w:r w:rsidRPr="0078056B">
        <w:rPr>
          <w:i/>
          <w:iCs/>
          <w:szCs w:val="16"/>
        </w:rPr>
        <w:t>continuing</w:t>
      </w:r>
      <w:r w:rsidRPr="0078056B">
        <w:rPr>
          <w:szCs w:val="16"/>
        </w:rPr>
        <w:t xml:space="preserve"> EU students in the calculations was based on the fact that EU domiciled </w:t>
      </w:r>
      <w:r w:rsidRPr="0078056B">
        <w:rPr>
          <w:i/>
          <w:iCs/>
          <w:szCs w:val="16"/>
        </w:rPr>
        <w:t xml:space="preserve">first-year </w:t>
      </w:r>
      <w:r w:rsidRPr="0078056B">
        <w:rPr>
          <w:szCs w:val="16"/>
        </w:rPr>
        <w:t xml:space="preserve">students starting HE qualifications in the UK in 2021-22 were subject to the new post-Brexit rules – and, therefore, were generally no longer eligible for public teaching grant funding. In contrast, EU domiciled </w:t>
      </w:r>
      <w:r w:rsidRPr="0078056B">
        <w:rPr>
          <w:i/>
          <w:iCs/>
          <w:szCs w:val="16"/>
        </w:rPr>
        <w:t xml:space="preserve">continuing </w:t>
      </w:r>
      <w:r w:rsidRPr="0078056B">
        <w:rPr>
          <w:szCs w:val="16"/>
        </w:rPr>
        <w:t>students in 2021-22 were, in general, still eligible for this funding. We adjusted for the average assumed study intensity among full-time and part-time students, to arrive at separate rates of teaching grant funding by study mode.</w:t>
      </w:r>
    </w:p>
  </w:footnote>
  <w:footnote w:id="138">
    <w:p w14:paraId="1DE269CA" w14:textId="10EC725C" w:rsidR="003428FF" w:rsidRPr="0078056B" w:rsidRDefault="003428FF" w:rsidP="001B223C">
      <w:pPr>
        <w:spacing w:before="0" w:after="0"/>
        <w:rPr>
          <w:rFonts w:asciiTheme="minorHAnsi" w:hAnsiTheme="minorHAnsi"/>
          <w:sz w:val="16"/>
          <w:szCs w:val="16"/>
        </w:rPr>
      </w:pPr>
      <w:r w:rsidRPr="0078056B">
        <w:rPr>
          <w:rStyle w:val="FootnoteReference"/>
          <w:sz w:val="16"/>
          <w:szCs w:val="16"/>
        </w:rPr>
        <w:footnoteRef/>
      </w:r>
      <w:r w:rsidRPr="0078056B">
        <w:rPr>
          <w:sz w:val="16"/>
          <w:szCs w:val="16"/>
        </w:rPr>
        <w:t xml:space="preserve"> </w:t>
      </w:r>
      <w:r w:rsidRPr="0078056B">
        <w:rPr>
          <w:rStyle w:val="FootnoteTextChar"/>
          <w:szCs w:val="16"/>
        </w:rPr>
        <w:t>In terms</w:t>
      </w:r>
      <w:r w:rsidRPr="0078056B">
        <w:rPr>
          <w:rStyle w:val="FootnoteTextChar"/>
        </w:rPr>
        <w:t xml:space="preserve"> of gender, it is important to note that the economic benefits associated with qualification attainment - expressed in </w:t>
      </w:r>
      <w:r w:rsidRPr="0078056B">
        <w:rPr>
          <w:rStyle w:val="FootnoteTextChar"/>
          <w:i/>
          <w:iCs/>
        </w:rPr>
        <w:t>monetary terms</w:t>
      </w:r>
      <w:r w:rsidRPr="0078056B">
        <w:rPr>
          <w:rStyle w:val="FootnoteTextChar"/>
        </w:rPr>
        <w:t xml:space="preserve"> - are often lower for women than men, predominantly as a result of the increased likelihood of spending time out of the active labour force. However, reflecting the wider economic literature, the </w:t>
      </w:r>
      <w:r w:rsidRPr="0078056B">
        <w:rPr>
          <w:rStyle w:val="FootnoteTextChar"/>
          <w:i/>
          <w:iCs/>
        </w:rPr>
        <w:t>marginal benefits</w:t>
      </w:r>
      <w:r w:rsidRPr="0078056B">
        <w:rPr>
          <w:rStyle w:val="FootnoteTextChar"/>
        </w:rPr>
        <w:t xml:space="preserve"> associated with qualification attainment - expressed as either the </w:t>
      </w:r>
      <w:r w:rsidRPr="0078056B">
        <w:rPr>
          <w:rStyle w:val="FootnoteTextChar"/>
          <w:i/>
          <w:iCs/>
        </w:rPr>
        <w:t>percentage increase</w:t>
      </w:r>
      <w:r w:rsidRPr="0078056B">
        <w:rPr>
          <w:rStyle w:val="FootnoteTextChar"/>
        </w:rPr>
        <w:t xml:space="preserve"> in hourly earnings or enhanced probability of employment - are often greater for women than for men (see Annex </w:t>
      </w:r>
      <w:r w:rsidRPr="0078056B">
        <w:rPr>
          <w:rStyle w:val="FootnoteTextChar"/>
        </w:rPr>
        <w:fldChar w:fldCharType="begin"/>
      </w:r>
      <w:r w:rsidRPr="0078056B">
        <w:rPr>
          <w:rStyle w:val="FootnoteTextChar"/>
        </w:rPr>
        <w:instrText xml:space="preserve"> REF _Ref525656922 \r \h </w:instrText>
      </w:r>
      <w:r w:rsidR="0078056B">
        <w:rPr>
          <w:rStyle w:val="FootnoteTextChar"/>
        </w:rPr>
        <w:instrText xml:space="preserve"> \* MERGEFORMAT </w:instrText>
      </w:r>
      <w:r w:rsidRPr="0078056B">
        <w:rPr>
          <w:rStyle w:val="FootnoteTextChar"/>
        </w:rPr>
      </w:r>
      <w:r w:rsidRPr="0078056B">
        <w:rPr>
          <w:rStyle w:val="FootnoteTextChar"/>
        </w:rPr>
        <w:fldChar w:fldCharType="separate"/>
      </w:r>
      <w:r w:rsidR="00E33157">
        <w:rPr>
          <w:rStyle w:val="FootnoteTextChar"/>
        </w:rPr>
        <w:t>A2.3.4</w:t>
      </w:r>
      <w:r w:rsidRPr="0078056B">
        <w:rPr>
          <w:rStyle w:val="FootnoteTextChar"/>
        </w:rPr>
        <w:fldChar w:fldCharType="end"/>
      </w:r>
      <w:r w:rsidRPr="0078056B">
        <w:rPr>
          <w:rStyle w:val="FootnoteTextChar"/>
        </w:rPr>
        <w:t>)</w:t>
      </w:r>
      <w:r w:rsidRPr="0078056B">
        <w:rPr>
          <w:rFonts w:asciiTheme="minorHAnsi" w:hAnsiTheme="minorHAnsi"/>
          <w:sz w:val="16"/>
          <w:szCs w:val="16"/>
        </w:rPr>
        <w:t xml:space="preserve">. </w:t>
      </w:r>
    </w:p>
  </w:footnote>
  <w:footnote w:id="139">
    <w:p w14:paraId="3D6B8E62" w14:textId="77777777" w:rsidR="000E398D" w:rsidRPr="0078056B" w:rsidRDefault="000E398D" w:rsidP="001B223C">
      <w:pPr>
        <w:pStyle w:val="FootnoteText"/>
        <w:spacing w:before="0"/>
      </w:pPr>
      <w:r w:rsidRPr="0078056B">
        <w:rPr>
          <w:rStyle w:val="FootnoteReference"/>
        </w:rPr>
        <w:footnoteRef/>
      </w:r>
      <w:r w:rsidRPr="0078056B">
        <w:t xml:space="preserve"> Specifically, institutions were obliged to charge the same tuition fees to EU domiciled students studying in England, Wales, Scotland, or Northern Ireland as for English students studying in England, Welsh students studying in Wales, Scottish students studying in Scotland, and Northern Irish students studying in Northern Ireland (respectively). </w:t>
      </w:r>
    </w:p>
  </w:footnote>
  <w:footnote w:id="140">
    <w:p w14:paraId="6242219D" w14:textId="77777777" w:rsidR="000E398D" w:rsidRPr="0078056B" w:rsidRDefault="000E398D" w:rsidP="001B223C">
      <w:pPr>
        <w:pStyle w:val="FootnoteText"/>
        <w:spacing w:before="0"/>
      </w:pPr>
      <w:r w:rsidRPr="0078056B">
        <w:rPr>
          <w:rStyle w:val="FootnoteReference"/>
        </w:rPr>
        <w:footnoteRef/>
      </w:r>
      <w:r w:rsidRPr="0078056B">
        <w:t xml:space="preserve"> The eligibility rules for home fee status and student finance from the 2021-22 academic year following the UK’s exit from the EU (Department for Education, 2022b) indicate that EU nationals with settled status can be awarded home fee status and fee and maintenance support if they have been resident in the UK (and Islands) for at least 3 years. For EU nationals with pre-settled status, the rules state that ‘in practice, the Student Loans Company (SLC) will accept pre-settled status, together with ID documentation, as evidence for the purposes of awarding student support to EU, other EEA and Swiss nationals and their family members. We anticipate that providers will take the same approach when awarding home fee status where the student has 3 years’ residence in the UK, Gibraltar, EEA, Switzerland or the British/EU overseas territories’. </w:t>
      </w:r>
    </w:p>
  </w:footnote>
  <w:footnote w:id="141">
    <w:p w14:paraId="1E105FF9" w14:textId="22A6FB78" w:rsidR="000E398D" w:rsidRPr="0078056B" w:rsidRDefault="000E398D" w:rsidP="001B223C">
      <w:pPr>
        <w:pStyle w:val="FootnoteText"/>
        <w:spacing w:before="0"/>
      </w:pPr>
      <w:r w:rsidRPr="0078056B">
        <w:rPr>
          <w:rStyle w:val="FootnoteReference"/>
        </w:rPr>
        <w:footnoteRef/>
      </w:r>
      <w:r w:rsidRPr="0078056B">
        <w:t xml:space="preserve"> HESA does not collect data on the number of EU domiciled students that hold settled or pre-settled status in the UK. In the absence of this information, we have assumed that no EU domiciled students in the 2021-22 cohort have settled or pre-settled status, i.e., that all of these students pay the same fees that are charged to non-EU students. Note that HESA’s definition of domicile states that a student’s domicile is the ‘country the student lived in for non-educational purposes before starting their course’ (HESA, </w:t>
      </w:r>
      <w:r w:rsidR="00E87F38" w:rsidRPr="0078056B">
        <w:t>2023e</w:t>
      </w:r>
      <w:r w:rsidRPr="0078056B">
        <w:t xml:space="preserve">), but does </w:t>
      </w:r>
      <w:r w:rsidRPr="0078056B">
        <w:rPr>
          <w:i/>
          <w:iCs/>
        </w:rPr>
        <w:t xml:space="preserve">not </w:t>
      </w:r>
      <w:r w:rsidRPr="0078056B">
        <w:t>capture students’ nationality (i.e., HESA’s definition does not align exactly with the definition of EU students in the Department for Education’s eligibility rules for home fee status and student finance (see Department for Education, 2022b)).</w:t>
      </w:r>
    </w:p>
  </w:footnote>
  <w:footnote w:id="142">
    <w:p w14:paraId="753EA86C" w14:textId="77777777" w:rsidR="000E398D" w:rsidRPr="0078056B" w:rsidRDefault="000E398D" w:rsidP="001B223C">
      <w:pPr>
        <w:pStyle w:val="FootnoteText"/>
        <w:spacing w:before="0"/>
      </w:pPr>
      <w:r w:rsidRPr="0078056B">
        <w:rPr>
          <w:rStyle w:val="FootnoteReference"/>
        </w:rPr>
        <w:footnoteRef/>
      </w:r>
      <w:r w:rsidRPr="0078056B">
        <w:t xml:space="preserve"> Note that different rules apply to Irish citizens living in the UK or Ireland, as these students are covered by the UK’s Common Travel Area arrangement with Ireland, and are generally eligible for home fee status (and therefore supported by public teaching grants) as well as public tuition fee and maintenance support subject to meeting the eligibility criteria on the same basis as UK nationals. Again, our analysis does not take account of these special arrangements for students from the Republic of Ireland (i.e., the fact that these students would be charged ‘home’ fees and be eligible for public tuition fee support and teaching grant funding).</w:t>
      </w:r>
    </w:p>
  </w:footnote>
  <w:footnote w:id="143">
    <w:p w14:paraId="4431B583" w14:textId="77777777" w:rsidR="000E398D" w:rsidRPr="0078056B" w:rsidRDefault="000E398D" w:rsidP="001B223C">
      <w:pPr>
        <w:pStyle w:val="FootnoteText"/>
        <w:spacing w:before="0"/>
      </w:pPr>
      <w:r w:rsidRPr="0078056B">
        <w:rPr>
          <w:rStyle w:val="FootnoteReference"/>
        </w:rPr>
        <w:footnoteRef/>
      </w:r>
      <w:r w:rsidRPr="0078056B">
        <w:t xml:space="preserve"> There may be significant variation around these assumed average stay durations depending on individual students’ circumstances, such as country of origin, parental income etc.</w:t>
      </w:r>
    </w:p>
  </w:footnote>
  <w:footnote w:id="144">
    <w:p w14:paraId="05D6826A" w14:textId="1DA5CC95" w:rsidR="00FC66AE" w:rsidRDefault="00FC66AE" w:rsidP="001B223C">
      <w:pPr>
        <w:pStyle w:val="FootnoteText"/>
        <w:spacing w:before="0"/>
      </w:pPr>
      <w:r w:rsidRPr="0078056B">
        <w:rPr>
          <w:rStyle w:val="FootnoteReference"/>
        </w:rPr>
        <w:footnoteRef/>
      </w:r>
      <w:r w:rsidRPr="0078056B">
        <w:t xml:space="preserve"> While t</w:t>
      </w:r>
      <w:r w:rsidR="001B223C" w:rsidRPr="0078056B">
        <w:t>his is characterised as non-fee income, it is accrued by agents in the UK economy, rather than by the University of Birmingham, as it represents expenditure by international students.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DC7F9" w14:textId="4CBD8D8B" w:rsidR="00285AC2" w:rsidRPr="003541E0" w:rsidRDefault="00285AC2" w:rsidP="00FE67E1">
    <w:pPr>
      <w:pStyle w:val="HeaderEven"/>
      <w:rPr>
        <w:noProof w:val="0"/>
      </w:rPr>
    </w:pPr>
    <w:r w:rsidRPr="003541E0">
      <w:rPr>
        <w:noProof w:val="0"/>
      </w:rPr>
      <w:fldChar w:fldCharType="begin"/>
    </w:r>
    <w:r w:rsidRPr="003541E0">
      <w:rPr>
        <w:noProof w:val="0"/>
      </w:rPr>
      <w:instrText xml:space="preserve"> IF </w:instrText>
    </w:r>
    <w:r w:rsidRPr="003541E0">
      <w:rPr>
        <w:noProof w:val="0"/>
      </w:rPr>
      <w:fldChar w:fldCharType="begin"/>
    </w:r>
    <w:r w:rsidRPr="003541E0">
      <w:rPr>
        <w:noProof w:val="0"/>
      </w:rPr>
      <w:instrText xml:space="preserve"> DOCVARIABLE  TitleStatus  \* MERGEFORMAT </w:instrText>
    </w:r>
    <w:r w:rsidRPr="003541E0">
      <w:rPr>
        <w:noProof w:val="0"/>
      </w:rPr>
      <w:fldChar w:fldCharType="separate"/>
    </w:r>
    <w:r w:rsidR="00E33157">
      <w:rPr>
        <w:b w:val="0"/>
        <w:bCs/>
        <w:noProof w:val="0"/>
        <w:lang w:val="en-US"/>
      </w:rPr>
      <w:instrText>Error! No document variable supplied.</w:instrText>
    </w:r>
    <w:r w:rsidRPr="003541E0">
      <w:rPr>
        <w:noProof w:val="0"/>
      </w:rPr>
      <w:fldChar w:fldCharType="end"/>
    </w:r>
    <w:r w:rsidRPr="003541E0">
      <w:rPr>
        <w:noProof w:val="0"/>
      </w:rPr>
      <w:instrText xml:space="preserve"> = "Error! No document variable supplied." " " </w:instrText>
    </w:r>
    <w:r w:rsidRPr="003541E0">
      <w:rPr>
        <w:noProof w:val="0"/>
      </w:rPr>
      <w:fldChar w:fldCharType="begin"/>
    </w:r>
    <w:r w:rsidRPr="003541E0">
      <w:rPr>
        <w:noProof w:val="0"/>
      </w:rPr>
      <w:instrText xml:space="preserve"> DOCVARIABLE  TitleStatus \* MERGEFORMAT </w:instrText>
    </w:r>
    <w:r w:rsidRPr="003541E0">
      <w:rPr>
        <w:noProof w:val="0"/>
      </w:rPr>
      <w:fldChar w:fldCharType="end"/>
    </w:r>
    <w:r w:rsidRPr="003541E0">
      <w:rPr>
        <w:noProof w:val="0"/>
      </w:rPr>
      <w:instrText xml:space="preserve"> \* MERGEFORMAT </w:instrText>
    </w:r>
    <w:r w:rsidRPr="003541E0">
      <w:rPr>
        <w:noProof w:val="0"/>
      </w:rPr>
      <w:fldChar w:fldCharType="separate"/>
    </w:r>
    <w:r w:rsidR="00EE3277" w:rsidRPr="003541E0">
      <w:t xml:space="preserve"> </w:t>
    </w:r>
    <w:r w:rsidRPr="003541E0">
      <w:rPr>
        <w:noProof w:val="0"/>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15208" w14:textId="77777777" w:rsidR="00FF6E66" w:rsidRPr="003541E0" w:rsidRDefault="00FF6E66">
    <w:pPr>
      <w:pStyle w:val="Header"/>
      <w:rPr>
        <w:noProof w:val="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5000" w:type="pct"/>
      <w:tblBorders>
        <w:top w:val="none" w:sz="0" w:space="0" w:color="auto"/>
        <w:left w:val="none" w:sz="0" w:space="0" w:color="auto"/>
        <w:bottom w:val="single" w:sz="4" w:space="0" w:color="7F7F7F"/>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B91716" w:rsidRPr="003541E0" w14:paraId="2DDD6588" w14:textId="77777777" w:rsidTr="00E962F8">
      <w:tc>
        <w:tcPr>
          <w:tcW w:w="0" w:type="auto"/>
        </w:tcPr>
        <w:p w14:paraId="09B6335E" w14:textId="5F8E602D" w:rsidR="00B91716" w:rsidRPr="003541E0" w:rsidRDefault="00B91716" w:rsidP="00E962F8">
          <w:pPr>
            <w:pStyle w:val="HeaderEven"/>
            <w:rPr>
              <w:noProof w:val="0"/>
            </w:rPr>
          </w:pPr>
          <w:r w:rsidRPr="003541E0">
            <w:rPr>
              <w:noProof w:val="0"/>
            </w:rPr>
            <w:fldChar w:fldCharType="begin"/>
          </w:r>
          <w:r w:rsidRPr="003541E0">
            <w:rPr>
              <w:noProof w:val="0"/>
            </w:rPr>
            <w:instrText xml:space="preserve"> IF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33157">
            <w:instrText>0</w:instrText>
          </w:r>
          <w:r w:rsidR="008C1EE2" w:rsidRPr="003541E0">
            <w:rPr>
              <w:noProof w:val="0"/>
            </w:rPr>
            <w:fldChar w:fldCharType="end"/>
          </w:r>
          <w:r w:rsidRPr="003541E0">
            <w:rPr>
              <w:noProof w:val="0"/>
            </w:rPr>
            <w:instrText xml:space="preserve"> = "0" ""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Pr="003541E0">
            <w:rPr>
              <w:noProof w:val="0"/>
            </w:rPr>
            <w:instrText>1</w:instrText>
          </w:r>
          <w:r w:rsidR="008C1EE2" w:rsidRPr="003541E0">
            <w:rPr>
              <w:noProof w:val="0"/>
            </w:rPr>
            <w:fldChar w:fldCharType="end"/>
          </w:r>
          <w:r w:rsidRPr="003541E0">
            <w:rPr>
              <w:noProof w:val="0"/>
            </w:rPr>
            <w:instrText xml:space="preserve"> | " \* MERGEFORMAT </w:instrText>
          </w:r>
          <w:r w:rsidRPr="003541E0">
            <w:rPr>
              <w:noProof w:val="0"/>
            </w:rPr>
            <w:fldChar w:fldCharType="end"/>
          </w:r>
          <w:r w:rsidR="008C1EE2" w:rsidRPr="003541E0">
            <w:rPr>
              <w:noProof w:val="0"/>
            </w:rPr>
            <w:fldChar w:fldCharType="begin"/>
          </w:r>
          <w:r w:rsidR="008C1EE2" w:rsidRPr="003541E0">
            <w:rPr>
              <w:noProof w:val="0"/>
            </w:rPr>
            <w:instrText xml:space="preserve"> STYLEREF  HeaderRepeat \* MERGEFORMAT </w:instrText>
          </w:r>
          <w:r w:rsidR="008C1EE2" w:rsidRPr="003541E0">
            <w:rPr>
              <w:noProof w:val="0"/>
            </w:rPr>
            <w:fldChar w:fldCharType="separate"/>
          </w:r>
          <w:r w:rsidR="00E33157">
            <w:t>The impact of the University of Birmingham’s contribution to tourism</w:t>
          </w:r>
          <w:r w:rsidR="008C1EE2" w:rsidRPr="003541E0">
            <w:rPr>
              <w:noProof w:val="0"/>
            </w:rPr>
            <w:fldChar w:fldCharType="end"/>
          </w:r>
        </w:p>
      </w:tc>
    </w:tr>
  </w:tbl>
  <w:p w14:paraId="218CD7B8" w14:textId="77777777" w:rsidR="00B91716" w:rsidRPr="003541E0" w:rsidRDefault="00B91716" w:rsidP="00EF7CA0">
    <w:pPr>
      <w:pStyle w:val="HeaderEven"/>
      <w:rPr>
        <w:noProof w:val="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Layout w:type="fixed"/>
      <w:tblCellMar>
        <w:left w:w="0" w:type="dxa"/>
        <w:right w:w="0" w:type="dxa"/>
      </w:tblCellMar>
      <w:tblLook w:val="04A0" w:firstRow="1" w:lastRow="0" w:firstColumn="1" w:lastColumn="0" w:noHBand="0" w:noVBand="1"/>
    </w:tblPr>
    <w:tblGrid>
      <w:gridCol w:w="8844"/>
    </w:tblGrid>
    <w:tr w:rsidR="00B91716" w:rsidRPr="003541E0" w14:paraId="3ABE3946" w14:textId="77777777" w:rsidTr="0003371F">
      <w:tc>
        <w:tcPr>
          <w:tcW w:w="8844" w:type="dxa"/>
          <w:tcBorders>
            <w:top w:val="nil"/>
            <w:left w:val="nil"/>
            <w:bottom w:val="single" w:sz="4" w:space="0" w:color="7F7F7F"/>
            <w:right w:val="nil"/>
          </w:tcBorders>
        </w:tcPr>
        <w:p w14:paraId="2E88374C" w14:textId="2775F813" w:rsidR="00B91716" w:rsidRPr="003541E0" w:rsidRDefault="00B91716" w:rsidP="003165FD">
          <w:pPr>
            <w:pStyle w:val="Header"/>
            <w:rPr>
              <w:noProof w:val="0"/>
            </w:rPr>
          </w:pPr>
          <w:r w:rsidRPr="003541E0">
            <w:rPr>
              <w:noProof w:val="0"/>
            </w:rPr>
            <w:fldChar w:fldCharType="begin"/>
          </w:r>
          <w:r w:rsidRPr="003541E0">
            <w:rPr>
              <w:noProof w:val="0"/>
            </w:rPr>
            <w:instrText xml:space="preserve"> IF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E3277">
            <w:instrText>4</w:instrText>
          </w:r>
          <w:r w:rsidR="008C1EE2" w:rsidRPr="003541E0">
            <w:rPr>
              <w:noProof w:val="0"/>
            </w:rPr>
            <w:fldChar w:fldCharType="end"/>
          </w:r>
          <w:r w:rsidRPr="003541E0">
            <w:rPr>
              <w:noProof w:val="0"/>
            </w:rPr>
            <w:instrText xml:space="preserve"> = "0" ""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E3277">
            <w:instrText>4</w:instrText>
          </w:r>
          <w:r w:rsidR="008C1EE2" w:rsidRPr="003541E0">
            <w:rPr>
              <w:noProof w:val="0"/>
            </w:rPr>
            <w:fldChar w:fldCharType="end"/>
          </w:r>
          <w:r w:rsidRPr="003541E0">
            <w:rPr>
              <w:noProof w:val="0"/>
            </w:rPr>
            <w:instrText xml:space="preserve"> | " \* MERGEFORMAT </w:instrText>
          </w:r>
          <w:r w:rsidRPr="003541E0">
            <w:rPr>
              <w:noProof w:val="0"/>
            </w:rPr>
            <w:fldChar w:fldCharType="separate"/>
          </w:r>
          <w:r w:rsidR="00EE3277">
            <w:t>4</w:t>
          </w:r>
          <w:r w:rsidR="00EE3277" w:rsidRPr="003541E0">
            <w:t xml:space="preserve"> | </w:t>
          </w:r>
          <w:r w:rsidRPr="003541E0">
            <w:rPr>
              <w:noProof w:val="0"/>
            </w:rPr>
            <w:fldChar w:fldCharType="end"/>
          </w:r>
          <w:r w:rsidRPr="003541E0">
            <w:rPr>
              <w:noProof w:val="0"/>
            </w:rPr>
            <w:fldChar w:fldCharType="begin"/>
          </w:r>
          <w:r w:rsidRPr="003541E0">
            <w:rPr>
              <w:noProof w:val="0"/>
            </w:rPr>
            <w:instrText xml:space="preserve"> STYLEREF  "HeaderRepeat"  \* MERGEFORMAT </w:instrText>
          </w:r>
          <w:r w:rsidRPr="003541E0">
            <w:rPr>
              <w:noProof w:val="0"/>
            </w:rPr>
            <w:fldChar w:fldCharType="separate"/>
          </w:r>
          <w:r w:rsidR="00EE3277">
            <w:t>The impact of the University of Birmingham’s educational exports</w:t>
          </w:r>
          <w:r w:rsidRPr="003541E0">
            <w:rPr>
              <w:noProof w:val="0"/>
            </w:rPr>
            <w:fldChar w:fldCharType="end"/>
          </w:r>
        </w:p>
      </w:tc>
    </w:tr>
  </w:tbl>
  <w:p w14:paraId="2EA80407" w14:textId="77777777" w:rsidR="00B91716" w:rsidRPr="003541E0" w:rsidRDefault="00B91716" w:rsidP="00E31201">
    <w:pPr>
      <w:pStyle w:val="Header"/>
      <w:rPr>
        <w:noProof w:val="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F165F" w14:textId="77777777" w:rsidR="00B91716" w:rsidRPr="003541E0" w:rsidRDefault="00B91716">
    <w:pPr>
      <w:pStyle w:val="Header"/>
      <w:rPr>
        <w:noProof w:val="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5000" w:type="pct"/>
      <w:tblBorders>
        <w:top w:val="none" w:sz="0" w:space="0" w:color="auto"/>
        <w:left w:val="none" w:sz="0" w:space="0" w:color="auto"/>
        <w:bottom w:val="single" w:sz="4" w:space="0" w:color="7F7F7F"/>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B91716" w:rsidRPr="003541E0" w14:paraId="49E9D230" w14:textId="77777777" w:rsidTr="00E962F8">
      <w:tc>
        <w:tcPr>
          <w:tcW w:w="0" w:type="auto"/>
        </w:tcPr>
        <w:p w14:paraId="3FCD8165" w14:textId="6F4B8F21" w:rsidR="00B91716" w:rsidRPr="003541E0" w:rsidRDefault="00B91716" w:rsidP="00E962F8">
          <w:pPr>
            <w:pStyle w:val="HeaderEven"/>
            <w:rPr>
              <w:noProof w:val="0"/>
            </w:rPr>
          </w:pPr>
          <w:r w:rsidRPr="003541E0">
            <w:rPr>
              <w:noProof w:val="0"/>
            </w:rPr>
            <w:fldChar w:fldCharType="begin"/>
          </w:r>
          <w:r w:rsidRPr="003541E0">
            <w:rPr>
              <w:noProof w:val="0"/>
            </w:rPr>
            <w:instrText xml:space="preserve"> IF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33157">
            <w:instrText>4</w:instrText>
          </w:r>
          <w:r w:rsidR="008C1EE2" w:rsidRPr="003541E0">
            <w:rPr>
              <w:noProof w:val="0"/>
            </w:rPr>
            <w:fldChar w:fldCharType="end"/>
          </w:r>
          <w:r w:rsidRPr="003541E0">
            <w:rPr>
              <w:noProof w:val="0"/>
            </w:rPr>
            <w:instrText xml:space="preserve"> = "0" ""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33157">
            <w:instrText>4</w:instrText>
          </w:r>
          <w:r w:rsidR="008C1EE2" w:rsidRPr="003541E0">
            <w:rPr>
              <w:noProof w:val="0"/>
            </w:rPr>
            <w:fldChar w:fldCharType="end"/>
          </w:r>
          <w:r w:rsidRPr="003541E0">
            <w:rPr>
              <w:noProof w:val="0"/>
            </w:rPr>
            <w:instrText xml:space="preserve"> | " \* MERGEFORMAT </w:instrText>
          </w:r>
          <w:r w:rsidRPr="003541E0">
            <w:rPr>
              <w:noProof w:val="0"/>
            </w:rPr>
            <w:fldChar w:fldCharType="separate"/>
          </w:r>
          <w:r w:rsidR="00E33157">
            <w:t>4</w:t>
          </w:r>
          <w:r w:rsidR="00E33157" w:rsidRPr="003541E0">
            <w:t xml:space="preserve"> | </w:t>
          </w:r>
          <w:r w:rsidRPr="003541E0">
            <w:rPr>
              <w:noProof w:val="0"/>
            </w:rPr>
            <w:fldChar w:fldCharType="end"/>
          </w:r>
          <w:r w:rsidR="008C1EE2" w:rsidRPr="003541E0">
            <w:rPr>
              <w:noProof w:val="0"/>
            </w:rPr>
            <w:fldChar w:fldCharType="begin"/>
          </w:r>
          <w:r w:rsidR="008C1EE2" w:rsidRPr="003541E0">
            <w:rPr>
              <w:noProof w:val="0"/>
            </w:rPr>
            <w:instrText xml:space="preserve"> STYLEREF  HeaderRepeat \* MERGEFORMAT </w:instrText>
          </w:r>
          <w:r w:rsidR="008C1EE2" w:rsidRPr="003541E0">
            <w:rPr>
              <w:noProof w:val="0"/>
            </w:rPr>
            <w:fldChar w:fldCharType="separate"/>
          </w:r>
          <w:r w:rsidR="00E33157">
            <w:t>The impact of the University of Birmingham’s educational exports</w:t>
          </w:r>
          <w:r w:rsidR="008C1EE2" w:rsidRPr="003541E0">
            <w:rPr>
              <w:noProof w:val="0"/>
            </w:rPr>
            <w:fldChar w:fldCharType="end"/>
          </w:r>
        </w:p>
      </w:tc>
    </w:tr>
  </w:tbl>
  <w:p w14:paraId="2A3154C1" w14:textId="77777777" w:rsidR="00B91716" w:rsidRPr="003541E0" w:rsidRDefault="00B91716" w:rsidP="00EF7CA0">
    <w:pPr>
      <w:pStyle w:val="HeaderEven"/>
      <w:rPr>
        <w:noProof w:val="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Layout w:type="fixed"/>
      <w:tblCellMar>
        <w:left w:w="0" w:type="dxa"/>
        <w:right w:w="0" w:type="dxa"/>
      </w:tblCellMar>
      <w:tblLook w:val="04A0" w:firstRow="1" w:lastRow="0" w:firstColumn="1" w:lastColumn="0" w:noHBand="0" w:noVBand="1"/>
    </w:tblPr>
    <w:tblGrid>
      <w:gridCol w:w="14004"/>
    </w:tblGrid>
    <w:tr w:rsidR="00B91716" w:rsidRPr="003541E0" w14:paraId="3A322C91" w14:textId="77777777" w:rsidTr="0003371F">
      <w:tc>
        <w:tcPr>
          <w:tcW w:w="8844" w:type="dxa"/>
          <w:tcBorders>
            <w:top w:val="nil"/>
            <w:left w:val="nil"/>
            <w:bottom w:val="single" w:sz="4" w:space="0" w:color="7F7F7F"/>
            <w:right w:val="nil"/>
          </w:tcBorders>
        </w:tcPr>
        <w:p w14:paraId="61920762" w14:textId="10E4BA25" w:rsidR="00B91716" w:rsidRPr="003541E0" w:rsidRDefault="00B91716" w:rsidP="003165FD">
          <w:pPr>
            <w:pStyle w:val="Header"/>
            <w:rPr>
              <w:noProof w:val="0"/>
            </w:rPr>
          </w:pPr>
          <w:r w:rsidRPr="003541E0">
            <w:rPr>
              <w:noProof w:val="0"/>
            </w:rPr>
            <w:fldChar w:fldCharType="begin"/>
          </w:r>
          <w:r w:rsidRPr="003541E0">
            <w:rPr>
              <w:noProof w:val="0"/>
            </w:rPr>
            <w:instrText xml:space="preserve"> IF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E3277">
            <w:instrText>4</w:instrText>
          </w:r>
          <w:r w:rsidR="008C1EE2" w:rsidRPr="003541E0">
            <w:rPr>
              <w:noProof w:val="0"/>
            </w:rPr>
            <w:fldChar w:fldCharType="end"/>
          </w:r>
          <w:r w:rsidRPr="003541E0">
            <w:rPr>
              <w:noProof w:val="0"/>
            </w:rPr>
            <w:instrText xml:space="preserve"> = "0" ""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E3277">
            <w:instrText>4</w:instrText>
          </w:r>
          <w:r w:rsidR="008C1EE2" w:rsidRPr="003541E0">
            <w:rPr>
              <w:noProof w:val="0"/>
            </w:rPr>
            <w:fldChar w:fldCharType="end"/>
          </w:r>
          <w:r w:rsidRPr="003541E0">
            <w:rPr>
              <w:noProof w:val="0"/>
            </w:rPr>
            <w:instrText xml:space="preserve"> | " \* MERGEFORMAT </w:instrText>
          </w:r>
          <w:r w:rsidRPr="003541E0">
            <w:rPr>
              <w:noProof w:val="0"/>
            </w:rPr>
            <w:fldChar w:fldCharType="separate"/>
          </w:r>
          <w:r w:rsidR="00EE3277">
            <w:t>4</w:t>
          </w:r>
          <w:r w:rsidR="00EE3277" w:rsidRPr="003541E0">
            <w:t xml:space="preserve"> | </w:t>
          </w:r>
          <w:r w:rsidRPr="003541E0">
            <w:rPr>
              <w:noProof w:val="0"/>
            </w:rPr>
            <w:fldChar w:fldCharType="end"/>
          </w:r>
          <w:r w:rsidRPr="003541E0">
            <w:rPr>
              <w:noProof w:val="0"/>
            </w:rPr>
            <w:fldChar w:fldCharType="begin"/>
          </w:r>
          <w:r w:rsidRPr="003541E0">
            <w:rPr>
              <w:noProof w:val="0"/>
            </w:rPr>
            <w:instrText xml:space="preserve"> STYLEREF  "HeaderRepeat"  \* MERGEFORMAT </w:instrText>
          </w:r>
          <w:r w:rsidRPr="003541E0">
            <w:rPr>
              <w:noProof w:val="0"/>
            </w:rPr>
            <w:fldChar w:fldCharType="separate"/>
          </w:r>
          <w:r w:rsidR="00EE3277">
            <w:t>The impact of the University of Birmingham’s educational exports</w:t>
          </w:r>
          <w:r w:rsidRPr="003541E0">
            <w:rPr>
              <w:noProof w:val="0"/>
            </w:rPr>
            <w:fldChar w:fldCharType="end"/>
          </w:r>
        </w:p>
      </w:tc>
    </w:tr>
  </w:tbl>
  <w:p w14:paraId="31E49B15" w14:textId="77777777" w:rsidR="00B91716" w:rsidRPr="003541E0" w:rsidRDefault="00B91716" w:rsidP="00E31201">
    <w:pPr>
      <w:pStyle w:val="Header"/>
      <w:rPr>
        <w:noProof w:val="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543A0" w14:textId="77777777" w:rsidR="00B91716" w:rsidRPr="003541E0" w:rsidRDefault="00B91716">
    <w:pPr>
      <w:pStyle w:val="Header"/>
      <w:rPr>
        <w:noProof w:val="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5000" w:type="pct"/>
      <w:tblBorders>
        <w:top w:val="none" w:sz="0" w:space="0" w:color="auto"/>
        <w:left w:val="none" w:sz="0" w:space="0" w:color="auto"/>
        <w:bottom w:val="single" w:sz="4" w:space="0" w:color="7F7F7F"/>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383BF9" w:rsidRPr="003541E0" w14:paraId="46101A45" w14:textId="77777777" w:rsidTr="00E962F8">
      <w:tc>
        <w:tcPr>
          <w:tcW w:w="0" w:type="auto"/>
        </w:tcPr>
        <w:p w14:paraId="4ECDBE73" w14:textId="11D69646" w:rsidR="00383BF9" w:rsidRPr="003541E0" w:rsidRDefault="00383BF9" w:rsidP="00E962F8">
          <w:pPr>
            <w:pStyle w:val="HeaderEven"/>
            <w:rPr>
              <w:noProof w:val="0"/>
            </w:rPr>
          </w:pPr>
          <w:r w:rsidRPr="003541E0">
            <w:rPr>
              <w:noProof w:val="0"/>
            </w:rPr>
            <w:fldChar w:fldCharType="begin"/>
          </w:r>
          <w:r w:rsidRPr="003541E0">
            <w:rPr>
              <w:noProof w:val="0"/>
            </w:rPr>
            <w:instrText xml:space="preserve"> IF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33157">
            <w:instrText>4</w:instrText>
          </w:r>
          <w:r w:rsidR="008C1EE2" w:rsidRPr="003541E0">
            <w:rPr>
              <w:noProof w:val="0"/>
            </w:rPr>
            <w:fldChar w:fldCharType="end"/>
          </w:r>
          <w:r w:rsidRPr="003541E0">
            <w:rPr>
              <w:noProof w:val="0"/>
            </w:rPr>
            <w:instrText xml:space="preserve"> = "0" ""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33157">
            <w:instrText>4</w:instrText>
          </w:r>
          <w:r w:rsidR="008C1EE2" w:rsidRPr="003541E0">
            <w:rPr>
              <w:noProof w:val="0"/>
            </w:rPr>
            <w:fldChar w:fldCharType="end"/>
          </w:r>
          <w:r w:rsidRPr="003541E0">
            <w:rPr>
              <w:noProof w:val="0"/>
            </w:rPr>
            <w:instrText xml:space="preserve"> | " \* MERGEFORMAT </w:instrText>
          </w:r>
          <w:r w:rsidRPr="003541E0">
            <w:rPr>
              <w:noProof w:val="0"/>
            </w:rPr>
            <w:fldChar w:fldCharType="separate"/>
          </w:r>
          <w:r w:rsidR="00E33157">
            <w:t>4</w:t>
          </w:r>
          <w:r w:rsidR="00E33157" w:rsidRPr="003541E0">
            <w:t xml:space="preserve"> | </w:t>
          </w:r>
          <w:r w:rsidRPr="003541E0">
            <w:rPr>
              <w:noProof w:val="0"/>
            </w:rPr>
            <w:fldChar w:fldCharType="end"/>
          </w:r>
          <w:r w:rsidR="008C1EE2" w:rsidRPr="003541E0">
            <w:rPr>
              <w:noProof w:val="0"/>
            </w:rPr>
            <w:fldChar w:fldCharType="begin"/>
          </w:r>
          <w:r w:rsidR="008C1EE2" w:rsidRPr="003541E0">
            <w:rPr>
              <w:noProof w:val="0"/>
            </w:rPr>
            <w:instrText xml:space="preserve"> STYLEREF  HeaderRepeat \* MERGEFORMAT </w:instrText>
          </w:r>
          <w:r w:rsidR="008C1EE2" w:rsidRPr="003541E0">
            <w:rPr>
              <w:noProof w:val="0"/>
            </w:rPr>
            <w:fldChar w:fldCharType="separate"/>
          </w:r>
          <w:r w:rsidR="00E33157">
            <w:t>The impact of the University of Birmingham’s educational exports</w:t>
          </w:r>
          <w:r w:rsidR="008C1EE2" w:rsidRPr="003541E0">
            <w:rPr>
              <w:noProof w:val="0"/>
            </w:rPr>
            <w:fldChar w:fldCharType="end"/>
          </w:r>
        </w:p>
      </w:tc>
    </w:tr>
  </w:tbl>
  <w:p w14:paraId="72CC9065" w14:textId="77777777" w:rsidR="00383BF9" w:rsidRPr="003541E0" w:rsidRDefault="00383BF9" w:rsidP="00EF7CA0">
    <w:pPr>
      <w:pStyle w:val="HeaderEven"/>
      <w:rPr>
        <w:noProof w:val="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5000" w:type="pct"/>
      <w:tblBorders>
        <w:top w:val="none" w:sz="0" w:space="0" w:color="auto"/>
        <w:left w:val="none" w:sz="0" w:space="0" w:color="auto"/>
        <w:bottom w:val="single" w:sz="4" w:space="0" w:color="7F7F7F"/>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383BF9" w:rsidRPr="003541E0" w14:paraId="6A0B27EB" w14:textId="77777777" w:rsidTr="00E962F8">
      <w:tc>
        <w:tcPr>
          <w:tcW w:w="0" w:type="auto"/>
        </w:tcPr>
        <w:p w14:paraId="39ED921D" w14:textId="55AA0A4D" w:rsidR="00383BF9" w:rsidRPr="003541E0" w:rsidRDefault="00383BF9" w:rsidP="00E962F8">
          <w:pPr>
            <w:pStyle w:val="Header"/>
            <w:rPr>
              <w:noProof w:val="0"/>
            </w:rPr>
          </w:pPr>
          <w:r w:rsidRPr="003541E0">
            <w:rPr>
              <w:noProof w:val="0"/>
            </w:rPr>
            <w:fldChar w:fldCharType="begin"/>
          </w:r>
          <w:r w:rsidRPr="003541E0">
            <w:rPr>
              <w:noProof w:val="0"/>
            </w:rPr>
            <w:instrText xml:space="preserve"> IF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E3277">
            <w:instrText>5</w:instrText>
          </w:r>
          <w:r w:rsidR="008C1EE2" w:rsidRPr="003541E0">
            <w:rPr>
              <w:noProof w:val="0"/>
            </w:rPr>
            <w:fldChar w:fldCharType="end"/>
          </w:r>
          <w:r w:rsidRPr="003541E0">
            <w:rPr>
              <w:noProof w:val="0"/>
            </w:rPr>
            <w:instrText xml:space="preserve"> = "0" ""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E3277">
            <w:instrText>5</w:instrText>
          </w:r>
          <w:r w:rsidR="008C1EE2" w:rsidRPr="003541E0">
            <w:rPr>
              <w:noProof w:val="0"/>
            </w:rPr>
            <w:fldChar w:fldCharType="end"/>
          </w:r>
          <w:r w:rsidRPr="003541E0">
            <w:rPr>
              <w:noProof w:val="0"/>
            </w:rPr>
            <w:instrText xml:space="preserve"> | " \* MERGEFORMAT </w:instrText>
          </w:r>
          <w:r w:rsidRPr="003541E0">
            <w:rPr>
              <w:noProof w:val="0"/>
            </w:rPr>
            <w:fldChar w:fldCharType="separate"/>
          </w:r>
          <w:r w:rsidR="00EE3277">
            <w:t>5</w:t>
          </w:r>
          <w:r w:rsidR="00EE3277" w:rsidRPr="003541E0">
            <w:t xml:space="preserve"> | </w:t>
          </w:r>
          <w:r w:rsidRPr="003541E0">
            <w:rPr>
              <w:noProof w:val="0"/>
            </w:rPr>
            <w:fldChar w:fldCharType="end"/>
          </w:r>
          <w:r w:rsidRPr="003541E0">
            <w:rPr>
              <w:noProof w:val="0"/>
            </w:rPr>
            <w:fldChar w:fldCharType="begin"/>
          </w:r>
          <w:r w:rsidRPr="003541E0">
            <w:rPr>
              <w:noProof w:val="0"/>
            </w:rPr>
            <w:instrText xml:space="preserve"> STYLEREF  "HeaderRepeat"  \* MERGEFORMAT </w:instrText>
          </w:r>
          <w:r w:rsidRPr="003541E0">
            <w:rPr>
              <w:noProof w:val="0"/>
            </w:rPr>
            <w:fldChar w:fldCharType="separate"/>
          </w:r>
          <w:r w:rsidR="00EE3277">
            <w:t>The impact of the University of Birmingham’s expenditures</w:t>
          </w:r>
          <w:r w:rsidRPr="003541E0">
            <w:rPr>
              <w:noProof w:val="0"/>
            </w:rPr>
            <w:fldChar w:fldCharType="end"/>
          </w:r>
        </w:p>
      </w:tc>
    </w:tr>
  </w:tbl>
  <w:p w14:paraId="490743DA" w14:textId="77777777" w:rsidR="00383BF9" w:rsidRPr="003541E0" w:rsidRDefault="00383BF9" w:rsidP="007E7F6B">
    <w:pPr>
      <w:pStyle w:val="Header"/>
      <w:rPr>
        <w:noProof w:val="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5000" w:type="pct"/>
      <w:tblBorders>
        <w:top w:val="none" w:sz="0" w:space="0" w:color="auto"/>
        <w:left w:val="none" w:sz="0" w:space="0" w:color="auto"/>
        <w:bottom w:val="single" w:sz="4" w:space="0" w:color="7F7F7F"/>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383BF9" w:rsidRPr="003541E0" w14:paraId="2BFAEF2D" w14:textId="77777777" w:rsidTr="00E962F8">
      <w:tc>
        <w:tcPr>
          <w:tcW w:w="0" w:type="auto"/>
        </w:tcPr>
        <w:p w14:paraId="2AB2E4A9" w14:textId="7FE395D7" w:rsidR="00383BF9" w:rsidRPr="003541E0" w:rsidRDefault="00383BF9" w:rsidP="00E962F8">
          <w:pPr>
            <w:pStyle w:val="HeaderEven"/>
            <w:rPr>
              <w:noProof w:val="0"/>
            </w:rPr>
          </w:pPr>
          <w:r w:rsidRPr="003541E0">
            <w:rPr>
              <w:noProof w:val="0"/>
            </w:rPr>
            <w:fldChar w:fldCharType="begin"/>
          </w:r>
          <w:r w:rsidRPr="003541E0">
            <w:rPr>
              <w:noProof w:val="0"/>
            </w:rPr>
            <w:instrText xml:space="preserve"> IF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33157">
            <w:instrText>5</w:instrText>
          </w:r>
          <w:r w:rsidR="008C1EE2" w:rsidRPr="003541E0">
            <w:rPr>
              <w:noProof w:val="0"/>
            </w:rPr>
            <w:fldChar w:fldCharType="end"/>
          </w:r>
          <w:r w:rsidRPr="003541E0">
            <w:rPr>
              <w:noProof w:val="0"/>
            </w:rPr>
            <w:instrText xml:space="preserve"> = "0" ""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33157">
            <w:instrText>5</w:instrText>
          </w:r>
          <w:r w:rsidR="008C1EE2" w:rsidRPr="003541E0">
            <w:rPr>
              <w:noProof w:val="0"/>
            </w:rPr>
            <w:fldChar w:fldCharType="end"/>
          </w:r>
          <w:r w:rsidRPr="003541E0">
            <w:rPr>
              <w:noProof w:val="0"/>
            </w:rPr>
            <w:instrText xml:space="preserve"> | " \* MERGEFORMAT </w:instrText>
          </w:r>
          <w:r w:rsidRPr="003541E0">
            <w:rPr>
              <w:noProof w:val="0"/>
            </w:rPr>
            <w:fldChar w:fldCharType="separate"/>
          </w:r>
          <w:r w:rsidR="00E33157">
            <w:t>5</w:t>
          </w:r>
          <w:r w:rsidR="00E33157" w:rsidRPr="003541E0">
            <w:t xml:space="preserve"> | </w:t>
          </w:r>
          <w:r w:rsidRPr="003541E0">
            <w:rPr>
              <w:noProof w:val="0"/>
            </w:rPr>
            <w:fldChar w:fldCharType="end"/>
          </w:r>
          <w:r w:rsidR="008C1EE2" w:rsidRPr="003541E0">
            <w:rPr>
              <w:noProof w:val="0"/>
            </w:rPr>
            <w:fldChar w:fldCharType="begin"/>
          </w:r>
          <w:r w:rsidR="008C1EE2" w:rsidRPr="003541E0">
            <w:rPr>
              <w:noProof w:val="0"/>
            </w:rPr>
            <w:instrText xml:space="preserve"> STYLEREF  HeaderRepeat \* MERGEFORMAT </w:instrText>
          </w:r>
          <w:r w:rsidR="008C1EE2" w:rsidRPr="003541E0">
            <w:rPr>
              <w:noProof w:val="0"/>
            </w:rPr>
            <w:fldChar w:fldCharType="separate"/>
          </w:r>
          <w:r w:rsidR="00E33157">
            <w:t>The impact of the University of Birmingham’s expenditures</w:t>
          </w:r>
          <w:r w:rsidR="008C1EE2" w:rsidRPr="003541E0">
            <w:rPr>
              <w:noProof w:val="0"/>
            </w:rPr>
            <w:fldChar w:fldCharType="end"/>
          </w:r>
        </w:p>
      </w:tc>
    </w:tr>
  </w:tbl>
  <w:p w14:paraId="54B66BA3" w14:textId="77777777" w:rsidR="00383BF9" w:rsidRPr="003541E0" w:rsidRDefault="00383BF9" w:rsidP="00EF7CA0">
    <w:pPr>
      <w:pStyle w:val="HeaderEven"/>
      <w:rPr>
        <w:noProof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2F060" w14:textId="77777777" w:rsidR="007F7981" w:rsidRPr="003541E0" w:rsidRDefault="007F7981">
    <w:pPr>
      <w:pStyle w:val="Header"/>
      <w:rPr>
        <w:noProof w:val="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5000" w:type="pct"/>
      <w:tblBorders>
        <w:top w:val="none" w:sz="0" w:space="0" w:color="auto"/>
        <w:left w:val="none" w:sz="0" w:space="0" w:color="auto"/>
        <w:bottom w:val="single" w:sz="4" w:space="0" w:color="7F7F7F"/>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004"/>
    </w:tblGrid>
    <w:tr w:rsidR="00383BF9" w:rsidRPr="003541E0" w14:paraId="2DD4B4D5" w14:textId="77777777" w:rsidTr="00E962F8">
      <w:tc>
        <w:tcPr>
          <w:tcW w:w="0" w:type="auto"/>
        </w:tcPr>
        <w:p w14:paraId="04A7A0E9" w14:textId="7FF586F5" w:rsidR="00383BF9" w:rsidRPr="003541E0" w:rsidRDefault="00383BF9" w:rsidP="00E962F8">
          <w:pPr>
            <w:pStyle w:val="Header"/>
            <w:rPr>
              <w:noProof w:val="0"/>
            </w:rPr>
          </w:pPr>
          <w:r w:rsidRPr="003541E0">
            <w:rPr>
              <w:noProof w:val="0"/>
            </w:rPr>
            <w:fldChar w:fldCharType="begin"/>
          </w:r>
          <w:r w:rsidRPr="003541E0">
            <w:rPr>
              <w:noProof w:val="0"/>
            </w:rPr>
            <w:instrText xml:space="preserve"> IF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E3277">
            <w:instrText>5</w:instrText>
          </w:r>
          <w:r w:rsidR="008C1EE2" w:rsidRPr="003541E0">
            <w:rPr>
              <w:noProof w:val="0"/>
            </w:rPr>
            <w:fldChar w:fldCharType="end"/>
          </w:r>
          <w:r w:rsidRPr="003541E0">
            <w:rPr>
              <w:noProof w:val="0"/>
            </w:rPr>
            <w:instrText xml:space="preserve"> = "0" ""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E3277">
            <w:instrText>5</w:instrText>
          </w:r>
          <w:r w:rsidR="008C1EE2" w:rsidRPr="003541E0">
            <w:rPr>
              <w:noProof w:val="0"/>
            </w:rPr>
            <w:fldChar w:fldCharType="end"/>
          </w:r>
          <w:r w:rsidRPr="003541E0">
            <w:rPr>
              <w:noProof w:val="0"/>
            </w:rPr>
            <w:instrText xml:space="preserve"> | " \* MERGEFORMAT </w:instrText>
          </w:r>
          <w:r w:rsidRPr="003541E0">
            <w:rPr>
              <w:noProof w:val="0"/>
            </w:rPr>
            <w:fldChar w:fldCharType="separate"/>
          </w:r>
          <w:r w:rsidR="00EE3277">
            <w:t>5</w:t>
          </w:r>
          <w:r w:rsidR="00EE3277" w:rsidRPr="003541E0">
            <w:t xml:space="preserve"> | </w:t>
          </w:r>
          <w:r w:rsidRPr="003541E0">
            <w:rPr>
              <w:noProof w:val="0"/>
            </w:rPr>
            <w:fldChar w:fldCharType="end"/>
          </w:r>
          <w:r w:rsidRPr="003541E0">
            <w:rPr>
              <w:noProof w:val="0"/>
            </w:rPr>
            <w:fldChar w:fldCharType="begin"/>
          </w:r>
          <w:r w:rsidRPr="003541E0">
            <w:rPr>
              <w:noProof w:val="0"/>
            </w:rPr>
            <w:instrText xml:space="preserve"> STYLEREF  "HeaderRepeat"  \* MERGEFORMAT </w:instrText>
          </w:r>
          <w:r w:rsidRPr="003541E0">
            <w:rPr>
              <w:noProof w:val="0"/>
            </w:rPr>
            <w:fldChar w:fldCharType="separate"/>
          </w:r>
          <w:r w:rsidR="00EE3277">
            <w:t>The impact of the University of Birmingham’s expenditures</w:t>
          </w:r>
          <w:r w:rsidRPr="003541E0">
            <w:rPr>
              <w:noProof w:val="0"/>
            </w:rPr>
            <w:fldChar w:fldCharType="end"/>
          </w:r>
        </w:p>
      </w:tc>
    </w:tr>
  </w:tbl>
  <w:p w14:paraId="542A0CF8" w14:textId="77777777" w:rsidR="00383BF9" w:rsidRPr="00BE414A" w:rsidRDefault="00383BF9" w:rsidP="007E7F6B">
    <w:pPr>
      <w:pStyle w:val="Header"/>
      <w:rPr>
        <w:b w:val="0"/>
        <w:bCs/>
        <w:noProof w:val="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78899" w14:textId="77777777" w:rsidR="00383BF9" w:rsidRPr="003541E0" w:rsidRDefault="00383BF9">
    <w:pPr>
      <w:pStyle w:val="Header"/>
      <w:rPr>
        <w:noProof w:val="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0" w:type="auto"/>
      <w:tblBorders>
        <w:top w:val="none" w:sz="0" w:space="0" w:color="auto"/>
        <w:left w:val="none" w:sz="0" w:space="0" w:color="auto"/>
        <w:bottom w:val="single" w:sz="4" w:space="0" w:color="7F7F7F"/>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12"/>
    </w:tblGrid>
    <w:tr w:rsidR="00E13125" w:rsidRPr="003541E0" w14:paraId="74A0383B" w14:textId="77777777" w:rsidTr="000B7DD0">
      <w:tc>
        <w:tcPr>
          <w:tcW w:w="9412" w:type="dxa"/>
        </w:tcPr>
        <w:p w14:paraId="22997813" w14:textId="0C5897EE" w:rsidR="00E13125" w:rsidRPr="003541E0" w:rsidRDefault="00E13125" w:rsidP="000B7DD0">
          <w:pPr>
            <w:pStyle w:val="HeaderEven"/>
            <w:rPr>
              <w:noProof w:val="0"/>
            </w:rPr>
          </w:pPr>
          <w:r w:rsidRPr="003541E0">
            <w:rPr>
              <w:noProof w:val="0"/>
            </w:rPr>
            <w:fldChar w:fldCharType="begin"/>
          </w:r>
          <w:r w:rsidRPr="003541E0">
            <w:rPr>
              <w:noProof w:val="0"/>
            </w:rPr>
            <w:instrText xml:space="preserve"> IF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33157">
            <w:instrText>5</w:instrText>
          </w:r>
          <w:r w:rsidR="008C1EE2" w:rsidRPr="003541E0">
            <w:rPr>
              <w:noProof w:val="0"/>
            </w:rPr>
            <w:fldChar w:fldCharType="end"/>
          </w:r>
          <w:r w:rsidRPr="003541E0">
            <w:rPr>
              <w:noProof w:val="0"/>
            </w:rPr>
            <w:instrText xml:space="preserve"> = "0" ""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33157">
            <w:instrText>5</w:instrText>
          </w:r>
          <w:r w:rsidR="008C1EE2" w:rsidRPr="003541E0">
            <w:rPr>
              <w:noProof w:val="0"/>
            </w:rPr>
            <w:fldChar w:fldCharType="end"/>
          </w:r>
          <w:r w:rsidRPr="003541E0">
            <w:rPr>
              <w:noProof w:val="0"/>
            </w:rPr>
            <w:instrText xml:space="preserve"> | " \* MERGEFORMAT </w:instrText>
          </w:r>
          <w:r w:rsidRPr="003541E0">
            <w:rPr>
              <w:noProof w:val="0"/>
            </w:rPr>
            <w:fldChar w:fldCharType="separate"/>
          </w:r>
          <w:r w:rsidR="00E33157">
            <w:t>5</w:t>
          </w:r>
          <w:r w:rsidR="00E33157" w:rsidRPr="003541E0">
            <w:t xml:space="preserve"> | </w:t>
          </w:r>
          <w:r w:rsidRPr="003541E0">
            <w:rPr>
              <w:noProof w:val="0"/>
            </w:rPr>
            <w:fldChar w:fldCharType="end"/>
          </w:r>
          <w:r w:rsidR="008C1EE2" w:rsidRPr="003541E0">
            <w:rPr>
              <w:noProof w:val="0"/>
            </w:rPr>
            <w:fldChar w:fldCharType="begin"/>
          </w:r>
          <w:r w:rsidR="008C1EE2" w:rsidRPr="003541E0">
            <w:rPr>
              <w:noProof w:val="0"/>
            </w:rPr>
            <w:instrText xml:space="preserve"> STYLEREF  HeaderRepeat \* MERGEFORMAT </w:instrText>
          </w:r>
          <w:r w:rsidR="008C1EE2" w:rsidRPr="003541E0">
            <w:rPr>
              <w:noProof w:val="0"/>
            </w:rPr>
            <w:fldChar w:fldCharType="separate"/>
          </w:r>
          <w:r w:rsidR="00E33157">
            <w:t>The impact of the University of Birmingham’s expenditures</w:t>
          </w:r>
          <w:r w:rsidR="008C1EE2" w:rsidRPr="003541E0">
            <w:rPr>
              <w:noProof w:val="0"/>
            </w:rPr>
            <w:fldChar w:fldCharType="end"/>
          </w:r>
        </w:p>
      </w:tc>
    </w:tr>
  </w:tbl>
  <w:p w14:paraId="419A2CA4" w14:textId="77777777" w:rsidR="00E13125" w:rsidRPr="003541E0" w:rsidRDefault="00E13125" w:rsidP="000B7DD0">
    <w:pPr>
      <w:pStyle w:val="HeaderEven"/>
      <w:jc w:val="right"/>
      <w:rPr>
        <w:noProof w:val="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5000" w:type="pct"/>
      <w:tblBorders>
        <w:top w:val="none" w:sz="0" w:space="0" w:color="auto"/>
        <w:left w:val="none" w:sz="0" w:space="0" w:color="auto"/>
        <w:bottom w:val="single" w:sz="4" w:space="0" w:color="7F7F7F"/>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E13125" w:rsidRPr="003541E0" w14:paraId="651A6390" w14:textId="77777777" w:rsidTr="00E962F8">
      <w:tc>
        <w:tcPr>
          <w:tcW w:w="0" w:type="auto"/>
        </w:tcPr>
        <w:p w14:paraId="2BAE9F1A" w14:textId="2A58DF7A" w:rsidR="00E13125" w:rsidRPr="003541E0" w:rsidRDefault="00E13125" w:rsidP="000B7DD0">
          <w:pPr>
            <w:pStyle w:val="Header"/>
            <w:rPr>
              <w:noProof w:val="0"/>
            </w:rPr>
          </w:pPr>
          <w:r w:rsidRPr="003541E0">
            <w:rPr>
              <w:noProof w:val="0"/>
            </w:rPr>
            <w:fldChar w:fldCharType="begin"/>
          </w:r>
          <w:r w:rsidRPr="003541E0">
            <w:rPr>
              <w:noProof w:val="0"/>
            </w:rPr>
            <w:instrText xml:space="preserve"> IF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E3277">
            <w:instrText>6</w:instrText>
          </w:r>
          <w:r w:rsidR="008C1EE2" w:rsidRPr="003541E0">
            <w:rPr>
              <w:noProof w:val="0"/>
            </w:rPr>
            <w:fldChar w:fldCharType="end"/>
          </w:r>
          <w:r w:rsidRPr="003541E0">
            <w:rPr>
              <w:noProof w:val="0"/>
            </w:rPr>
            <w:instrText xml:space="preserve"> = "0" ""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E3277">
            <w:instrText>6</w:instrText>
          </w:r>
          <w:r w:rsidR="008C1EE2" w:rsidRPr="003541E0">
            <w:rPr>
              <w:noProof w:val="0"/>
            </w:rPr>
            <w:fldChar w:fldCharType="end"/>
          </w:r>
          <w:r w:rsidRPr="003541E0">
            <w:rPr>
              <w:noProof w:val="0"/>
            </w:rPr>
            <w:instrText xml:space="preserve"> | " \* MERGEFORMAT </w:instrText>
          </w:r>
          <w:r w:rsidRPr="003541E0">
            <w:rPr>
              <w:noProof w:val="0"/>
            </w:rPr>
            <w:fldChar w:fldCharType="separate"/>
          </w:r>
          <w:r w:rsidR="00EE3277">
            <w:t>6</w:t>
          </w:r>
          <w:r w:rsidR="00EE3277" w:rsidRPr="003541E0">
            <w:t xml:space="preserve"> | </w:t>
          </w:r>
          <w:r w:rsidRPr="003541E0">
            <w:rPr>
              <w:noProof w:val="0"/>
            </w:rPr>
            <w:fldChar w:fldCharType="end"/>
          </w:r>
          <w:r w:rsidRPr="003541E0">
            <w:rPr>
              <w:noProof w:val="0"/>
            </w:rPr>
            <w:fldChar w:fldCharType="begin"/>
          </w:r>
          <w:r w:rsidRPr="003541E0">
            <w:rPr>
              <w:noProof w:val="0"/>
            </w:rPr>
            <w:instrText xml:space="preserve"> STYLEREF  "HeaderRepeat"  \* MERGEFORMAT </w:instrText>
          </w:r>
          <w:r w:rsidRPr="003541E0">
            <w:rPr>
              <w:noProof w:val="0"/>
            </w:rPr>
            <w:fldChar w:fldCharType="separate"/>
          </w:r>
          <w:r w:rsidR="00EE3277">
            <w:t>The University of Birmingham’s contribution to tourism</w:t>
          </w:r>
          <w:r w:rsidRPr="003541E0">
            <w:rPr>
              <w:noProof w:val="0"/>
            </w:rPr>
            <w:fldChar w:fldCharType="end"/>
          </w:r>
        </w:p>
      </w:tc>
    </w:tr>
  </w:tbl>
  <w:p w14:paraId="406A7137" w14:textId="77777777" w:rsidR="00E13125" w:rsidRPr="003541E0" w:rsidRDefault="00E13125" w:rsidP="000B7DD0">
    <w:pPr>
      <w:pStyle w:val="Header"/>
      <w:rPr>
        <w:noProof w:val="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0" w:type="auto"/>
      <w:tblBorders>
        <w:top w:val="none" w:sz="0" w:space="0" w:color="auto"/>
        <w:left w:val="none" w:sz="0" w:space="0" w:color="auto"/>
        <w:bottom w:val="single" w:sz="4" w:space="0" w:color="7F7F7F"/>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12"/>
    </w:tblGrid>
    <w:tr w:rsidR="00E13125" w:rsidRPr="003541E0" w14:paraId="4C0710A8" w14:textId="77777777" w:rsidTr="000B7DD0">
      <w:tc>
        <w:tcPr>
          <w:tcW w:w="9412" w:type="dxa"/>
        </w:tcPr>
        <w:p w14:paraId="404C5935" w14:textId="5F87A5F7" w:rsidR="00E13125" w:rsidRPr="003541E0" w:rsidRDefault="00E13125" w:rsidP="000B7DD0">
          <w:pPr>
            <w:pStyle w:val="HeaderEven"/>
            <w:rPr>
              <w:noProof w:val="0"/>
            </w:rPr>
          </w:pPr>
          <w:r w:rsidRPr="003541E0">
            <w:rPr>
              <w:noProof w:val="0"/>
            </w:rPr>
            <w:fldChar w:fldCharType="begin"/>
          </w:r>
          <w:r w:rsidRPr="003541E0">
            <w:rPr>
              <w:noProof w:val="0"/>
            </w:rPr>
            <w:instrText xml:space="preserve"> IF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33157">
            <w:instrText>6</w:instrText>
          </w:r>
          <w:r w:rsidR="008C1EE2" w:rsidRPr="003541E0">
            <w:rPr>
              <w:noProof w:val="0"/>
            </w:rPr>
            <w:fldChar w:fldCharType="end"/>
          </w:r>
          <w:r w:rsidRPr="003541E0">
            <w:rPr>
              <w:noProof w:val="0"/>
            </w:rPr>
            <w:instrText xml:space="preserve"> = "0" ""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33157">
            <w:instrText>6</w:instrText>
          </w:r>
          <w:r w:rsidR="008C1EE2" w:rsidRPr="003541E0">
            <w:rPr>
              <w:noProof w:val="0"/>
            </w:rPr>
            <w:fldChar w:fldCharType="end"/>
          </w:r>
          <w:r w:rsidRPr="003541E0">
            <w:rPr>
              <w:noProof w:val="0"/>
            </w:rPr>
            <w:instrText xml:space="preserve"> | " \* MERGEFORMAT </w:instrText>
          </w:r>
          <w:r w:rsidRPr="003541E0">
            <w:rPr>
              <w:noProof w:val="0"/>
            </w:rPr>
            <w:fldChar w:fldCharType="separate"/>
          </w:r>
          <w:r w:rsidR="00E33157">
            <w:t>6</w:t>
          </w:r>
          <w:r w:rsidR="00E33157" w:rsidRPr="003541E0">
            <w:t xml:space="preserve"> | </w:t>
          </w:r>
          <w:r w:rsidRPr="003541E0">
            <w:rPr>
              <w:noProof w:val="0"/>
            </w:rPr>
            <w:fldChar w:fldCharType="end"/>
          </w:r>
          <w:r w:rsidR="008C1EE2" w:rsidRPr="003541E0">
            <w:rPr>
              <w:noProof w:val="0"/>
            </w:rPr>
            <w:fldChar w:fldCharType="begin"/>
          </w:r>
          <w:r w:rsidR="008C1EE2" w:rsidRPr="003541E0">
            <w:rPr>
              <w:noProof w:val="0"/>
            </w:rPr>
            <w:instrText xml:space="preserve"> STYLEREF  HeaderRepeat \* MERGEFORMAT </w:instrText>
          </w:r>
          <w:r w:rsidR="008C1EE2" w:rsidRPr="003541E0">
            <w:rPr>
              <w:noProof w:val="0"/>
            </w:rPr>
            <w:fldChar w:fldCharType="separate"/>
          </w:r>
          <w:r w:rsidR="00E33157">
            <w:t>The University of Birmingham’s contribution to tourism</w:t>
          </w:r>
          <w:r w:rsidR="008C1EE2" w:rsidRPr="003541E0">
            <w:rPr>
              <w:noProof w:val="0"/>
            </w:rPr>
            <w:fldChar w:fldCharType="end"/>
          </w:r>
        </w:p>
      </w:tc>
    </w:tr>
  </w:tbl>
  <w:p w14:paraId="4616E508" w14:textId="77777777" w:rsidR="00E13125" w:rsidRPr="003541E0" w:rsidRDefault="00E13125" w:rsidP="000B7DD0">
    <w:pPr>
      <w:pStyle w:val="HeaderEven"/>
      <w:jc w:val="right"/>
      <w:rPr>
        <w:noProof w:val="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5000" w:type="pct"/>
      <w:tblBorders>
        <w:top w:val="none" w:sz="0" w:space="0" w:color="auto"/>
        <w:left w:val="none" w:sz="0" w:space="0" w:color="auto"/>
        <w:bottom w:val="single" w:sz="4" w:space="0" w:color="7F7F7F"/>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004"/>
    </w:tblGrid>
    <w:tr w:rsidR="00E13125" w:rsidRPr="003541E0" w14:paraId="09A1DC6F" w14:textId="77777777" w:rsidTr="00E962F8">
      <w:tc>
        <w:tcPr>
          <w:tcW w:w="0" w:type="auto"/>
        </w:tcPr>
        <w:p w14:paraId="4FC3124C" w14:textId="6032A272" w:rsidR="00E13125" w:rsidRPr="003541E0" w:rsidRDefault="00E13125" w:rsidP="000B7DD0">
          <w:pPr>
            <w:pStyle w:val="Header"/>
            <w:rPr>
              <w:noProof w:val="0"/>
            </w:rPr>
          </w:pPr>
          <w:r w:rsidRPr="003541E0">
            <w:rPr>
              <w:noProof w:val="0"/>
            </w:rPr>
            <w:fldChar w:fldCharType="begin"/>
          </w:r>
          <w:r w:rsidRPr="003541E0">
            <w:rPr>
              <w:noProof w:val="0"/>
            </w:rPr>
            <w:instrText xml:space="preserve"> IF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E3277">
            <w:instrText>6</w:instrText>
          </w:r>
          <w:r w:rsidR="008C1EE2" w:rsidRPr="003541E0">
            <w:rPr>
              <w:noProof w:val="0"/>
            </w:rPr>
            <w:fldChar w:fldCharType="end"/>
          </w:r>
          <w:r w:rsidRPr="003541E0">
            <w:rPr>
              <w:noProof w:val="0"/>
            </w:rPr>
            <w:instrText xml:space="preserve"> = "0" ""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E3277">
            <w:instrText>6</w:instrText>
          </w:r>
          <w:r w:rsidR="008C1EE2" w:rsidRPr="003541E0">
            <w:rPr>
              <w:noProof w:val="0"/>
            </w:rPr>
            <w:fldChar w:fldCharType="end"/>
          </w:r>
          <w:r w:rsidRPr="003541E0">
            <w:rPr>
              <w:noProof w:val="0"/>
            </w:rPr>
            <w:instrText xml:space="preserve"> | " \* MERGEFORMAT </w:instrText>
          </w:r>
          <w:r w:rsidRPr="003541E0">
            <w:rPr>
              <w:noProof w:val="0"/>
            </w:rPr>
            <w:fldChar w:fldCharType="separate"/>
          </w:r>
          <w:r w:rsidR="00EE3277">
            <w:t>6</w:t>
          </w:r>
          <w:r w:rsidR="00EE3277" w:rsidRPr="003541E0">
            <w:t xml:space="preserve"> | </w:t>
          </w:r>
          <w:r w:rsidRPr="003541E0">
            <w:rPr>
              <w:noProof w:val="0"/>
            </w:rPr>
            <w:fldChar w:fldCharType="end"/>
          </w:r>
          <w:r w:rsidRPr="003541E0">
            <w:rPr>
              <w:noProof w:val="0"/>
            </w:rPr>
            <w:fldChar w:fldCharType="begin"/>
          </w:r>
          <w:r w:rsidRPr="003541E0">
            <w:rPr>
              <w:noProof w:val="0"/>
            </w:rPr>
            <w:instrText xml:space="preserve"> STYLEREF  "HeaderRepeat"  \* MERGEFORMAT </w:instrText>
          </w:r>
          <w:r w:rsidRPr="003541E0">
            <w:rPr>
              <w:noProof w:val="0"/>
            </w:rPr>
            <w:fldChar w:fldCharType="separate"/>
          </w:r>
          <w:r w:rsidR="00EE3277">
            <w:t>The University of Birmingham’s contribution to tourism</w:t>
          </w:r>
          <w:r w:rsidRPr="003541E0">
            <w:rPr>
              <w:noProof w:val="0"/>
            </w:rPr>
            <w:fldChar w:fldCharType="end"/>
          </w:r>
        </w:p>
      </w:tc>
    </w:tr>
  </w:tbl>
  <w:p w14:paraId="2192343D" w14:textId="77777777" w:rsidR="00E13125" w:rsidRPr="003541E0" w:rsidRDefault="00E13125" w:rsidP="000B7DD0">
    <w:pPr>
      <w:pStyle w:val="Header"/>
      <w:rPr>
        <w:noProof w:val="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F9639" w14:textId="77777777" w:rsidR="00E13125" w:rsidRPr="003541E0" w:rsidRDefault="00E13125">
    <w:pPr>
      <w:pStyle w:val="Header"/>
      <w:rPr>
        <w:noProof w:val="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5000" w:type="pct"/>
      <w:tblBorders>
        <w:top w:val="none" w:sz="0" w:space="0" w:color="auto"/>
        <w:left w:val="none" w:sz="0" w:space="0" w:color="auto"/>
        <w:bottom w:val="single" w:sz="4" w:space="0" w:color="7F7F7F"/>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E13125" w:rsidRPr="003541E0" w14:paraId="63BE5CF8" w14:textId="77777777" w:rsidTr="00E962F8">
      <w:tc>
        <w:tcPr>
          <w:tcW w:w="0" w:type="auto"/>
        </w:tcPr>
        <w:p w14:paraId="0783BB8A" w14:textId="26CB55C3" w:rsidR="00E13125" w:rsidRPr="003541E0" w:rsidRDefault="00E13125" w:rsidP="00E962F8">
          <w:pPr>
            <w:pStyle w:val="HeaderEven"/>
            <w:rPr>
              <w:noProof w:val="0"/>
            </w:rPr>
          </w:pPr>
          <w:r w:rsidRPr="003541E0">
            <w:rPr>
              <w:noProof w:val="0"/>
            </w:rPr>
            <w:fldChar w:fldCharType="begin"/>
          </w:r>
          <w:r w:rsidRPr="003541E0">
            <w:rPr>
              <w:noProof w:val="0"/>
            </w:rPr>
            <w:instrText xml:space="preserve"> IF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33157">
            <w:instrText>6</w:instrText>
          </w:r>
          <w:r w:rsidR="008C1EE2" w:rsidRPr="003541E0">
            <w:rPr>
              <w:noProof w:val="0"/>
            </w:rPr>
            <w:fldChar w:fldCharType="end"/>
          </w:r>
          <w:r w:rsidRPr="003541E0">
            <w:rPr>
              <w:noProof w:val="0"/>
            </w:rPr>
            <w:instrText xml:space="preserve"> = "0" ""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33157">
            <w:instrText>6</w:instrText>
          </w:r>
          <w:r w:rsidR="008C1EE2" w:rsidRPr="003541E0">
            <w:rPr>
              <w:noProof w:val="0"/>
            </w:rPr>
            <w:fldChar w:fldCharType="end"/>
          </w:r>
          <w:r w:rsidRPr="003541E0">
            <w:rPr>
              <w:noProof w:val="0"/>
            </w:rPr>
            <w:instrText xml:space="preserve"> | " \* MERGEFORMAT </w:instrText>
          </w:r>
          <w:r w:rsidRPr="003541E0">
            <w:rPr>
              <w:noProof w:val="0"/>
            </w:rPr>
            <w:fldChar w:fldCharType="separate"/>
          </w:r>
          <w:r w:rsidR="00E33157">
            <w:t>6</w:t>
          </w:r>
          <w:r w:rsidR="00E33157" w:rsidRPr="003541E0">
            <w:t xml:space="preserve"> | </w:t>
          </w:r>
          <w:r w:rsidRPr="003541E0">
            <w:rPr>
              <w:noProof w:val="0"/>
            </w:rPr>
            <w:fldChar w:fldCharType="end"/>
          </w:r>
          <w:r w:rsidR="008C1EE2" w:rsidRPr="003541E0">
            <w:rPr>
              <w:noProof w:val="0"/>
            </w:rPr>
            <w:fldChar w:fldCharType="begin"/>
          </w:r>
          <w:r w:rsidR="008C1EE2" w:rsidRPr="003541E0">
            <w:rPr>
              <w:noProof w:val="0"/>
            </w:rPr>
            <w:instrText xml:space="preserve"> STYLEREF  HeaderRepeat \* MERGEFORMAT </w:instrText>
          </w:r>
          <w:r w:rsidR="008C1EE2" w:rsidRPr="003541E0">
            <w:rPr>
              <w:noProof w:val="0"/>
            </w:rPr>
            <w:fldChar w:fldCharType="separate"/>
          </w:r>
          <w:r w:rsidR="00E33157">
            <w:t>The University of Birmingham’s contribution to tourism</w:t>
          </w:r>
          <w:r w:rsidR="008C1EE2" w:rsidRPr="003541E0">
            <w:rPr>
              <w:noProof w:val="0"/>
            </w:rPr>
            <w:fldChar w:fldCharType="end"/>
          </w:r>
        </w:p>
      </w:tc>
    </w:tr>
  </w:tbl>
  <w:p w14:paraId="19018D02" w14:textId="77777777" w:rsidR="00E13125" w:rsidRPr="003541E0" w:rsidRDefault="00E13125" w:rsidP="00EF7CA0">
    <w:pPr>
      <w:pStyle w:val="HeaderEven"/>
      <w:rPr>
        <w:noProof w:val="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Layout w:type="fixed"/>
      <w:tblCellMar>
        <w:left w:w="0" w:type="dxa"/>
        <w:right w:w="0" w:type="dxa"/>
      </w:tblCellMar>
      <w:tblLook w:val="04A0" w:firstRow="1" w:lastRow="0" w:firstColumn="1" w:lastColumn="0" w:noHBand="0" w:noVBand="1"/>
    </w:tblPr>
    <w:tblGrid>
      <w:gridCol w:w="8844"/>
    </w:tblGrid>
    <w:tr w:rsidR="00E13125" w:rsidRPr="003541E0" w14:paraId="684DB204" w14:textId="77777777" w:rsidTr="0003371F">
      <w:tc>
        <w:tcPr>
          <w:tcW w:w="8844" w:type="dxa"/>
          <w:tcBorders>
            <w:top w:val="nil"/>
            <w:left w:val="nil"/>
            <w:bottom w:val="single" w:sz="4" w:space="0" w:color="7F7F7F"/>
            <w:right w:val="nil"/>
          </w:tcBorders>
        </w:tcPr>
        <w:p w14:paraId="58A2601A" w14:textId="61606DCD" w:rsidR="00E13125" w:rsidRPr="003541E0" w:rsidRDefault="00E13125" w:rsidP="003165FD">
          <w:pPr>
            <w:pStyle w:val="Header"/>
            <w:rPr>
              <w:noProof w:val="0"/>
            </w:rPr>
          </w:pPr>
          <w:r w:rsidRPr="003541E0">
            <w:rPr>
              <w:noProof w:val="0"/>
            </w:rPr>
            <w:fldChar w:fldCharType="begin"/>
          </w:r>
          <w:r w:rsidRPr="003541E0">
            <w:rPr>
              <w:noProof w:val="0"/>
            </w:rPr>
            <w:instrText xml:space="preserve"> IF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E3277">
            <w:instrText>7</w:instrText>
          </w:r>
          <w:r w:rsidR="008C1EE2" w:rsidRPr="003541E0">
            <w:rPr>
              <w:noProof w:val="0"/>
            </w:rPr>
            <w:fldChar w:fldCharType="end"/>
          </w:r>
          <w:r w:rsidRPr="003541E0">
            <w:rPr>
              <w:noProof w:val="0"/>
            </w:rPr>
            <w:instrText xml:space="preserve"> = "0" ""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E3277">
            <w:instrText>7</w:instrText>
          </w:r>
          <w:r w:rsidR="008C1EE2" w:rsidRPr="003541E0">
            <w:rPr>
              <w:noProof w:val="0"/>
            </w:rPr>
            <w:fldChar w:fldCharType="end"/>
          </w:r>
          <w:r w:rsidRPr="003541E0">
            <w:rPr>
              <w:noProof w:val="0"/>
            </w:rPr>
            <w:instrText xml:space="preserve"> | " \* MERGEFORMAT </w:instrText>
          </w:r>
          <w:r w:rsidRPr="003541E0">
            <w:rPr>
              <w:noProof w:val="0"/>
            </w:rPr>
            <w:fldChar w:fldCharType="separate"/>
          </w:r>
          <w:r w:rsidR="00EE3277">
            <w:t>7</w:t>
          </w:r>
          <w:r w:rsidR="00EE3277" w:rsidRPr="003541E0">
            <w:t xml:space="preserve"> | </w:t>
          </w:r>
          <w:r w:rsidRPr="003541E0">
            <w:rPr>
              <w:noProof w:val="0"/>
            </w:rPr>
            <w:fldChar w:fldCharType="end"/>
          </w:r>
          <w:r w:rsidRPr="003541E0">
            <w:rPr>
              <w:noProof w:val="0"/>
            </w:rPr>
            <w:fldChar w:fldCharType="begin"/>
          </w:r>
          <w:r w:rsidRPr="003541E0">
            <w:rPr>
              <w:noProof w:val="0"/>
            </w:rPr>
            <w:instrText xml:space="preserve"> STYLEREF  "HeaderRepeat"  \* MERGEFORMAT </w:instrText>
          </w:r>
          <w:r w:rsidRPr="003541E0">
            <w:rPr>
              <w:noProof w:val="0"/>
            </w:rPr>
            <w:fldChar w:fldCharType="separate"/>
          </w:r>
          <w:r w:rsidR="00EE3277">
            <w:t>The social and cultural impact of the University of Birmingham</w:t>
          </w:r>
          <w:r w:rsidR="00EE3277">
            <w:cr/>
          </w:r>
          <w:r w:rsidRPr="003541E0">
            <w:rPr>
              <w:noProof w:val="0"/>
            </w:rPr>
            <w:fldChar w:fldCharType="end"/>
          </w:r>
        </w:p>
      </w:tc>
    </w:tr>
  </w:tbl>
  <w:p w14:paraId="07B324DD" w14:textId="77777777" w:rsidR="00E13125" w:rsidRPr="003541E0" w:rsidRDefault="00E13125" w:rsidP="00E31201">
    <w:pPr>
      <w:pStyle w:val="Header"/>
      <w:rPr>
        <w:noProof w:val="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C3849" w14:textId="77777777" w:rsidR="00E13125" w:rsidRPr="003541E0" w:rsidRDefault="00E13125">
    <w:pPr>
      <w:pStyle w:val="Header"/>
      <w:rPr>
        <w:noProof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F5F50" w14:textId="77777777" w:rsidR="007F7981" w:rsidRPr="003541E0" w:rsidRDefault="007F7981" w:rsidP="00ED40F8">
    <w:pPr>
      <w:pStyle w:val="Header"/>
      <w:rPr>
        <w:noProof w:val="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5000" w:type="pct"/>
      <w:tblBorders>
        <w:top w:val="none" w:sz="0" w:space="0" w:color="auto"/>
        <w:left w:val="none" w:sz="0" w:space="0" w:color="auto"/>
        <w:bottom w:val="single" w:sz="4" w:space="0" w:color="7F7F7F"/>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3428FF" w:rsidRPr="003541E0" w14:paraId="4FD2135E" w14:textId="77777777" w:rsidTr="00E962F8">
      <w:tc>
        <w:tcPr>
          <w:tcW w:w="0" w:type="auto"/>
        </w:tcPr>
        <w:p w14:paraId="12011D6A" w14:textId="121A9B3C" w:rsidR="003428FF" w:rsidRPr="003541E0" w:rsidRDefault="003428FF" w:rsidP="00E962F8">
          <w:pPr>
            <w:pStyle w:val="HeaderEven"/>
            <w:rPr>
              <w:noProof w:val="0"/>
            </w:rPr>
          </w:pPr>
          <w:r w:rsidRPr="003541E0">
            <w:rPr>
              <w:noProof w:val="0"/>
            </w:rPr>
            <w:fldChar w:fldCharType="begin"/>
          </w:r>
          <w:r w:rsidRPr="003541E0">
            <w:rPr>
              <w:noProof w:val="0"/>
            </w:rPr>
            <w:instrText xml:space="preserve"> IF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33157">
            <w:instrText>8</w:instrText>
          </w:r>
          <w:r w:rsidR="008C1EE2" w:rsidRPr="003541E0">
            <w:rPr>
              <w:noProof w:val="0"/>
            </w:rPr>
            <w:fldChar w:fldCharType="end"/>
          </w:r>
          <w:r w:rsidRPr="003541E0">
            <w:rPr>
              <w:noProof w:val="0"/>
            </w:rPr>
            <w:instrText xml:space="preserve"> = "0" ""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33157">
            <w:instrText>8</w:instrText>
          </w:r>
          <w:r w:rsidR="008C1EE2" w:rsidRPr="003541E0">
            <w:rPr>
              <w:noProof w:val="0"/>
            </w:rPr>
            <w:fldChar w:fldCharType="end"/>
          </w:r>
          <w:r w:rsidRPr="003541E0">
            <w:rPr>
              <w:noProof w:val="0"/>
            </w:rPr>
            <w:instrText xml:space="preserve"> | " \* MERGEFORMAT </w:instrText>
          </w:r>
          <w:r w:rsidRPr="003541E0">
            <w:rPr>
              <w:noProof w:val="0"/>
            </w:rPr>
            <w:fldChar w:fldCharType="separate"/>
          </w:r>
          <w:r w:rsidR="00E33157">
            <w:t>8</w:t>
          </w:r>
          <w:r w:rsidR="00E33157" w:rsidRPr="003541E0">
            <w:t xml:space="preserve"> | </w:t>
          </w:r>
          <w:r w:rsidRPr="003541E0">
            <w:rPr>
              <w:noProof w:val="0"/>
            </w:rPr>
            <w:fldChar w:fldCharType="end"/>
          </w:r>
          <w:r w:rsidR="008C1EE2" w:rsidRPr="003541E0">
            <w:rPr>
              <w:noProof w:val="0"/>
            </w:rPr>
            <w:fldChar w:fldCharType="begin"/>
          </w:r>
          <w:r w:rsidR="008C1EE2" w:rsidRPr="003541E0">
            <w:rPr>
              <w:noProof w:val="0"/>
            </w:rPr>
            <w:instrText xml:space="preserve"> STYLEREF  HeaderRepeat \* MERGEFORMAT </w:instrText>
          </w:r>
          <w:r w:rsidR="008C1EE2" w:rsidRPr="003541E0">
            <w:rPr>
              <w:noProof w:val="0"/>
            </w:rPr>
            <w:fldChar w:fldCharType="separate"/>
          </w:r>
          <w:r w:rsidR="00E33157">
            <w:t>The total economic impact of the University of Birmingham on the UK economy in 2021-22</w:t>
          </w:r>
          <w:r w:rsidR="008C1EE2" w:rsidRPr="003541E0">
            <w:rPr>
              <w:noProof w:val="0"/>
            </w:rPr>
            <w:fldChar w:fldCharType="end"/>
          </w:r>
        </w:p>
      </w:tc>
    </w:tr>
  </w:tbl>
  <w:p w14:paraId="493DEF44" w14:textId="77777777" w:rsidR="003428FF" w:rsidRPr="003541E0" w:rsidRDefault="003428FF" w:rsidP="00EF7CA0">
    <w:pPr>
      <w:pStyle w:val="HeaderEven"/>
      <w:rPr>
        <w:noProof w:val="0"/>
      </w:rPr>
    </w:pPr>
  </w:p>
  <w:p w14:paraId="6810CFAE" w14:textId="77777777" w:rsidR="003428FF" w:rsidRPr="003541E0" w:rsidRDefault="003428FF"/>
  <w:p w14:paraId="67FC2717" w14:textId="4C0FAAE3" w:rsidR="003428FF" w:rsidRPr="003541E0" w:rsidRDefault="003428FF">
    <w:r w:rsidRPr="003541E0">
      <w:fldChar w:fldCharType="begin"/>
    </w:r>
    <w:r w:rsidRPr="003541E0">
      <w:instrText xml:space="preserve"> IF </w:instrText>
    </w:r>
    <w:fldSimple w:instr=" STYLEREF  HeaderRepeat \n  \* MERGEFORMAT ">
      <w:r w:rsidR="00E33157">
        <w:rPr>
          <w:noProof/>
        </w:rPr>
        <w:instrText>8</w:instrText>
      </w:r>
    </w:fldSimple>
    <w:r w:rsidRPr="003541E0">
      <w:instrText xml:space="preserve"> = "0" "" "</w:instrText>
    </w:r>
    <w:fldSimple w:instr=" STYLEREF  HeaderRepeat \n  \* MERGEFORMAT ">
      <w:r w:rsidR="00E33157">
        <w:rPr>
          <w:noProof/>
        </w:rPr>
        <w:instrText>8</w:instrText>
      </w:r>
    </w:fldSimple>
    <w:r w:rsidRPr="003541E0">
      <w:instrText xml:space="preserve"> | " \* MERGEFORMAT </w:instrText>
    </w:r>
    <w:r w:rsidRPr="003541E0">
      <w:fldChar w:fldCharType="separate"/>
    </w:r>
    <w:r w:rsidR="00E33157">
      <w:rPr>
        <w:noProof/>
      </w:rPr>
      <w:t>8</w:t>
    </w:r>
    <w:r w:rsidR="00E33157" w:rsidRPr="003541E0">
      <w:rPr>
        <w:noProof/>
      </w:rPr>
      <w:t xml:space="preserve"> | </w:t>
    </w:r>
    <w:r w:rsidRPr="003541E0">
      <w:fldChar w:fldCharType="end"/>
    </w:r>
    <w:fldSimple w:instr=" STYLEREF  &quot;HeaderRepeat&quot;  \* MERGEFORMAT ">
      <w:r w:rsidR="00E33157">
        <w:rPr>
          <w:noProof/>
        </w:rPr>
        <w:t>The total economic impact of the University of Birmingham on the UK economy in 2021-22</w:t>
      </w:r>
    </w:fldSimple>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Layout w:type="fixed"/>
      <w:tblCellMar>
        <w:left w:w="0" w:type="dxa"/>
        <w:right w:w="0" w:type="dxa"/>
      </w:tblCellMar>
      <w:tblLook w:val="04A0" w:firstRow="1" w:lastRow="0" w:firstColumn="1" w:lastColumn="0" w:noHBand="0" w:noVBand="1"/>
    </w:tblPr>
    <w:tblGrid>
      <w:gridCol w:w="8844"/>
    </w:tblGrid>
    <w:tr w:rsidR="003428FF" w:rsidRPr="003541E0" w14:paraId="13E076EB" w14:textId="77777777" w:rsidTr="0003371F">
      <w:tc>
        <w:tcPr>
          <w:tcW w:w="8844" w:type="dxa"/>
          <w:tcBorders>
            <w:top w:val="nil"/>
            <w:left w:val="nil"/>
            <w:bottom w:val="single" w:sz="4" w:space="0" w:color="7F7F7F"/>
            <w:right w:val="nil"/>
          </w:tcBorders>
        </w:tcPr>
        <w:p w14:paraId="470131CE" w14:textId="6273B7CF" w:rsidR="003428FF" w:rsidRPr="003541E0" w:rsidRDefault="003428FF" w:rsidP="003165FD">
          <w:pPr>
            <w:pStyle w:val="Header"/>
            <w:rPr>
              <w:noProof w:val="0"/>
            </w:rPr>
          </w:pPr>
          <w:r w:rsidRPr="003541E0">
            <w:rPr>
              <w:noProof w:val="0"/>
            </w:rPr>
            <w:fldChar w:fldCharType="begin"/>
          </w:r>
          <w:r w:rsidRPr="003541E0">
            <w:rPr>
              <w:noProof w:val="0"/>
            </w:rPr>
            <w:instrText xml:space="preserve"> IF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E3277">
            <w:instrText>Annex 2</w:instrText>
          </w:r>
          <w:r w:rsidR="008C1EE2" w:rsidRPr="003541E0">
            <w:rPr>
              <w:noProof w:val="0"/>
            </w:rPr>
            <w:fldChar w:fldCharType="end"/>
          </w:r>
          <w:r w:rsidRPr="003541E0">
            <w:rPr>
              <w:noProof w:val="0"/>
            </w:rPr>
            <w:instrText xml:space="preserve"> = "0" ""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E3277">
            <w:instrText>Annex 2</w:instrText>
          </w:r>
          <w:r w:rsidR="008C1EE2" w:rsidRPr="003541E0">
            <w:rPr>
              <w:noProof w:val="0"/>
            </w:rPr>
            <w:fldChar w:fldCharType="end"/>
          </w:r>
          <w:r w:rsidRPr="003541E0">
            <w:rPr>
              <w:noProof w:val="0"/>
            </w:rPr>
            <w:instrText xml:space="preserve"> | " \* MERGEFORMAT </w:instrText>
          </w:r>
          <w:r w:rsidR="00EE3277">
            <w:rPr>
              <w:noProof w:val="0"/>
            </w:rPr>
            <w:fldChar w:fldCharType="separate"/>
          </w:r>
          <w:r w:rsidR="00EE3277">
            <w:t>Annex 2</w:t>
          </w:r>
          <w:r w:rsidR="00EE3277" w:rsidRPr="003541E0">
            <w:t xml:space="preserve"> | </w:t>
          </w:r>
          <w:r w:rsidRPr="003541E0">
            <w:rPr>
              <w:noProof w:val="0"/>
            </w:rPr>
            <w:fldChar w:fldCharType="end"/>
          </w:r>
          <w:r w:rsidRPr="003541E0">
            <w:rPr>
              <w:noProof w:val="0"/>
            </w:rPr>
            <w:fldChar w:fldCharType="begin"/>
          </w:r>
          <w:r w:rsidRPr="003541E0">
            <w:rPr>
              <w:noProof w:val="0"/>
            </w:rPr>
            <w:instrText xml:space="preserve"> STYLEREF  "HeaderRepeat"  \* MERGEFORMAT </w:instrText>
          </w:r>
          <w:r w:rsidRPr="003541E0">
            <w:rPr>
              <w:noProof w:val="0"/>
            </w:rPr>
            <w:fldChar w:fldCharType="separate"/>
          </w:r>
          <w:r w:rsidR="00EE3277">
            <w:t>Technical annex</w:t>
          </w:r>
          <w:r w:rsidR="00EE3277">
            <w:cr/>
          </w:r>
          <w:r w:rsidRPr="003541E0">
            <w:rPr>
              <w:noProof w:val="0"/>
            </w:rPr>
            <w:fldChar w:fldCharType="end"/>
          </w:r>
        </w:p>
      </w:tc>
    </w:tr>
  </w:tbl>
  <w:p w14:paraId="253EC900" w14:textId="77777777" w:rsidR="003428FF" w:rsidRPr="003541E0" w:rsidRDefault="003428FF" w:rsidP="00E31201">
    <w:pPr>
      <w:pStyle w:val="Header"/>
      <w:rPr>
        <w:noProof w:val="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0C1D3" w14:textId="77777777" w:rsidR="003428FF" w:rsidRPr="003541E0" w:rsidRDefault="003428FF">
    <w:pPr>
      <w:pStyle w:val="Header"/>
      <w:rPr>
        <w:noProof w:val="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5000" w:type="pct"/>
      <w:tblBorders>
        <w:top w:val="none" w:sz="0" w:space="0" w:color="auto"/>
        <w:left w:val="none" w:sz="0" w:space="0" w:color="auto"/>
        <w:bottom w:val="single" w:sz="4" w:space="0" w:color="7F7F7F"/>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3A6119" w:rsidRPr="003541E0" w14:paraId="6D454A5D" w14:textId="77777777" w:rsidTr="00E962F8">
      <w:tc>
        <w:tcPr>
          <w:tcW w:w="0" w:type="auto"/>
        </w:tcPr>
        <w:p w14:paraId="6BF33BAD" w14:textId="09CF0B9E" w:rsidR="003A6119" w:rsidRPr="003541E0" w:rsidRDefault="003A6119" w:rsidP="00E962F8">
          <w:pPr>
            <w:pStyle w:val="HeaderEven"/>
            <w:rPr>
              <w:noProof w:val="0"/>
            </w:rPr>
          </w:pPr>
          <w:r w:rsidRPr="003541E0">
            <w:rPr>
              <w:noProof w:val="0"/>
            </w:rPr>
            <w:fldChar w:fldCharType="begin"/>
          </w:r>
          <w:r w:rsidRPr="003541E0">
            <w:rPr>
              <w:noProof w:val="0"/>
            </w:rPr>
            <w:instrText xml:space="preserve"> IF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33157">
            <w:instrText>Annex 2</w:instrText>
          </w:r>
          <w:r w:rsidR="008C1EE2" w:rsidRPr="003541E0">
            <w:rPr>
              <w:noProof w:val="0"/>
            </w:rPr>
            <w:fldChar w:fldCharType="end"/>
          </w:r>
          <w:r w:rsidRPr="003541E0">
            <w:rPr>
              <w:noProof w:val="0"/>
            </w:rPr>
            <w:instrText xml:space="preserve"> = "0" ""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33157">
            <w:instrText>Annex 2</w:instrText>
          </w:r>
          <w:r w:rsidR="008C1EE2" w:rsidRPr="003541E0">
            <w:rPr>
              <w:noProof w:val="0"/>
            </w:rPr>
            <w:fldChar w:fldCharType="end"/>
          </w:r>
          <w:r w:rsidRPr="003541E0">
            <w:rPr>
              <w:noProof w:val="0"/>
            </w:rPr>
            <w:instrText xml:space="preserve"> | " \* MERGEFORMAT </w:instrText>
          </w:r>
          <w:r w:rsidRPr="003541E0">
            <w:rPr>
              <w:noProof w:val="0"/>
            </w:rPr>
            <w:fldChar w:fldCharType="separate"/>
          </w:r>
          <w:r w:rsidR="00E33157">
            <w:t>Annex 2</w:t>
          </w:r>
          <w:r w:rsidR="00E33157" w:rsidRPr="003541E0">
            <w:t xml:space="preserve"> | </w:t>
          </w:r>
          <w:r w:rsidRPr="003541E0">
            <w:rPr>
              <w:noProof w:val="0"/>
            </w:rPr>
            <w:fldChar w:fldCharType="end"/>
          </w:r>
          <w:r w:rsidR="008C1EE2" w:rsidRPr="003541E0">
            <w:rPr>
              <w:noProof w:val="0"/>
            </w:rPr>
            <w:fldChar w:fldCharType="begin"/>
          </w:r>
          <w:r w:rsidR="008C1EE2" w:rsidRPr="003541E0">
            <w:rPr>
              <w:noProof w:val="0"/>
            </w:rPr>
            <w:instrText xml:space="preserve"> STYLEREF  HeaderRepeat \* MERGEFORMAT </w:instrText>
          </w:r>
          <w:r w:rsidR="008C1EE2" w:rsidRPr="003541E0">
            <w:rPr>
              <w:noProof w:val="0"/>
            </w:rPr>
            <w:fldChar w:fldCharType="separate"/>
          </w:r>
          <w:r w:rsidR="00E33157">
            <w:t>Technical annex</w:t>
          </w:r>
          <w:r w:rsidR="00E33157">
            <w:cr/>
          </w:r>
          <w:r w:rsidR="008C1EE2" w:rsidRPr="003541E0">
            <w:rPr>
              <w:noProof w:val="0"/>
            </w:rPr>
            <w:fldChar w:fldCharType="end"/>
          </w:r>
        </w:p>
      </w:tc>
    </w:tr>
  </w:tbl>
  <w:p w14:paraId="1642CEFE" w14:textId="77777777" w:rsidR="003A6119" w:rsidRPr="003541E0" w:rsidRDefault="003A6119" w:rsidP="00EF7CA0">
    <w:pPr>
      <w:pStyle w:val="HeaderEven"/>
      <w:rPr>
        <w:noProof w:val="0"/>
      </w:rPr>
    </w:pPr>
  </w:p>
  <w:p w14:paraId="1C0BADD5" w14:textId="77777777" w:rsidR="003A6119" w:rsidRPr="003541E0" w:rsidRDefault="003A6119"/>
  <w:p w14:paraId="101AB736" w14:textId="76F7ECCE" w:rsidR="00FA351E" w:rsidRPr="003541E0" w:rsidRDefault="003A6119">
    <w:r w:rsidRPr="003541E0">
      <w:fldChar w:fldCharType="begin"/>
    </w:r>
    <w:r w:rsidRPr="003541E0">
      <w:instrText xml:space="preserve"> IF </w:instrText>
    </w:r>
    <w:fldSimple w:instr=" STYLEREF  HeaderRepeat \n  \* MERGEFORMAT ">
      <w:r w:rsidR="00E33157">
        <w:rPr>
          <w:noProof/>
        </w:rPr>
        <w:instrText>Annex 2</w:instrText>
      </w:r>
    </w:fldSimple>
    <w:r w:rsidRPr="003541E0">
      <w:instrText xml:space="preserve"> = "0" "" "</w:instrText>
    </w:r>
    <w:fldSimple w:instr=" STYLEREF  HeaderRepeat \n  \* MERGEFORMAT ">
      <w:r w:rsidR="00E33157">
        <w:rPr>
          <w:noProof/>
        </w:rPr>
        <w:instrText>Annex 2</w:instrText>
      </w:r>
    </w:fldSimple>
    <w:r w:rsidRPr="003541E0">
      <w:instrText xml:space="preserve"> | " \* MERGEFORMAT </w:instrText>
    </w:r>
    <w:r w:rsidRPr="003541E0">
      <w:fldChar w:fldCharType="separate"/>
    </w:r>
    <w:r w:rsidR="00E33157">
      <w:rPr>
        <w:noProof/>
      </w:rPr>
      <w:t>Annex 2</w:t>
    </w:r>
    <w:r w:rsidR="00E33157" w:rsidRPr="003541E0">
      <w:rPr>
        <w:noProof/>
      </w:rPr>
      <w:t xml:space="preserve"> | </w:t>
    </w:r>
    <w:r w:rsidRPr="003541E0">
      <w:fldChar w:fldCharType="end"/>
    </w:r>
    <w:fldSimple w:instr=" STYLEREF  &quot;HeaderRepeat&quot;  \* MERGEFORMAT ">
      <w:r w:rsidR="00E33157">
        <w:rPr>
          <w:noProof/>
        </w:rPr>
        <w:t>Technical annex</w:t>
      </w:r>
      <w:r w:rsidR="00E33157">
        <w:rPr>
          <w:noProof/>
        </w:rPr>
        <w:cr/>
      </w:r>
    </w:fldSimple>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Layout w:type="fixed"/>
      <w:tblCellMar>
        <w:left w:w="0" w:type="dxa"/>
        <w:right w:w="0" w:type="dxa"/>
      </w:tblCellMar>
      <w:tblLook w:val="04A0" w:firstRow="1" w:lastRow="0" w:firstColumn="1" w:lastColumn="0" w:noHBand="0" w:noVBand="1"/>
    </w:tblPr>
    <w:tblGrid>
      <w:gridCol w:w="14004"/>
    </w:tblGrid>
    <w:tr w:rsidR="003A6119" w:rsidRPr="003541E0" w14:paraId="6F78D18D" w14:textId="77777777" w:rsidTr="0003371F">
      <w:tc>
        <w:tcPr>
          <w:tcW w:w="8844" w:type="dxa"/>
          <w:tcBorders>
            <w:top w:val="nil"/>
            <w:left w:val="nil"/>
            <w:bottom w:val="single" w:sz="4" w:space="0" w:color="7F7F7F"/>
            <w:right w:val="nil"/>
          </w:tcBorders>
        </w:tcPr>
        <w:p w14:paraId="42707657" w14:textId="5FFF5F71" w:rsidR="003A6119" w:rsidRPr="003541E0" w:rsidRDefault="003A6119" w:rsidP="003165FD">
          <w:pPr>
            <w:pStyle w:val="Header"/>
            <w:rPr>
              <w:noProof w:val="0"/>
            </w:rPr>
          </w:pPr>
          <w:r w:rsidRPr="003541E0">
            <w:rPr>
              <w:noProof w:val="0"/>
            </w:rPr>
            <w:fldChar w:fldCharType="begin"/>
          </w:r>
          <w:r w:rsidRPr="003541E0">
            <w:rPr>
              <w:noProof w:val="0"/>
            </w:rPr>
            <w:instrText xml:space="preserve"> IF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E3277">
            <w:instrText>Annex 2</w:instrText>
          </w:r>
          <w:r w:rsidR="008C1EE2" w:rsidRPr="003541E0">
            <w:rPr>
              <w:noProof w:val="0"/>
            </w:rPr>
            <w:fldChar w:fldCharType="end"/>
          </w:r>
          <w:r w:rsidRPr="003541E0">
            <w:rPr>
              <w:noProof w:val="0"/>
            </w:rPr>
            <w:instrText xml:space="preserve"> = "0" "" "</w:instrText>
          </w:r>
          <w:r w:rsidR="008C1EE2" w:rsidRPr="003541E0">
            <w:rPr>
              <w:noProof w:val="0"/>
            </w:rPr>
            <w:fldChar w:fldCharType="begin"/>
          </w:r>
          <w:r w:rsidR="008C1EE2" w:rsidRPr="003541E0">
            <w:rPr>
              <w:noProof w:val="0"/>
            </w:rPr>
            <w:instrText xml:space="preserve"> STYLEREF  HeaderRepeat \n  \* MERGEFORMAT </w:instrText>
          </w:r>
          <w:r w:rsidR="008C1EE2" w:rsidRPr="003541E0">
            <w:rPr>
              <w:noProof w:val="0"/>
            </w:rPr>
            <w:fldChar w:fldCharType="separate"/>
          </w:r>
          <w:r w:rsidR="00EE3277">
            <w:instrText>Annex 2</w:instrText>
          </w:r>
          <w:r w:rsidR="008C1EE2" w:rsidRPr="003541E0">
            <w:rPr>
              <w:noProof w:val="0"/>
            </w:rPr>
            <w:fldChar w:fldCharType="end"/>
          </w:r>
          <w:r w:rsidRPr="003541E0">
            <w:rPr>
              <w:noProof w:val="0"/>
            </w:rPr>
            <w:instrText xml:space="preserve"> | " \* MERGEFORMAT </w:instrText>
          </w:r>
          <w:r w:rsidRPr="003541E0">
            <w:rPr>
              <w:noProof w:val="0"/>
            </w:rPr>
            <w:fldChar w:fldCharType="separate"/>
          </w:r>
          <w:r w:rsidR="00EE3277">
            <w:t>Annex 2</w:t>
          </w:r>
          <w:r w:rsidR="00EE3277" w:rsidRPr="003541E0">
            <w:t xml:space="preserve"> | </w:t>
          </w:r>
          <w:r w:rsidRPr="003541E0">
            <w:rPr>
              <w:noProof w:val="0"/>
            </w:rPr>
            <w:fldChar w:fldCharType="end"/>
          </w:r>
          <w:r w:rsidRPr="003541E0">
            <w:rPr>
              <w:noProof w:val="0"/>
            </w:rPr>
            <w:fldChar w:fldCharType="begin"/>
          </w:r>
          <w:r w:rsidRPr="003541E0">
            <w:rPr>
              <w:noProof w:val="0"/>
            </w:rPr>
            <w:instrText xml:space="preserve"> STYLEREF  "HeaderRepeat"  \* MERGEFORMAT </w:instrText>
          </w:r>
          <w:r w:rsidRPr="003541E0">
            <w:rPr>
              <w:noProof w:val="0"/>
            </w:rPr>
            <w:fldChar w:fldCharType="separate"/>
          </w:r>
          <w:r w:rsidR="00EE3277">
            <w:t>Technical annex</w:t>
          </w:r>
          <w:r w:rsidR="00EE3277">
            <w:cr/>
          </w:r>
          <w:r w:rsidRPr="003541E0">
            <w:rPr>
              <w:noProof w:val="0"/>
            </w:rPr>
            <w:fldChar w:fldCharType="end"/>
          </w:r>
        </w:p>
      </w:tc>
    </w:tr>
  </w:tbl>
  <w:p w14:paraId="090C0849" w14:textId="77777777" w:rsidR="003A6119" w:rsidRPr="003541E0" w:rsidRDefault="003A6119" w:rsidP="00E31201">
    <w:pPr>
      <w:pStyle w:val="Header"/>
      <w:rPr>
        <w:noProof w:val="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2C241" w14:textId="77777777" w:rsidR="003A6119" w:rsidRPr="003541E0" w:rsidRDefault="003A6119">
    <w:pPr>
      <w:pStyle w:val="Header"/>
      <w:rPr>
        <w:noProof w:val="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5000" w:type="pct"/>
      <w:tblBorders>
        <w:top w:val="none" w:sz="0" w:space="0" w:color="auto"/>
        <w:left w:val="none" w:sz="0" w:space="0" w:color="auto"/>
        <w:bottom w:val="single" w:sz="4" w:space="0" w:color="7F7F7F"/>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44"/>
    </w:tblGrid>
    <w:tr w:rsidR="00DB7AC6" w:rsidRPr="003541E0" w14:paraId="6304C7B9" w14:textId="77777777" w:rsidTr="00E962F8">
      <w:tc>
        <w:tcPr>
          <w:tcW w:w="0" w:type="auto"/>
        </w:tcPr>
        <w:p w14:paraId="341349D9" w14:textId="573BD996" w:rsidR="00DB7AC6" w:rsidRPr="003541E0" w:rsidRDefault="00DB7AC6" w:rsidP="00E962F8">
          <w:pPr>
            <w:pStyle w:val="HeaderEven"/>
            <w:rPr>
              <w:noProof w:val="0"/>
            </w:rPr>
          </w:pPr>
          <w:r w:rsidRPr="003541E0">
            <w:rPr>
              <w:noProof w:val="0"/>
            </w:rPr>
            <w:fldChar w:fldCharType="begin"/>
          </w:r>
          <w:r w:rsidRPr="003541E0">
            <w:rPr>
              <w:noProof w:val="0"/>
            </w:rPr>
            <w:instrText xml:space="preserve"> IF </w:instrText>
          </w:r>
          <w:r w:rsidR="001E1567" w:rsidRPr="003541E0">
            <w:rPr>
              <w:noProof w:val="0"/>
            </w:rPr>
            <w:fldChar w:fldCharType="begin"/>
          </w:r>
          <w:r w:rsidR="001E1567" w:rsidRPr="003541E0">
            <w:rPr>
              <w:noProof w:val="0"/>
            </w:rPr>
            <w:instrText xml:space="preserve"> STYLEREF  HeaderRepeat \n  \* MERGEFORMAT </w:instrText>
          </w:r>
          <w:r w:rsidR="001E1567" w:rsidRPr="003541E0">
            <w:rPr>
              <w:noProof w:val="0"/>
            </w:rPr>
            <w:fldChar w:fldCharType="separate"/>
          </w:r>
          <w:r w:rsidR="00E33157">
            <w:instrText>Annex 2</w:instrText>
          </w:r>
          <w:r w:rsidR="001E1567" w:rsidRPr="003541E0">
            <w:rPr>
              <w:noProof w:val="0"/>
            </w:rPr>
            <w:fldChar w:fldCharType="end"/>
          </w:r>
          <w:r w:rsidRPr="003541E0">
            <w:rPr>
              <w:noProof w:val="0"/>
            </w:rPr>
            <w:instrText xml:space="preserve"> = "0" "" "</w:instrText>
          </w:r>
          <w:r w:rsidR="001E1567" w:rsidRPr="003541E0">
            <w:rPr>
              <w:noProof w:val="0"/>
            </w:rPr>
            <w:fldChar w:fldCharType="begin"/>
          </w:r>
          <w:r w:rsidR="001E1567" w:rsidRPr="003541E0">
            <w:rPr>
              <w:noProof w:val="0"/>
            </w:rPr>
            <w:instrText xml:space="preserve"> STYLEREF  HeaderRepeat \n  \* MERGEFORMAT </w:instrText>
          </w:r>
          <w:r w:rsidR="001E1567" w:rsidRPr="003541E0">
            <w:rPr>
              <w:noProof w:val="0"/>
            </w:rPr>
            <w:fldChar w:fldCharType="separate"/>
          </w:r>
          <w:r w:rsidR="00E33157">
            <w:instrText>Annex 2</w:instrText>
          </w:r>
          <w:r w:rsidR="001E1567" w:rsidRPr="003541E0">
            <w:rPr>
              <w:noProof w:val="0"/>
            </w:rPr>
            <w:fldChar w:fldCharType="end"/>
          </w:r>
          <w:r w:rsidRPr="003541E0">
            <w:rPr>
              <w:noProof w:val="0"/>
            </w:rPr>
            <w:instrText xml:space="preserve"> | " \* MERGEFORMAT </w:instrText>
          </w:r>
          <w:r w:rsidRPr="003541E0">
            <w:rPr>
              <w:noProof w:val="0"/>
            </w:rPr>
            <w:fldChar w:fldCharType="separate"/>
          </w:r>
          <w:r w:rsidR="00E33157">
            <w:t>Annex 2</w:t>
          </w:r>
          <w:r w:rsidR="00E33157" w:rsidRPr="003541E0">
            <w:t xml:space="preserve"> | </w:t>
          </w:r>
          <w:r w:rsidRPr="003541E0">
            <w:rPr>
              <w:noProof w:val="0"/>
            </w:rPr>
            <w:fldChar w:fldCharType="end"/>
          </w:r>
          <w:r w:rsidR="001E1567" w:rsidRPr="003541E0">
            <w:rPr>
              <w:noProof w:val="0"/>
            </w:rPr>
            <w:fldChar w:fldCharType="begin"/>
          </w:r>
          <w:r w:rsidR="001E1567" w:rsidRPr="003541E0">
            <w:rPr>
              <w:noProof w:val="0"/>
            </w:rPr>
            <w:instrText xml:space="preserve"> STYLEREF  HeaderRepeat \* MERGEFORMAT </w:instrText>
          </w:r>
          <w:r w:rsidR="001E1567" w:rsidRPr="003541E0">
            <w:rPr>
              <w:noProof w:val="0"/>
            </w:rPr>
            <w:fldChar w:fldCharType="separate"/>
          </w:r>
          <w:r w:rsidR="00E33157">
            <w:t>Technical annex</w:t>
          </w:r>
          <w:r w:rsidR="00E33157">
            <w:cr/>
          </w:r>
          <w:r w:rsidR="001E1567" w:rsidRPr="003541E0">
            <w:rPr>
              <w:noProof w:val="0"/>
            </w:rPr>
            <w:fldChar w:fldCharType="end"/>
          </w:r>
        </w:p>
      </w:tc>
    </w:tr>
  </w:tbl>
  <w:p w14:paraId="496EDF65" w14:textId="77777777" w:rsidR="00DB7AC6" w:rsidRPr="003541E0" w:rsidRDefault="00DB7AC6" w:rsidP="00EF7CA0">
    <w:pPr>
      <w:pStyle w:val="HeaderEven"/>
      <w:rPr>
        <w:noProof w:val="0"/>
      </w:rPr>
    </w:pPr>
  </w:p>
  <w:p w14:paraId="3D7D01B4" w14:textId="77777777" w:rsidR="00DB7AC6" w:rsidRPr="003541E0" w:rsidRDefault="00DB7AC6"/>
  <w:p w14:paraId="7FB73253" w14:textId="2060D892" w:rsidR="00DB7AC6" w:rsidRPr="003541E0" w:rsidRDefault="00DB7AC6">
    <w:r w:rsidRPr="003541E0">
      <w:fldChar w:fldCharType="begin"/>
    </w:r>
    <w:r w:rsidRPr="003541E0">
      <w:instrText xml:space="preserve"> IF </w:instrText>
    </w:r>
    <w:fldSimple w:instr=" STYLEREF  HeaderRepeat \n  \* MERGEFORMAT ">
      <w:r w:rsidR="00E33157">
        <w:rPr>
          <w:noProof/>
        </w:rPr>
        <w:instrText>Annex 2</w:instrText>
      </w:r>
    </w:fldSimple>
    <w:r w:rsidRPr="003541E0">
      <w:instrText xml:space="preserve"> = "0" "" "</w:instrText>
    </w:r>
    <w:fldSimple w:instr=" STYLEREF  HeaderRepeat \n  \* MERGEFORMAT ">
      <w:r w:rsidR="00E33157">
        <w:rPr>
          <w:noProof/>
        </w:rPr>
        <w:instrText>Annex 2</w:instrText>
      </w:r>
    </w:fldSimple>
    <w:r w:rsidRPr="003541E0">
      <w:instrText xml:space="preserve"> | " \* MERGEFORMAT </w:instrText>
    </w:r>
    <w:r w:rsidRPr="003541E0">
      <w:fldChar w:fldCharType="separate"/>
    </w:r>
    <w:r w:rsidR="00E33157">
      <w:rPr>
        <w:noProof/>
      </w:rPr>
      <w:t>Annex 2</w:t>
    </w:r>
    <w:r w:rsidR="00E33157" w:rsidRPr="003541E0">
      <w:rPr>
        <w:noProof/>
      </w:rPr>
      <w:t xml:space="preserve"> | </w:t>
    </w:r>
    <w:r w:rsidRPr="003541E0">
      <w:fldChar w:fldCharType="end"/>
    </w:r>
    <w:fldSimple w:instr=" STYLEREF  &quot;HeaderRepeat&quot;  \* MERGEFORMAT ">
      <w:r w:rsidR="00E33157">
        <w:rPr>
          <w:noProof/>
        </w:rPr>
        <w:t>Technical annex</w:t>
      </w:r>
      <w:r w:rsidR="00E33157">
        <w:rPr>
          <w:noProof/>
        </w:rPr>
        <w:cr/>
      </w:r>
    </w:fldSimple>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Layout w:type="fixed"/>
      <w:tblCellMar>
        <w:left w:w="0" w:type="dxa"/>
        <w:right w:w="0" w:type="dxa"/>
      </w:tblCellMar>
      <w:tblLook w:val="04A0" w:firstRow="1" w:lastRow="0" w:firstColumn="1" w:lastColumn="0" w:noHBand="0" w:noVBand="1"/>
    </w:tblPr>
    <w:tblGrid>
      <w:gridCol w:w="8844"/>
    </w:tblGrid>
    <w:tr w:rsidR="00DB7AC6" w:rsidRPr="003541E0" w14:paraId="3763F4AF" w14:textId="77777777" w:rsidTr="0003371F">
      <w:tc>
        <w:tcPr>
          <w:tcW w:w="8844" w:type="dxa"/>
          <w:tcBorders>
            <w:top w:val="nil"/>
            <w:left w:val="nil"/>
            <w:bottom w:val="single" w:sz="4" w:space="0" w:color="7F7F7F"/>
            <w:right w:val="nil"/>
          </w:tcBorders>
        </w:tcPr>
        <w:p w14:paraId="011C57E1" w14:textId="4A31E55F" w:rsidR="00DB7AC6" w:rsidRPr="003541E0" w:rsidRDefault="00DB7AC6" w:rsidP="003165FD">
          <w:pPr>
            <w:pStyle w:val="Header"/>
            <w:rPr>
              <w:noProof w:val="0"/>
            </w:rPr>
          </w:pPr>
          <w:r w:rsidRPr="003541E0">
            <w:rPr>
              <w:noProof w:val="0"/>
            </w:rPr>
            <w:fldChar w:fldCharType="begin"/>
          </w:r>
          <w:r w:rsidRPr="003541E0">
            <w:rPr>
              <w:noProof w:val="0"/>
            </w:rPr>
            <w:instrText xml:space="preserve"> IF </w:instrText>
          </w:r>
          <w:r w:rsidR="001E1567" w:rsidRPr="003541E0">
            <w:rPr>
              <w:noProof w:val="0"/>
            </w:rPr>
            <w:fldChar w:fldCharType="begin"/>
          </w:r>
          <w:r w:rsidR="001E1567" w:rsidRPr="003541E0">
            <w:rPr>
              <w:noProof w:val="0"/>
            </w:rPr>
            <w:instrText xml:space="preserve"> STYLEREF  HeaderRepeat \n  \* MERGEFORMAT </w:instrText>
          </w:r>
          <w:r w:rsidR="001E1567" w:rsidRPr="003541E0">
            <w:rPr>
              <w:noProof w:val="0"/>
            </w:rPr>
            <w:fldChar w:fldCharType="separate"/>
          </w:r>
          <w:r w:rsidR="00EE3277">
            <w:instrText>Annex 2</w:instrText>
          </w:r>
          <w:r w:rsidR="001E1567" w:rsidRPr="003541E0">
            <w:rPr>
              <w:noProof w:val="0"/>
            </w:rPr>
            <w:fldChar w:fldCharType="end"/>
          </w:r>
          <w:r w:rsidRPr="003541E0">
            <w:rPr>
              <w:noProof w:val="0"/>
            </w:rPr>
            <w:instrText xml:space="preserve"> = "0" "" "</w:instrText>
          </w:r>
          <w:r w:rsidR="001E1567" w:rsidRPr="003541E0">
            <w:rPr>
              <w:noProof w:val="0"/>
            </w:rPr>
            <w:fldChar w:fldCharType="begin"/>
          </w:r>
          <w:r w:rsidR="001E1567" w:rsidRPr="003541E0">
            <w:rPr>
              <w:noProof w:val="0"/>
            </w:rPr>
            <w:instrText xml:space="preserve"> STYLEREF  HeaderRepeat \n  \* MERGEFORMAT </w:instrText>
          </w:r>
          <w:r w:rsidR="001E1567" w:rsidRPr="003541E0">
            <w:rPr>
              <w:noProof w:val="0"/>
            </w:rPr>
            <w:fldChar w:fldCharType="separate"/>
          </w:r>
          <w:r w:rsidR="00EE3277">
            <w:instrText>Annex 2</w:instrText>
          </w:r>
          <w:r w:rsidR="001E1567" w:rsidRPr="003541E0">
            <w:rPr>
              <w:noProof w:val="0"/>
            </w:rPr>
            <w:fldChar w:fldCharType="end"/>
          </w:r>
          <w:r w:rsidRPr="003541E0">
            <w:rPr>
              <w:noProof w:val="0"/>
            </w:rPr>
            <w:instrText xml:space="preserve"> | " \* MERGEFORMAT </w:instrText>
          </w:r>
          <w:r w:rsidRPr="003541E0">
            <w:rPr>
              <w:noProof w:val="0"/>
            </w:rPr>
            <w:fldChar w:fldCharType="separate"/>
          </w:r>
          <w:r w:rsidR="00EE3277">
            <w:t>Annex 2</w:t>
          </w:r>
          <w:r w:rsidR="00EE3277" w:rsidRPr="003541E0">
            <w:t xml:space="preserve"> | </w:t>
          </w:r>
          <w:r w:rsidRPr="003541E0">
            <w:rPr>
              <w:noProof w:val="0"/>
            </w:rPr>
            <w:fldChar w:fldCharType="end"/>
          </w:r>
          <w:r w:rsidRPr="003541E0">
            <w:rPr>
              <w:noProof w:val="0"/>
            </w:rPr>
            <w:fldChar w:fldCharType="begin"/>
          </w:r>
          <w:r w:rsidRPr="003541E0">
            <w:rPr>
              <w:noProof w:val="0"/>
            </w:rPr>
            <w:instrText xml:space="preserve"> STYLEREF  "HeaderRepeat"  \* MERGEFORMAT </w:instrText>
          </w:r>
          <w:r w:rsidRPr="003541E0">
            <w:rPr>
              <w:noProof w:val="0"/>
            </w:rPr>
            <w:fldChar w:fldCharType="separate"/>
          </w:r>
          <w:r w:rsidR="00EE3277">
            <w:t>Technical annex</w:t>
          </w:r>
          <w:r w:rsidR="00EE3277">
            <w:cr/>
          </w:r>
          <w:r w:rsidRPr="003541E0">
            <w:rPr>
              <w:noProof w:val="0"/>
            </w:rPr>
            <w:fldChar w:fldCharType="end"/>
          </w:r>
        </w:p>
      </w:tc>
    </w:tr>
  </w:tbl>
  <w:p w14:paraId="10AE9BEB" w14:textId="77777777" w:rsidR="00DB7AC6" w:rsidRPr="003541E0" w:rsidRDefault="00DB7AC6" w:rsidP="00E31201">
    <w:pPr>
      <w:pStyle w:val="Header"/>
      <w:rPr>
        <w:noProof w:val="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BE90C" w14:textId="77777777" w:rsidR="00DB7AC6" w:rsidRPr="003541E0" w:rsidRDefault="00DB7AC6">
    <w:pPr>
      <w:pStyle w:val="Header"/>
      <w:rPr>
        <w:noProof w:val="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A3762" w14:textId="77777777" w:rsidR="00FF6E66" w:rsidRPr="003541E0" w:rsidRDefault="00FF6E66" w:rsidP="00F70938">
    <w:pPr>
      <w:pStyle w:val="Header"/>
      <w:rPr>
        <w:noProof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7EFD" w14:textId="77777777" w:rsidR="007F7981" w:rsidRPr="003541E0" w:rsidRDefault="007F7981">
    <w:pPr>
      <w:pStyle w:val="Header"/>
      <w:rPr>
        <w:noProof w:val="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897D4" w14:textId="77777777" w:rsidR="00FF6E66" w:rsidRPr="003541E0" w:rsidRDefault="00FF6E66" w:rsidP="00025E2B">
    <w:pPr>
      <w:pStyle w:val="HeaderEven"/>
      <w:rPr>
        <w:noProof w:val="0"/>
      </w:rPr>
    </w:pPr>
    <w:bookmarkStart w:id="549" w:name="bmkBackPage"/>
    <w:r w:rsidRPr="003541E0">
      <w:rPr>
        <w:noProof w:val="0"/>
      </w:rPr>
      <w:t xml:space="preserve">    </w:t>
    </w:r>
    <w:bookmarkEnd w:id="549"/>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B0176" w14:textId="77777777" w:rsidR="00FF6E66" w:rsidRPr="003541E0" w:rsidRDefault="00FF6E66">
    <w:pPr>
      <w:pStyle w:val="Header"/>
      <w:rPr>
        <w:noProof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4" w:space="0" w:color="7F7F7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36"/>
      <w:gridCol w:w="4408"/>
    </w:tblGrid>
    <w:tr w:rsidR="00FF6E66" w:rsidRPr="003541E0" w14:paraId="1C4DD502" w14:textId="77777777" w:rsidTr="00B0566B">
      <w:tc>
        <w:tcPr>
          <w:tcW w:w="4530" w:type="dxa"/>
          <w:vAlign w:val="bottom"/>
        </w:tcPr>
        <w:p w14:paraId="7E6525A6" w14:textId="77777777" w:rsidR="00FF6E66" w:rsidRPr="003541E0" w:rsidRDefault="00FF6E66" w:rsidP="00ED40F8">
          <w:pPr>
            <w:pStyle w:val="HeaderTOCTitle"/>
            <w:rPr>
              <w:noProof w:val="0"/>
            </w:rPr>
          </w:pPr>
          <w:r w:rsidRPr="003541E0">
            <w:rPr>
              <w:noProof w:val="0"/>
            </w:rPr>
            <w:t>Table of Contents</w:t>
          </w:r>
        </w:p>
      </w:tc>
      <w:tc>
        <w:tcPr>
          <w:tcW w:w="4530" w:type="dxa"/>
          <w:vAlign w:val="bottom"/>
        </w:tcPr>
        <w:p w14:paraId="0962546F" w14:textId="77777777" w:rsidR="00FF6E66" w:rsidRPr="003541E0" w:rsidRDefault="00FF6E66" w:rsidP="00ED40F8">
          <w:pPr>
            <w:pStyle w:val="FooterTOCPage"/>
            <w:rPr>
              <w:noProof w:val="0"/>
            </w:rPr>
          </w:pPr>
          <w:r w:rsidRPr="003541E0">
            <w:rPr>
              <w:noProof w:val="0"/>
            </w:rPr>
            <w:t>Page</w:t>
          </w:r>
        </w:p>
      </w:tc>
    </w:tr>
  </w:tbl>
  <w:p w14:paraId="70F1676B" w14:textId="77777777" w:rsidR="00FF6E66" w:rsidRPr="003541E0" w:rsidRDefault="00FF6E66" w:rsidP="00ED40F8">
    <w:pPr>
      <w:pStyle w:val="HeaderTOCSpacer"/>
      <w:rPr>
        <w:noProof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4" w:space="0" w:color="7F7F7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36"/>
      <w:gridCol w:w="4408"/>
    </w:tblGrid>
    <w:tr w:rsidR="00FF6E66" w:rsidRPr="003541E0" w14:paraId="286FB38B" w14:textId="77777777" w:rsidTr="00C20254">
      <w:tc>
        <w:tcPr>
          <w:tcW w:w="4530" w:type="dxa"/>
          <w:vAlign w:val="bottom"/>
        </w:tcPr>
        <w:p w14:paraId="02BD97B5" w14:textId="77777777" w:rsidR="00FF6E66" w:rsidRPr="003541E0" w:rsidRDefault="00FF6E66" w:rsidP="00ED40F8">
          <w:pPr>
            <w:pStyle w:val="HeaderTOCTitle"/>
            <w:rPr>
              <w:noProof w:val="0"/>
            </w:rPr>
          </w:pPr>
          <w:bookmarkStart w:id="1" w:name="bmkTOCPage"/>
          <w:r w:rsidRPr="003541E0">
            <w:rPr>
              <w:noProof w:val="0"/>
            </w:rPr>
            <w:t>Table of Contents</w:t>
          </w:r>
        </w:p>
      </w:tc>
      <w:tc>
        <w:tcPr>
          <w:tcW w:w="4530" w:type="dxa"/>
          <w:vAlign w:val="bottom"/>
        </w:tcPr>
        <w:p w14:paraId="3E71A264" w14:textId="77777777" w:rsidR="00FF6E66" w:rsidRPr="003541E0" w:rsidRDefault="00FF6E66" w:rsidP="00ED40F8">
          <w:pPr>
            <w:pStyle w:val="FooterTOCPage"/>
            <w:rPr>
              <w:noProof w:val="0"/>
            </w:rPr>
          </w:pPr>
          <w:r w:rsidRPr="003541E0">
            <w:rPr>
              <w:noProof w:val="0"/>
            </w:rPr>
            <w:t>Page</w:t>
          </w:r>
        </w:p>
      </w:tc>
    </w:tr>
    <w:bookmarkEnd w:id="1"/>
  </w:tbl>
  <w:p w14:paraId="6047A479" w14:textId="77777777" w:rsidR="00FF6E66" w:rsidRPr="003541E0" w:rsidRDefault="00FF6E66" w:rsidP="00ED40F8">
    <w:pPr>
      <w:pStyle w:val="HeaderTOCSpacer"/>
      <w:rPr>
        <w:noProof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DA4C" w14:textId="77777777" w:rsidR="00FF6E66" w:rsidRPr="003541E0" w:rsidRDefault="00FF6E66">
    <w:pPr>
      <w:pStyle w:val="Header"/>
      <w:rPr>
        <w:noProof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single" w:sz="4" w:space="0" w:color="7F7F7F"/>
        <w:right w:val="none" w:sz="0" w:space="0" w:color="auto"/>
      </w:tblBorders>
      <w:tblCellMar>
        <w:left w:w="0" w:type="dxa"/>
        <w:right w:w="0" w:type="dxa"/>
      </w:tblCellMar>
      <w:tblLook w:val="04A0" w:firstRow="1" w:lastRow="0" w:firstColumn="1" w:lastColumn="0" w:noHBand="0" w:noVBand="1"/>
    </w:tblPr>
    <w:tblGrid>
      <w:gridCol w:w="8844"/>
    </w:tblGrid>
    <w:tr w:rsidR="00FF6E66" w:rsidRPr="003541E0" w14:paraId="187D57AE" w14:textId="77777777" w:rsidTr="00447E01">
      <w:tc>
        <w:tcPr>
          <w:tcW w:w="9060" w:type="dxa"/>
        </w:tcPr>
        <w:p w14:paraId="6BB1A113" w14:textId="328445E9" w:rsidR="00FF6E66" w:rsidRPr="003541E0" w:rsidRDefault="001E1567" w:rsidP="00447E01">
          <w:pPr>
            <w:pStyle w:val="HeaderEven"/>
            <w:rPr>
              <w:noProof w:val="0"/>
            </w:rPr>
          </w:pPr>
          <w:r w:rsidRPr="003541E0">
            <w:rPr>
              <w:noProof w:val="0"/>
            </w:rPr>
            <w:fldChar w:fldCharType="begin"/>
          </w:r>
          <w:r w:rsidRPr="003541E0">
            <w:rPr>
              <w:noProof w:val="0"/>
            </w:rPr>
            <w:instrText xml:space="preserve"> STYLEREF  "LE Exec Summ Heading 1"  \* MERGEFORMAT </w:instrText>
          </w:r>
          <w:r w:rsidRPr="003541E0">
            <w:rPr>
              <w:noProof w:val="0"/>
            </w:rPr>
            <w:fldChar w:fldCharType="separate"/>
          </w:r>
          <w:r w:rsidR="00E33157" w:rsidRPr="00E33157">
            <w:rPr>
              <w:bCs/>
            </w:rPr>
            <w:t>Executive</w:t>
          </w:r>
          <w:r w:rsidR="00E33157">
            <w:t xml:space="preserve"> Summary</w:t>
          </w:r>
          <w:r w:rsidRPr="003541E0">
            <w:rPr>
              <w:bCs/>
              <w:noProof w:val="0"/>
            </w:rPr>
            <w:fldChar w:fldCharType="end"/>
          </w:r>
        </w:p>
      </w:tc>
    </w:tr>
  </w:tbl>
  <w:p w14:paraId="1B9978C4" w14:textId="77777777" w:rsidR="00FF6E66" w:rsidRPr="003541E0" w:rsidRDefault="00FF6E66" w:rsidP="00EF7CA0">
    <w:pPr>
      <w:pStyle w:val="Header"/>
      <w:rPr>
        <w:noProof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Layout w:type="fixed"/>
      <w:tblCellMar>
        <w:left w:w="0" w:type="dxa"/>
        <w:right w:w="0" w:type="dxa"/>
      </w:tblCellMar>
      <w:tblLook w:val="04A0" w:firstRow="1" w:lastRow="0" w:firstColumn="1" w:lastColumn="0" w:noHBand="0" w:noVBand="1"/>
    </w:tblPr>
    <w:tblGrid>
      <w:gridCol w:w="8844"/>
    </w:tblGrid>
    <w:tr w:rsidR="00AF788D" w:rsidRPr="003541E0" w14:paraId="705E227D" w14:textId="77777777" w:rsidTr="009B57A2">
      <w:tc>
        <w:tcPr>
          <w:tcW w:w="8844" w:type="dxa"/>
          <w:tcBorders>
            <w:top w:val="nil"/>
            <w:left w:val="nil"/>
            <w:bottom w:val="single" w:sz="4" w:space="0" w:color="7F7F7F"/>
            <w:right w:val="nil"/>
          </w:tcBorders>
        </w:tcPr>
        <w:bookmarkStart w:id="45" w:name="bmkExecSumm"/>
        <w:p w14:paraId="3D689663" w14:textId="132A5ADF" w:rsidR="00AF788D" w:rsidRPr="003541E0" w:rsidRDefault="00AF788D" w:rsidP="00C82BD2">
          <w:pPr>
            <w:pStyle w:val="Header"/>
            <w:rPr>
              <w:noProof w:val="0"/>
            </w:rPr>
          </w:pPr>
          <w:r w:rsidRPr="003541E0">
            <w:rPr>
              <w:noProof w:val="0"/>
            </w:rPr>
            <w:fldChar w:fldCharType="begin"/>
          </w:r>
          <w:r w:rsidRPr="003541E0">
            <w:rPr>
              <w:noProof w:val="0"/>
            </w:rPr>
            <w:instrText xml:space="preserve"> STYLEREF  "LE Exec Summ Heading 1"</w:instrText>
          </w:r>
          <w:r w:rsidRPr="003541E0">
            <w:rPr>
              <w:noProof w:val="0"/>
            </w:rPr>
            <w:fldChar w:fldCharType="separate"/>
          </w:r>
          <w:r w:rsidR="00EE3277">
            <w:t>Executive Summary</w:t>
          </w:r>
          <w:r w:rsidRPr="003541E0">
            <w:rPr>
              <w:noProof w:val="0"/>
            </w:rPr>
            <w:fldChar w:fldCharType="end"/>
          </w:r>
          <w:bookmarkEnd w:id="45"/>
        </w:p>
      </w:tc>
    </w:tr>
  </w:tbl>
  <w:p w14:paraId="665DFD09" w14:textId="77777777" w:rsidR="00FF6E66" w:rsidRPr="003541E0" w:rsidRDefault="00FF6E66" w:rsidP="00E31201">
    <w:pPr>
      <w:pStyle w:val="Header"/>
      <w:rPr>
        <w:noProof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FA6D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3E1A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CE236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6CCDD7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BA4D70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BEEDE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CC578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26D93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72BA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9465E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432A3"/>
    <w:multiLevelType w:val="multilevel"/>
    <w:tmpl w:val="0FFA5A16"/>
    <w:styleLink w:val="ListStyle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33D6012"/>
    <w:multiLevelType w:val="multilevel"/>
    <w:tmpl w:val="549C7C98"/>
    <w:styleLink w:val="NumblistNumb"/>
    <w:lvl w:ilvl="0">
      <w:start w:val="1"/>
      <w:numFmt w:val="decimal"/>
      <w:pStyle w:val="Numblist1"/>
      <w:lvlText w:val="%1)"/>
      <w:lvlJc w:val="left"/>
      <w:pPr>
        <w:tabs>
          <w:tab w:val="num" w:pos="1077"/>
        </w:tabs>
        <w:ind w:left="737" w:hanging="567"/>
      </w:pPr>
      <w:rPr>
        <w:rFonts w:hint="default"/>
      </w:rPr>
    </w:lvl>
    <w:lvl w:ilvl="1">
      <w:start w:val="1"/>
      <w:numFmt w:val="lowerLetter"/>
      <w:pStyle w:val="Numblist2"/>
      <w:lvlText w:val="%2)"/>
      <w:lvlJc w:val="left"/>
      <w:pPr>
        <w:tabs>
          <w:tab w:val="num" w:pos="1134"/>
        </w:tabs>
        <w:ind w:left="1134" w:hanging="283"/>
      </w:pPr>
      <w:rPr>
        <w:rFonts w:hint="default"/>
      </w:rPr>
    </w:lvl>
    <w:lvl w:ilvl="2">
      <w:start w:val="1"/>
      <w:numFmt w:val="lowerRoman"/>
      <w:pStyle w:val="Numblist3"/>
      <w:lvlText w:val="%3)"/>
      <w:lvlJc w:val="left"/>
      <w:pPr>
        <w:tabs>
          <w:tab w:val="num" w:pos="1531"/>
        </w:tabs>
        <w:ind w:left="1531" w:hanging="284"/>
      </w:pPr>
      <w:rPr>
        <w:rFonts w:hint="default"/>
      </w:rPr>
    </w:lvl>
    <w:lvl w:ilvl="3">
      <w:start w:val="1"/>
      <w:numFmt w:val="none"/>
      <w:lvlText w:val=""/>
      <w:lvlJc w:val="left"/>
      <w:pPr>
        <w:tabs>
          <w:tab w:val="num" w:pos="1531"/>
        </w:tabs>
        <w:ind w:left="1531" w:firstLine="0"/>
      </w:pPr>
      <w:rPr>
        <w:rFonts w:hint="default"/>
      </w:rPr>
    </w:lvl>
    <w:lvl w:ilvl="4">
      <w:start w:val="1"/>
      <w:numFmt w:val="none"/>
      <w:lvlText w:val=""/>
      <w:lvlJc w:val="left"/>
      <w:pPr>
        <w:tabs>
          <w:tab w:val="num" w:pos="1531"/>
        </w:tabs>
        <w:ind w:left="1531" w:firstLine="0"/>
      </w:pPr>
      <w:rPr>
        <w:rFonts w:hint="default"/>
      </w:rPr>
    </w:lvl>
    <w:lvl w:ilvl="5">
      <w:start w:val="1"/>
      <w:numFmt w:val="none"/>
      <w:lvlText w:val=""/>
      <w:lvlJc w:val="left"/>
      <w:pPr>
        <w:tabs>
          <w:tab w:val="num" w:pos="1531"/>
        </w:tabs>
        <w:ind w:left="1531" w:firstLine="0"/>
      </w:pPr>
      <w:rPr>
        <w:rFonts w:hint="default"/>
      </w:rPr>
    </w:lvl>
    <w:lvl w:ilvl="6">
      <w:start w:val="1"/>
      <w:numFmt w:val="none"/>
      <w:lvlText w:val=""/>
      <w:lvlJc w:val="left"/>
      <w:pPr>
        <w:tabs>
          <w:tab w:val="num" w:pos="1531"/>
        </w:tabs>
        <w:ind w:left="1531" w:firstLine="0"/>
      </w:pPr>
      <w:rPr>
        <w:rFonts w:hint="default"/>
      </w:rPr>
    </w:lvl>
    <w:lvl w:ilvl="7">
      <w:start w:val="1"/>
      <w:numFmt w:val="none"/>
      <w:lvlText w:val=""/>
      <w:lvlJc w:val="left"/>
      <w:pPr>
        <w:tabs>
          <w:tab w:val="num" w:pos="1531"/>
        </w:tabs>
        <w:ind w:left="1531" w:firstLine="0"/>
      </w:pPr>
      <w:rPr>
        <w:rFonts w:hint="default"/>
      </w:rPr>
    </w:lvl>
    <w:lvl w:ilvl="8">
      <w:start w:val="1"/>
      <w:numFmt w:val="none"/>
      <w:lvlText w:val=""/>
      <w:lvlJc w:val="left"/>
      <w:pPr>
        <w:tabs>
          <w:tab w:val="num" w:pos="1531"/>
        </w:tabs>
        <w:ind w:left="1531" w:firstLine="0"/>
      </w:pPr>
      <w:rPr>
        <w:rFonts w:hint="default"/>
      </w:rPr>
    </w:lvl>
  </w:abstractNum>
  <w:abstractNum w:abstractNumId="12" w15:restartNumberingAfterBreak="0">
    <w:nsid w:val="066B658B"/>
    <w:multiLevelType w:val="multilevel"/>
    <w:tmpl w:val="AB8484A2"/>
    <w:styleLink w:val="Style1Header"/>
    <w:lvl w:ilvl="0">
      <w:start w:val="1"/>
      <w:numFmt w:val="upp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8BB1C28"/>
    <w:multiLevelType w:val="multilevel"/>
    <w:tmpl w:val="0CC66390"/>
    <w:styleLink w:val="NumbListHeadings"/>
    <w:lvl w:ilvl="0">
      <w:start w:val="1"/>
      <w:numFmt w:val="decimal"/>
      <w:pStyle w:val="Heading1"/>
      <w:lvlText w:val="%1"/>
      <w:lvlJc w:val="left"/>
      <w:pPr>
        <w:tabs>
          <w:tab w:val="num" w:pos="1077"/>
        </w:tabs>
        <w:ind w:left="1077" w:hanging="1077"/>
      </w:pPr>
      <w:rPr>
        <w:rFonts w:hint="default"/>
      </w:rPr>
    </w:lvl>
    <w:lvl w:ilvl="1">
      <w:start w:val="1"/>
      <w:numFmt w:val="decimal"/>
      <w:pStyle w:val="Heading2"/>
      <w:lvlText w:val="%1.%2"/>
      <w:lvlJc w:val="left"/>
      <w:pPr>
        <w:tabs>
          <w:tab w:val="num" w:pos="1077"/>
        </w:tabs>
        <w:ind w:left="1077" w:hanging="1077"/>
      </w:pPr>
      <w:rPr>
        <w:rFonts w:hint="default"/>
      </w:rPr>
    </w:lvl>
    <w:lvl w:ilvl="2">
      <w:start w:val="1"/>
      <w:numFmt w:val="decimal"/>
      <w:pStyle w:val="Heading3"/>
      <w:lvlText w:val="%1.%2.%3"/>
      <w:lvlJc w:val="left"/>
      <w:pPr>
        <w:tabs>
          <w:tab w:val="num" w:pos="1077"/>
        </w:tabs>
        <w:ind w:left="1077" w:hanging="1077"/>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11C86B1E"/>
    <w:multiLevelType w:val="multilevel"/>
    <w:tmpl w:val="F5B24310"/>
    <w:styleLink w:val="NumbListAnnex"/>
    <w:lvl w:ilvl="0">
      <w:start w:val="1"/>
      <w:numFmt w:val="decimal"/>
      <w:pStyle w:val="AnnexHeading1"/>
      <w:lvlText w:val="Annex %1"/>
      <w:lvlJc w:val="left"/>
      <w:pPr>
        <w:tabs>
          <w:tab w:val="num" w:pos="1077"/>
        </w:tabs>
        <w:ind w:left="1077" w:hanging="1077"/>
      </w:pPr>
      <w:rPr>
        <w:rFonts w:hint="default"/>
      </w:rPr>
    </w:lvl>
    <w:lvl w:ilvl="1">
      <w:start w:val="1"/>
      <w:numFmt w:val="decimal"/>
      <w:pStyle w:val="AnnexHeading2"/>
      <w:lvlText w:val="A%1.%2"/>
      <w:lvlJc w:val="left"/>
      <w:pPr>
        <w:tabs>
          <w:tab w:val="num" w:pos="1077"/>
        </w:tabs>
        <w:ind w:left="1077" w:hanging="1077"/>
      </w:pPr>
      <w:rPr>
        <w:rFonts w:hint="default"/>
      </w:rPr>
    </w:lvl>
    <w:lvl w:ilvl="2">
      <w:start w:val="1"/>
      <w:numFmt w:val="decimal"/>
      <w:pStyle w:val="AnnexHeading3"/>
      <w:lvlText w:val="A%1.%2.%3"/>
      <w:lvlJc w:val="left"/>
      <w:pPr>
        <w:tabs>
          <w:tab w:val="num" w:pos="1077"/>
        </w:tabs>
        <w:ind w:left="1077" w:hanging="1077"/>
      </w:pPr>
      <w:rPr>
        <w:rFonts w:hint="default"/>
      </w:rPr>
    </w:lvl>
    <w:lvl w:ilvl="3">
      <w:start w:val="1"/>
      <w:numFmt w:val="none"/>
      <w:lvlText w:val=""/>
      <w:lvlJc w:val="left"/>
      <w:pPr>
        <w:tabs>
          <w:tab w:val="num" w:pos="1077"/>
        </w:tabs>
        <w:ind w:left="1077" w:hanging="1077"/>
      </w:pPr>
      <w:rPr>
        <w:rFonts w:hint="default"/>
      </w:rPr>
    </w:lvl>
    <w:lvl w:ilvl="4">
      <w:start w:val="1"/>
      <w:numFmt w:val="none"/>
      <w:lvlText w:val=""/>
      <w:lvlJc w:val="left"/>
      <w:pPr>
        <w:tabs>
          <w:tab w:val="num" w:pos="1077"/>
        </w:tabs>
        <w:ind w:left="1077" w:hanging="1077"/>
      </w:pPr>
      <w:rPr>
        <w:rFonts w:hint="default"/>
      </w:rPr>
    </w:lvl>
    <w:lvl w:ilvl="5">
      <w:start w:val="1"/>
      <w:numFmt w:val="none"/>
      <w:lvlText w:val=""/>
      <w:lvlJc w:val="left"/>
      <w:pPr>
        <w:tabs>
          <w:tab w:val="num" w:pos="1077"/>
        </w:tabs>
        <w:ind w:left="1077" w:hanging="1077"/>
      </w:pPr>
      <w:rPr>
        <w:rFonts w:hint="default"/>
      </w:rPr>
    </w:lvl>
    <w:lvl w:ilvl="6">
      <w:start w:val="1"/>
      <w:numFmt w:val="none"/>
      <w:lvlText w:val=""/>
      <w:lvlJc w:val="left"/>
      <w:pPr>
        <w:tabs>
          <w:tab w:val="num" w:pos="1077"/>
        </w:tabs>
        <w:ind w:left="1077" w:hanging="1077"/>
      </w:pPr>
      <w:rPr>
        <w:rFonts w:hint="default"/>
      </w:rPr>
    </w:lvl>
    <w:lvl w:ilvl="7">
      <w:start w:val="1"/>
      <w:numFmt w:val="none"/>
      <w:lvlText w:val=""/>
      <w:lvlJc w:val="left"/>
      <w:pPr>
        <w:tabs>
          <w:tab w:val="num" w:pos="1077"/>
        </w:tabs>
        <w:ind w:left="1077" w:hanging="1077"/>
      </w:pPr>
      <w:rPr>
        <w:rFonts w:hint="default"/>
      </w:rPr>
    </w:lvl>
    <w:lvl w:ilvl="8">
      <w:start w:val="1"/>
      <w:numFmt w:val="none"/>
      <w:lvlText w:val=""/>
      <w:lvlJc w:val="left"/>
      <w:pPr>
        <w:tabs>
          <w:tab w:val="num" w:pos="1077"/>
        </w:tabs>
        <w:ind w:left="1077" w:hanging="1077"/>
      </w:pPr>
      <w:rPr>
        <w:rFonts w:hint="default"/>
      </w:rPr>
    </w:lvl>
  </w:abstractNum>
  <w:abstractNum w:abstractNumId="15" w15:restartNumberingAfterBreak="0">
    <w:nsid w:val="18DD0D89"/>
    <w:multiLevelType w:val="multilevel"/>
    <w:tmpl w:val="33DE43BE"/>
    <w:styleLink w:val="NumblistFigure"/>
    <w:lvl w:ilvl="0">
      <w:start w:val="1"/>
      <w:numFmt w:val="decimal"/>
      <w:lvlText w:val="Figure %1"/>
      <w:lvlJc w:val="left"/>
      <w:pPr>
        <w:tabs>
          <w:tab w:val="num" w:pos="1134"/>
        </w:tabs>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1B135574"/>
    <w:multiLevelType w:val="multilevel"/>
    <w:tmpl w:val="68A633E4"/>
    <w:numStyleLink w:val="NumbListMinorBullet"/>
  </w:abstractNum>
  <w:abstractNum w:abstractNumId="17" w15:restartNumberingAfterBreak="0">
    <w:nsid w:val="22873F5A"/>
    <w:multiLevelType w:val="multilevel"/>
    <w:tmpl w:val="C83A13BA"/>
    <w:lvl w:ilvl="0">
      <w:start w:val="1"/>
      <w:numFmt w:val="bullet"/>
      <w:lvlText w:val=""/>
      <w:lvlJc w:val="left"/>
      <w:pPr>
        <w:tabs>
          <w:tab w:val="num" w:pos="794"/>
        </w:tabs>
        <w:ind w:left="794" w:hanging="363"/>
      </w:pPr>
      <w:rPr>
        <w:rFonts w:ascii="Wingdings 2" w:hAnsi="Wingdings 2" w:hint="default"/>
        <w:color w:val="06357A"/>
        <w:sz w:val="12"/>
      </w:rPr>
    </w:lvl>
    <w:lvl w:ilvl="1">
      <w:start w:val="1"/>
      <w:numFmt w:val="bullet"/>
      <w:lvlText w:val=""/>
      <w:lvlJc w:val="left"/>
      <w:pPr>
        <w:tabs>
          <w:tab w:val="num" w:pos="1157"/>
        </w:tabs>
        <w:ind w:left="1157" w:hanging="363"/>
      </w:pPr>
      <w:rPr>
        <w:rFonts w:ascii="Wingdings 2" w:hAnsi="Wingdings 2" w:hint="default"/>
        <w:color w:val="06357A"/>
        <w:sz w:val="12"/>
      </w:rPr>
    </w:lvl>
    <w:lvl w:ilvl="2">
      <w:start w:val="1"/>
      <w:numFmt w:val="bullet"/>
      <w:lvlText w:val="̶"/>
      <w:lvlJc w:val="left"/>
      <w:pPr>
        <w:tabs>
          <w:tab w:val="num" w:pos="1520"/>
        </w:tabs>
        <w:ind w:left="1520" w:hanging="363"/>
      </w:pPr>
      <w:rPr>
        <w:rFonts w:ascii="Calibri" w:hAnsi="Calibri" w:hint="default"/>
        <w:color w:val="06357A"/>
        <w:sz w:val="12"/>
      </w:rPr>
    </w:lvl>
    <w:lvl w:ilvl="3">
      <w:start w:val="1"/>
      <w:numFmt w:val="none"/>
      <w:lvlText w:val=""/>
      <w:lvlJc w:val="left"/>
      <w:pPr>
        <w:tabs>
          <w:tab w:val="num" w:pos="1520"/>
        </w:tabs>
        <w:ind w:left="1520"/>
      </w:pPr>
      <w:rPr>
        <w:rFonts w:cs="Times New Roman" w:hint="default"/>
      </w:rPr>
    </w:lvl>
    <w:lvl w:ilvl="4">
      <w:start w:val="1"/>
      <w:numFmt w:val="none"/>
      <w:lvlText w:val=""/>
      <w:lvlJc w:val="left"/>
      <w:pPr>
        <w:tabs>
          <w:tab w:val="num" w:pos="1520"/>
        </w:tabs>
        <w:ind w:left="1520"/>
      </w:pPr>
      <w:rPr>
        <w:rFonts w:cs="Times New Roman" w:hint="default"/>
      </w:rPr>
    </w:lvl>
    <w:lvl w:ilvl="5">
      <w:start w:val="1"/>
      <w:numFmt w:val="none"/>
      <w:lvlText w:val=""/>
      <w:lvlJc w:val="left"/>
      <w:pPr>
        <w:tabs>
          <w:tab w:val="num" w:pos="1520"/>
        </w:tabs>
        <w:ind w:left="1520"/>
      </w:pPr>
      <w:rPr>
        <w:rFonts w:cs="Times New Roman" w:hint="default"/>
      </w:rPr>
    </w:lvl>
    <w:lvl w:ilvl="6">
      <w:start w:val="1"/>
      <w:numFmt w:val="none"/>
      <w:lvlText w:val=""/>
      <w:lvlJc w:val="left"/>
      <w:pPr>
        <w:tabs>
          <w:tab w:val="num" w:pos="1520"/>
        </w:tabs>
        <w:ind w:left="1520"/>
      </w:pPr>
      <w:rPr>
        <w:rFonts w:cs="Times New Roman" w:hint="default"/>
      </w:rPr>
    </w:lvl>
    <w:lvl w:ilvl="7">
      <w:start w:val="1"/>
      <w:numFmt w:val="none"/>
      <w:lvlText w:val=""/>
      <w:lvlJc w:val="left"/>
      <w:pPr>
        <w:tabs>
          <w:tab w:val="num" w:pos="1520"/>
        </w:tabs>
        <w:ind w:left="1520"/>
      </w:pPr>
      <w:rPr>
        <w:rFonts w:cs="Times New Roman" w:hint="default"/>
      </w:rPr>
    </w:lvl>
    <w:lvl w:ilvl="8">
      <w:start w:val="1"/>
      <w:numFmt w:val="none"/>
      <w:lvlText w:val=""/>
      <w:lvlJc w:val="left"/>
      <w:pPr>
        <w:tabs>
          <w:tab w:val="num" w:pos="1520"/>
        </w:tabs>
        <w:ind w:left="1520"/>
      </w:pPr>
      <w:rPr>
        <w:rFonts w:cs="Times New Roman" w:hint="default"/>
      </w:rPr>
    </w:lvl>
  </w:abstractNum>
  <w:abstractNum w:abstractNumId="18" w15:restartNumberingAfterBreak="0">
    <w:nsid w:val="2C9B6975"/>
    <w:multiLevelType w:val="multilevel"/>
    <w:tmpl w:val="549C7C98"/>
    <w:numStyleLink w:val="NumblistNumb"/>
  </w:abstractNum>
  <w:abstractNum w:abstractNumId="19" w15:restartNumberingAfterBreak="0">
    <w:nsid w:val="35861FA3"/>
    <w:multiLevelType w:val="multilevel"/>
    <w:tmpl w:val="F3DE5430"/>
    <w:styleLink w:val="NumblistFigures"/>
    <w:lvl w:ilvl="0">
      <w:start w:val="1"/>
      <w:numFmt w:val="decimal"/>
      <w:pStyle w:val="FigureTitle"/>
      <w:lvlText w:val="Figure %1"/>
      <w:lvlJc w:val="left"/>
      <w:pPr>
        <w:tabs>
          <w:tab w:val="num" w:pos="1134"/>
        </w:tabs>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6965F05"/>
    <w:multiLevelType w:val="multilevel"/>
    <w:tmpl w:val="3C90E856"/>
    <w:styleLink w:val="NumblistBox"/>
    <w:lvl w:ilvl="0">
      <w:start w:val="1"/>
      <w:numFmt w:val="decimal"/>
      <w:pStyle w:val="BoxTitle"/>
      <w:lvlText w:val="Box %1"/>
      <w:lvlJc w:val="left"/>
      <w:pPr>
        <w:tabs>
          <w:tab w:val="num" w:pos="1134"/>
        </w:tabs>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6056133D"/>
    <w:multiLevelType w:val="multilevel"/>
    <w:tmpl w:val="68A633E4"/>
    <w:styleLink w:val="NumbListMinorBullet"/>
    <w:lvl w:ilvl="0">
      <w:start w:val="1"/>
      <w:numFmt w:val="bullet"/>
      <w:pStyle w:val="MinorBullet1"/>
      <w:lvlText w:val=""/>
      <w:lvlJc w:val="left"/>
      <w:pPr>
        <w:tabs>
          <w:tab w:val="num" w:pos="794"/>
        </w:tabs>
        <w:ind w:left="794" w:hanging="363"/>
      </w:pPr>
      <w:rPr>
        <w:rFonts w:ascii="Wingdings 2" w:hAnsi="Wingdings 2" w:hint="default"/>
        <w:color w:val="06357A" w:themeColor="text2"/>
        <w:sz w:val="12"/>
      </w:rPr>
    </w:lvl>
    <w:lvl w:ilvl="1">
      <w:start w:val="1"/>
      <w:numFmt w:val="bullet"/>
      <w:pStyle w:val="MinorBullet2"/>
      <w:lvlText w:val=""/>
      <w:lvlJc w:val="left"/>
      <w:pPr>
        <w:tabs>
          <w:tab w:val="num" w:pos="1157"/>
        </w:tabs>
        <w:ind w:left="1157" w:hanging="363"/>
      </w:pPr>
      <w:rPr>
        <w:rFonts w:ascii="Wingdings 2" w:hAnsi="Wingdings 2" w:hint="default"/>
        <w:color w:val="06357A" w:themeColor="text2"/>
        <w:sz w:val="12"/>
      </w:rPr>
    </w:lvl>
    <w:lvl w:ilvl="2">
      <w:start w:val="1"/>
      <w:numFmt w:val="bullet"/>
      <w:pStyle w:val="MinorBullet3"/>
      <w:lvlText w:val="̶"/>
      <w:lvlJc w:val="left"/>
      <w:pPr>
        <w:tabs>
          <w:tab w:val="num" w:pos="1520"/>
        </w:tabs>
        <w:ind w:left="1520" w:hanging="363"/>
      </w:pPr>
      <w:rPr>
        <w:rFonts w:ascii="Calibri" w:hAnsi="Calibri" w:hint="default"/>
        <w:color w:val="06357A" w:themeColor="text2"/>
        <w:sz w:val="12"/>
      </w:rPr>
    </w:lvl>
    <w:lvl w:ilvl="3">
      <w:start w:val="1"/>
      <w:numFmt w:val="none"/>
      <w:lvlText w:val=""/>
      <w:lvlJc w:val="left"/>
      <w:pPr>
        <w:tabs>
          <w:tab w:val="num" w:pos="1520"/>
        </w:tabs>
        <w:ind w:left="1520" w:firstLine="0"/>
      </w:pPr>
      <w:rPr>
        <w:rFonts w:hint="default"/>
      </w:rPr>
    </w:lvl>
    <w:lvl w:ilvl="4">
      <w:start w:val="1"/>
      <w:numFmt w:val="none"/>
      <w:lvlText w:val=""/>
      <w:lvlJc w:val="left"/>
      <w:pPr>
        <w:tabs>
          <w:tab w:val="num" w:pos="1520"/>
        </w:tabs>
        <w:ind w:left="1520" w:firstLine="0"/>
      </w:pPr>
      <w:rPr>
        <w:rFonts w:hint="default"/>
      </w:rPr>
    </w:lvl>
    <w:lvl w:ilvl="5">
      <w:start w:val="1"/>
      <w:numFmt w:val="none"/>
      <w:lvlText w:val=""/>
      <w:lvlJc w:val="left"/>
      <w:pPr>
        <w:tabs>
          <w:tab w:val="num" w:pos="1520"/>
        </w:tabs>
        <w:ind w:left="1520" w:firstLine="0"/>
      </w:pPr>
      <w:rPr>
        <w:rFonts w:hint="default"/>
      </w:rPr>
    </w:lvl>
    <w:lvl w:ilvl="6">
      <w:start w:val="1"/>
      <w:numFmt w:val="none"/>
      <w:lvlText w:val=""/>
      <w:lvlJc w:val="left"/>
      <w:pPr>
        <w:tabs>
          <w:tab w:val="num" w:pos="1520"/>
        </w:tabs>
        <w:ind w:left="1520" w:firstLine="0"/>
      </w:pPr>
      <w:rPr>
        <w:rFonts w:hint="default"/>
      </w:rPr>
    </w:lvl>
    <w:lvl w:ilvl="7">
      <w:start w:val="1"/>
      <w:numFmt w:val="none"/>
      <w:lvlText w:val=""/>
      <w:lvlJc w:val="left"/>
      <w:pPr>
        <w:tabs>
          <w:tab w:val="num" w:pos="1520"/>
        </w:tabs>
        <w:ind w:left="1520" w:firstLine="0"/>
      </w:pPr>
      <w:rPr>
        <w:rFonts w:hint="default"/>
      </w:rPr>
    </w:lvl>
    <w:lvl w:ilvl="8">
      <w:start w:val="1"/>
      <w:numFmt w:val="none"/>
      <w:lvlText w:val=""/>
      <w:lvlJc w:val="left"/>
      <w:pPr>
        <w:tabs>
          <w:tab w:val="num" w:pos="1520"/>
        </w:tabs>
        <w:ind w:left="1520" w:firstLine="0"/>
      </w:pPr>
      <w:rPr>
        <w:rFonts w:hint="default"/>
      </w:rPr>
    </w:lvl>
  </w:abstractNum>
  <w:abstractNum w:abstractNumId="22" w15:restartNumberingAfterBreak="0">
    <w:nsid w:val="61D334F2"/>
    <w:multiLevelType w:val="multilevel"/>
    <w:tmpl w:val="B4D849AA"/>
    <w:styleLink w:val="NumbListBullets"/>
    <w:lvl w:ilvl="0">
      <w:start w:val="1"/>
      <w:numFmt w:val="bullet"/>
      <w:pStyle w:val="MajorBullet1"/>
      <w:lvlText w:val=""/>
      <w:lvlJc w:val="left"/>
      <w:pPr>
        <w:tabs>
          <w:tab w:val="num" w:pos="851"/>
        </w:tabs>
        <w:ind w:left="851" w:hanging="681"/>
      </w:pPr>
      <w:rPr>
        <w:rFonts w:ascii="Wingdings 2" w:hAnsi="Wingdings 2" w:hint="default"/>
        <w:color w:val="06357A" w:themeColor="text2"/>
        <w:sz w:val="16"/>
      </w:rPr>
    </w:lvl>
    <w:lvl w:ilvl="1">
      <w:start w:val="1"/>
      <w:numFmt w:val="bullet"/>
      <w:pStyle w:val="MajorBullet2"/>
      <w:lvlText w:val=""/>
      <w:lvlJc w:val="left"/>
      <w:pPr>
        <w:tabs>
          <w:tab w:val="num" w:pos="1134"/>
        </w:tabs>
        <w:ind w:left="1134" w:hanging="283"/>
      </w:pPr>
      <w:rPr>
        <w:rFonts w:ascii="Wingdings 2" w:hAnsi="Wingdings 2" w:hint="default"/>
        <w:color w:val="06357A" w:themeColor="text2"/>
        <w:sz w:val="16"/>
      </w:rPr>
    </w:lvl>
    <w:lvl w:ilvl="2">
      <w:start w:val="1"/>
      <w:numFmt w:val="bullet"/>
      <w:pStyle w:val="MajorBullet3"/>
      <w:lvlText w:val="̶"/>
      <w:lvlJc w:val="left"/>
      <w:pPr>
        <w:tabs>
          <w:tab w:val="num" w:pos="1531"/>
        </w:tabs>
        <w:ind w:left="1531" w:hanging="284"/>
      </w:pPr>
      <w:rPr>
        <w:rFonts w:ascii="Calibri" w:hAnsi="Calibri" w:hint="default"/>
        <w:color w:val="06357A" w:themeColor="text2"/>
        <w:u w:color="244890"/>
      </w:rPr>
    </w:lvl>
    <w:lvl w:ilvl="3">
      <w:start w:val="1"/>
      <w:numFmt w:val="none"/>
      <w:lvlText w:val=""/>
      <w:lvlJc w:val="left"/>
      <w:pPr>
        <w:tabs>
          <w:tab w:val="num" w:pos="1531"/>
        </w:tabs>
        <w:ind w:left="1531" w:firstLine="0"/>
      </w:pPr>
      <w:rPr>
        <w:rFonts w:hint="default"/>
      </w:rPr>
    </w:lvl>
    <w:lvl w:ilvl="4">
      <w:start w:val="1"/>
      <w:numFmt w:val="none"/>
      <w:lvlText w:val=""/>
      <w:lvlJc w:val="left"/>
      <w:pPr>
        <w:tabs>
          <w:tab w:val="num" w:pos="1531"/>
        </w:tabs>
        <w:ind w:left="1531" w:firstLine="0"/>
      </w:pPr>
      <w:rPr>
        <w:rFonts w:hint="default"/>
      </w:rPr>
    </w:lvl>
    <w:lvl w:ilvl="5">
      <w:start w:val="1"/>
      <w:numFmt w:val="none"/>
      <w:lvlText w:val=""/>
      <w:lvlJc w:val="left"/>
      <w:pPr>
        <w:tabs>
          <w:tab w:val="num" w:pos="1531"/>
        </w:tabs>
        <w:ind w:left="1531" w:firstLine="0"/>
      </w:pPr>
      <w:rPr>
        <w:rFonts w:hint="default"/>
      </w:rPr>
    </w:lvl>
    <w:lvl w:ilvl="6">
      <w:start w:val="1"/>
      <w:numFmt w:val="none"/>
      <w:lvlText w:val=""/>
      <w:lvlJc w:val="left"/>
      <w:pPr>
        <w:tabs>
          <w:tab w:val="num" w:pos="1531"/>
        </w:tabs>
        <w:ind w:left="1531" w:firstLine="0"/>
      </w:pPr>
      <w:rPr>
        <w:rFonts w:hint="default"/>
      </w:rPr>
    </w:lvl>
    <w:lvl w:ilvl="7">
      <w:start w:val="1"/>
      <w:numFmt w:val="none"/>
      <w:lvlText w:val=""/>
      <w:lvlJc w:val="left"/>
      <w:pPr>
        <w:tabs>
          <w:tab w:val="num" w:pos="1531"/>
        </w:tabs>
        <w:ind w:left="1531" w:firstLine="0"/>
      </w:pPr>
      <w:rPr>
        <w:rFonts w:hint="default"/>
      </w:rPr>
    </w:lvl>
    <w:lvl w:ilvl="8">
      <w:start w:val="1"/>
      <w:numFmt w:val="none"/>
      <w:lvlText w:val=""/>
      <w:lvlJc w:val="left"/>
      <w:pPr>
        <w:tabs>
          <w:tab w:val="num" w:pos="1531"/>
        </w:tabs>
        <w:ind w:left="1531" w:firstLine="0"/>
      </w:pPr>
      <w:rPr>
        <w:rFonts w:hint="default"/>
      </w:rPr>
    </w:lvl>
  </w:abstractNum>
  <w:abstractNum w:abstractNumId="23" w15:restartNumberingAfterBreak="0">
    <w:nsid w:val="64031FBA"/>
    <w:multiLevelType w:val="multilevel"/>
    <w:tmpl w:val="E668A414"/>
    <w:lvl w:ilvl="0">
      <w:start w:val="1"/>
      <w:numFmt w:val="decimal"/>
      <w:lvlText w:val="Table %1"/>
      <w:lvlJc w:val="left"/>
      <w:pPr>
        <w:tabs>
          <w:tab w:val="num" w:pos="1134"/>
        </w:tabs>
        <w:ind w:left="0" w:firstLine="0"/>
      </w:pPr>
    </w:lvl>
    <w:lvl w:ilvl="1">
      <w:start w:val="1"/>
      <w:numFmt w:val="none"/>
      <w:lvlRestart w:val="0"/>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74885590"/>
    <w:multiLevelType w:val="multilevel"/>
    <w:tmpl w:val="211ECDC0"/>
    <w:styleLink w:val="NumbListTable"/>
    <w:lvl w:ilvl="0">
      <w:start w:val="1"/>
      <w:numFmt w:val="decimal"/>
      <w:pStyle w:val="TableTitle"/>
      <w:lvlText w:val="Table %1"/>
      <w:lvlJc w:val="left"/>
      <w:pPr>
        <w:tabs>
          <w:tab w:val="num" w:pos="1134"/>
        </w:tabs>
        <w:ind w:left="0" w:firstLine="0"/>
      </w:pPr>
      <w:rPr>
        <w:rFonts w:hint="default"/>
      </w:rPr>
    </w:lvl>
    <w:lvl w:ilvl="1">
      <w:start w:val="1"/>
      <w:numFmt w:val="none"/>
      <w:lvlRestart w:val="0"/>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7C564BBC"/>
    <w:multiLevelType w:val="hybridMultilevel"/>
    <w:tmpl w:val="1DDC0AF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1354647960">
    <w:abstractNumId w:val="9"/>
  </w:num>
  <w:num w:numId="2" w16cid:durableId="596989515">
    <w:abstractNumId w:val="8"/>
  </w:num>
  <w:num w:numId="3" w16cid:durableId="984941272">
    <w:abstractNumId w:val="7"/>
  </w:num>
  <w:num w:numId="4" w16cid:durableId="2124492421">
    <w:abstractNumId w:val="6"/>
  </w:num>
  <w:num w:numId="5" w16cid:durableId="951327781">
    <w:abstractNumId w:val="5"/>
  </w:num>
  <w:num w:numId="6" w16cid:durableId="912351674">
    <w:abstractNumId w:val="4"/>
  </w:num>
  <w:num w:numId="7" w16cid:durableId="2007589341">
    <w:abstractNumId w:val="3"/>
  </w:num>
  <w:num w:numId="8" w16cid:durableId="2121141055">
    <w:abstractNumId w:val="2"/>
  </w:num>
  <w:num w:numId="9" w16cid:durableId="866722680">
    <w:abstractNumId w:val="1"/>
  </w:num>
  <w:num w:numId="10" w16cid:durableId="671877830">
    <w:abstractNumId w:val="0"/>
  </w:num>
  <w:num w:numId="11" w16cid:durableId="910120235">
    <w:abstractNumId w:val="12"/>
  </w:num>
  <w:num w:numId="12" w16cid:durableId="1694765047">
    <w:abstractNumId w:val="10"/>
  </w:num>
  <w:num w:numId="13" w16cid:durableId="1284114301">
    <w:abstractNumId w:val="13"/>
  </w:num>
  <w:num w:numId="14" w16cid:durableId="829980479">
    <w:abstractNumId w:val="22"/>
  </w:num>
  <w:num w:numId="15" w16cid:durableId="933781564">
    <w:abstractNumId w:val="11"/>
  </w:num>
  <w:num w:numId="16" w16cid:durableId="491213032">
    <w:abstractNumId w:val="18"/>
  </w:num>
  <w:num w:numId="17" w16cid:durableId="734358559">
    <w:abstractNumId w:val="14"/>
  </w:num>
  <w:num w:numId="18" w16cid:durableId="1461846448">
    <w:abstractNumId w:val="24"/>
  </w:num>
  <w:num w:numId="19" w16cid:durableId="1655521356">
    <w:abstractNumId w:val="19"/>
    <w:lvlOverride w:ilvl="0">
      <w:lvl w:ilvl="0">
        <w:start w:val="1"/>
        <w:numFmt w:val="decimal"/>
        <w:pStyle w:val="FigureTitle"/>
        <w:lvlText w:val="Figure %1"/>
        <w:lvlJc w:val="left"/>
        <w:pPr>
          <w:tabs>
            <w:tab w:val="num" w:pos="1134"/>
          </w:tabs>
          <w:ind w:left="0" w:firstLine="0"/>
        </w:pPr>
        <w:rPr>
          <w:rFonts w:hint="default"/>
        </w:rPr>
      </w:lvl>
    </w:lvlOverride>
  </w:num>
  <w:num w:numId="20" w16cid:durableId="1702703337">
    <w:abstractNumId w:val="20"/>
  </w:num>
  <w:num w:numId="21" w16cid:durableId="1950041201">
    <w:abstractNumId w:val="21"/>
  </w:num>
  <w:num w:numId="22" w16cid:durableId="1258518226">
    <w:abstractNumId w:val="13"/>
  </w:num>
  <w:num w:numId="23" w16cid:durableId="1145859083">
    <w:abstractNumId w:val="22"/>
  </w:num>
  <w:num w:numId="24" w16cid:durableId="48310823">
    <w:abstractNumId w:val="21"/>
  </w:num>
  <w:num w:numId="25" w16cid:durableId="730809295">
    <w:abstractNumId w:val="16"/>
  </w:num>
  <w:num w:numId="26" w16cid:durableId="480385773">
    <w:abstractNumId w:val="15"/>
  </w:num>
  <w:num w:numId="27" w16cid:durableId="805394797">
    <w:abstractNumId w:val="17"/>
  </w:num>
  <w:num w:numId="28" w16cid:durableId="1218662272">
    <w:abstractNumId w:val="1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3842257">
    <w:abstractNumId w:val="23"/>
  </w:num>
  <w:num w:numId="30" w16cid:durableId="536937267">
    <w:abstractNumId w:val="25"/>
  </w:num>
  <w:num w:numId="31" w16cid:durableId="837428596">
    <w:abstractNumId w:val="13"/>
    <w:lvlOverride w:ilvl="0">
      <w:startOverride w:val="4"/>
    </w:lvlOverride>
    <w:lvlOverride w:ilvl="1">
      <w:startOverride w:val="2"/>
    </w:lvlOverride>
  </w:num>
  <w:num w:numId="32" w16cid:durableId="498236924">
    <w:abstractNumId w:val="19"/>
  </w:num>
  <w:num w:numId="33" w16cid:durableId="871457411">
    <w:abstractNumId w:val="16"/>
    <w:lvlOverride w:ilvl="0">
      <w:lvl w:ilvl="0">
        <w:start w:val="1"/>
        <w:numFmt w:val="bullet"/>
        <w:lvlText w:val=""/>
        <w:lvlJc w:val="left"/>
        <w:pPr>
          <w:tabs>
            <w:tab w:val="num" w:pos="794"/>
          </w:tabs>
          <w:ind w:left="794" w:hanging="363"/>
        </w:pPr>
        <w:rPr>
          <w:rFonts w:ascii="Wingdings 2" w:hAnsi="Wingdings 2" w:hint="default"/>
          <w:color w:val="06357A"/>
          <w:sz w:val="12"/>
        </w:rPr>
      </w:lvl>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24"/>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xtrA0MjSwMDI2M7JU0lEKTi0uzszPAykwNKoFAEaKI4EtAAAA"/>
    <w:docVar w:name="Branch" w:val="London"/>
    <w:docVar w:name="cbxWelsh" w:val="False"/>
    <w:docVar w:name="ContentsPageTOCType" w:val="2"/>
    <w:docVar w:name="CurrentTemplateName" w:val="LE Report.dotm"/>
    <w:docVar w:name="CurrentTemplateVersion" w:val="2.18"/>
    <w:docVar w:name="DocTemplateName" w:val="LE Report.dotm"/>
    <w:docVar w:name="FooterBrand" w:val="London Economics"/>
    <w:docVar w:name="FooterDocNo" w:val="LE - Economic impact of University of Birmingham - Draft Report - 02-04-2024.docx"/>
    <w:docVar w:name="FooterTitle" w:val="The economic, social and cultural impact of the University of Birmingham"/>
    <w:docVar w:name="InitialTemplateName" w:val="LE Report.dotm"/>
    <w:docVar w:name="InitialTemplateVersion" w:val="2.18"/>
    <w:docVar w:name="LanguageID" w:val="2057"/>
    <w:docVar w:name="NewDoc" w:val="False"/>
    <w:docVar w:name="TitleDate" w:val="March 2024"/>
  </w:docVars>
  <w:rsids>
    <w:rsidRoot w:val="00B0172D"/>
    <w:rsid w:val="000011F8"/>
    <w:rsid w:val="000024B7"/>
    <w:rsid w:val="00003A15"/>
    <w:rsid w:val="0000590A"/>
    <w:rsid w:val="00005B0E"/>
    <w:rsid w:val="00006455"/>
    <w:rsid w:val="0001071D"/>
    <w:rsid w:val="00010E67"/>
    <w:rsid w:val="00013E1B"/>
    <w:rsid w:val="000152CA"/>
    <w:rsid w:val="0001549E"/>
    <w:rsid w:val="000160F0"/>
    <w:rsid w:val="00016980"/>
    <w:rsid w:val="0001773E"/>
    <w:rsid w:val="0002019F"/>
    <w:rsid w:val="00022317"/>
    <w:rsid w:val="00023143"/>
    <w:rsid w:val="000233EA"/>
    <w:rsid w:val="00024336"/>
    <w:rsid w:val="00025B06"/>
    <w:rsid w:val="00025E2B"/>
    <w:rsid w:val="00026E60"/>
    <w:rsid w:val="00030324"/>
    <w:rsid w:val="000323D3"/>
    <w:rsid w:val="00032C8E"/>
    <w:rsid w:val="0003371F"/>
    <w:rsid w:val="000339DE"/>
    <w:rsid w:val="00034FD2"/>
    <w:rsid w:val="00035D6D"/>
    <w:rsid w:val="00036D52"/>
    <w:rsid w:val="00037158"/>
    <w:rsid w:val="00037571"/>
    <w:rsid w:val="0004002A"/>
    <w:rsid w:val="000417A1"/>
    <w:rsid w:val="00042D9E"/>
    <w:rsid w:val="000438C6"/>
    <w:rsid w:val="00044CD1"/>
    <w:rsid w:val="000450EA"/>
    <w:rsid w:val="000450ED"/>
    <w:rsid w:val="0004529C"/>
    <w:rsid w:val="00045B49"/>
    <w:rsid w:val="0005066B"/>
    <w:rsid w:val="00050852"/>
    <w:rsid w:val="00051838"/>
    <w:rsid w:val="00052448"/>
    <w:rsid w:val="00052C78"/>
    <w:rsid w:val="00053963"/>
    <w:rsid w:val="00054718"/>
    <w:rsid w:val="000558EB"/>
    <w:rsid w:val="00056B87"/>
    <w:rsid w:val="00056F10"/>
    <w:rsid w:val="000572F8"/>
    <w:rsid w:val="00062ADA"/>
    <w:rsid w:val="000634C0"/>
    <w:rsid w:val="00067901"/>
    <w:rsid w:val="000708F5"/>
    <w:rsid w:val="000737F4"/>
    <w:rsid w:val="000742CF"/>
    <w:rsid w:val="00074EDA"/>
    <w:rsid w:val="00075786"/>
    <w:rsid w:val="0007653C"/>
    <w:rsid w:val="00076647"/>
    <w:rsid w:val="000776B7"/>
    <w:rsid w:val="000808CE"/>
    <w:rsid w:val="0008117B"/>
    <w:rsid w:val="00081F1B"/>
    <w:rsid w:val="000824E4"/>
    <w:rsid w:val="00082910"/>
    <w:rsid w:val="00082EDD"/>
    <w:rsid w:val="00082F68"/>
    <w:rsid w:val="00084645"/>
    <w:rsid w:val="0008615B"/>
    <w:rsid w:val="00086546"/>
    <w:rsid w:val="000905FC"/>
    <w:rsid w:val="00091BFC"/>
    <w:rsid w:val="000927D0"/>
    <w:rsid w:val="00092FF5"/>
    <w:rsid w:val="000936A7"/>
    <w:rsid w:val="000969A8"/>
    <w:rsid w:val="000969D2"/>
    <w:rsid w:val="00096F15"/>
    <w:rsid w:val="0009775E"/>
    <w:rsid w:val="00097841"/>
    <w:rsid w:val="000A0330"/>
    <w:rsid w:val="000A093F"/>
    <w:rsid w:val="000A1277"/>
    <w:rsid w:val="000A14F3"/>
    <w:rsid w:val="000A19A8"/>
    <w:rsid w:val="000A2E96"/>
    <w:rsid w:val="000A301E"/>
    <w:rsid w:val="000A422D"/>
    <w:rsid w:val="000A49CE"/>
    <w:rsid w:val="000A6101"/>
    <w:rsid w:val="000B37CD"/>
    <w:rsid w:val="000B4F63"/>
    <w:rsid w:val="000B6198"/>
    <w:rsid w:val="000B74A0"/>
    <w:rsid w:val="000B768C"/>
    <w:rsid w:val="000B7CF7"/>
    <w:rsid w:val="000B7FA6"/>
    <w:rsid w:val="000C01AE"/>
    <w:rsid w:val="000C1EEA"/>
    <w:rsid w:val="000C78F1"/>
    <w:rsid w:val="000D0534"/>
    <w:rsid w:val="000D1269"/>
    <w:rsid w:val="000D141E"/>
    <w:rsid w:val="000D319B"/>
    <w:rsid w:val="000D5460"/>
    <w:rsid w:val="000D6329"/>
    <w:rsid w:val="000D7AAE"/>
    <w:rsid w:val="000D7BC6"/>
    <w:rsid w:val="000D7CB3"/>
    <w:rsid w:val="000E0A7D"/>
    <w:rsid w:val="000E0ACF"/>
    <w:rsid w:val="000E1A46"/>
    <w:rsid w:val="000E1DA2"/>
    <w:rsid w:val="000E1EFF"/>
    <w:rsid w:val="000E2331"/>
    <w:rsid w:val="000E2388"/>
    <w:rsid w:val="000E28FA"/>
    <w:rsid w:val="000E29D6"/>
    <w:rsid w:val="000E398D"/>
    <w:rsid w:val="000E61C4"/>
    <w:rsid w:val="000E6EF0"/>
    <w:rsid w:val="000F0AAA"/>
    <w:rsid w:val="000F1232"/>
    <w:rsid w:val="000F202C"/>
    <w:rsid w:val="000F217F"/>
    <w:rsid w:val="000F22A8"/>
    <w:rsid w:val="000F376D"/>
    <w:rsid w:val="000F3C92"/>
    <w:rsid w:val="000F4AA7"/>
    <w:rsid w:val="000F5B89"/>
    <w:rsid w:val="00100531"/>
    <w:rsid w:val="00102F96"/>
    <w:rsid w:val="001041DD"/>
    <w:rsid w:val="00105082"/>
    <w:rsid w:val="001060F2"/>
    <w:rsid w:val="00106110"/>
    <w:rsid w:val="00107ED4"/>
    <w:rsid w:val="00107F73"/>
    <w:rsid w:val="001120D8"/>
    <w:rsid w:val="001121DD"/>
    <w:rsid w:val="00113D43"/>
    <w:rsid w:val="00116C63"/>
    <w:rsid w:val="00117692"/>
    <w:rsid w:val="001207E8"/>
    <w:rsid w:val="0012212F"/>
    <w:rsid w:val="00123631"/>
    <w:rsid w:val="001239A2"/>
    <w:rsid w:val="00126AFF"/>
    <w:rsid w:val="001279B4"/>
    <w:rsid w:val="001311F5"/>
    <w:rsid w:val="00133C27"/>
    <w:rsid w:val="00133E7F"/>
    <w:rsid w:val="00134321"/>
    <w:rsid w:val="00135C90"/>
    <w:rsid w:val="00136054"/>
    <w:rsid w:val="001361A2"/>
    <w:rsid w:val="001365DA"/>
    <w:rsid w:val="00137523"/>
    <w:rsid w:val="001404E3"/>
    <w:rsid w:val="00140CB1"/>
    <w:rsid w:val="00140DE8"/>
    <w:rsid w:val="00141159"/>
    <w:rsid w:val="00141278"/>
    <w:rsid w:val="00141C6F"/>
    <w:rsid w:val="0014200B"/>
    <w:rsid w:val="00143D6D"/>
    <w:rsid w:val="0014408F"/>
    <w:rsid w:val="001454BE"/>
    <w:rsid w:val="001506D8"/>
    <w:rsid w:val="00152FFB"/>
    <w:rsid w:val="00153904"/>
    <w:rsid w:val="00155425"/>
    <w:rsid w:val="001567DC"/>
    <w:rsid w:val="00156F1C"/>
    <w:rsid w:val="001576CD"/>
    <w:rsid w:val="00160AA2"/>
    <w:rsid w:val="00160B9E"/>
    <w:rsid w:val="001610FA"/>
    <w:rsid w:val="001615E2"/>
    <w:rsid w:val="001616CF"/>
    <w:rsid w:val="00161ED9"/>
    <w:rsid w:val="00162CFB"/>
    <w:rsid w:val="00163F53"/>
    <w:rsid w:val="00165249"/>
    <w:rsid w:val="00166B42"/>
    <w:rsid w:val="00167116"/>
    <w:rsid w:val="001676A0"/>
    <w:rsid w:val="00167CDE"/>
    <w:rsid w:val="001726AB"/>
    <w:rsid w:val="00172A8A"/>
    <w:rsid w:val="00174C05"/>
    <w:rsid w:val="001751F4"/>
    <w:rsid w:val="00175FB0"/>
    <w:rsid w:val="001768E3"/>
    <w:rsid w:val="00181C7D"/>
    <w:rsid w:val="00182041"/>
    <w:rsid w:val="001830CE"/>
    <w:rsid w:val="001834FB"/>
    <w:rsid w:val="001838C2"/>
    <w:rsid w:val="00183A4B"/>
    <w:rsid w:val="001841A5"/>
    <w:rsid w:val="00185021"/>
    <w:rsid w:val="00187365"/>
    <w:rsid w:val="0019116C"/>
    <w:rsid w:val="0019296C"/>
    <w:rsid w:val="00193D41"/>
    <w:rsid w:val="00195595"/>
    <w:rsid w:val="00195FB7"/>
    <w:rsid w:val="001968EC"/>
    <w:rsid w:val="00196FED"/>
    <w:rsid w:val="00197BD3"/>
    <w:rsid w:val="001A0935"/>
    <w:rsid w:val="001A0CC6"/>
    <w:rsid w:val="001A2FDD"/>
    <w:rsid w:val="001A3671"/>
    <w:rsid w:val="001B223C"/>
    <w:rsid w:val="001B52D3"/>
    <w:rsid w:val="001B61C1"/>
    <w:rsid w:val="001B6818"/>
    <w:rsid w:val="001B7648"/>
    <w:rsid w:val="001B7C9B"/>
    <w:rsid w:val="001B7D77"/>
    <w:rsid w:val="001C06F9"/>
    <w:rsid w:val="001C0D20"/>
    <w:rsid w:val="001C0F2E"/>
    <w:rsid w:val="001C1E2A"/>
    <w:rsid w:val="001C20D6"/>
    <w:rsid w:val="001C319F"/>
    <w:rsid w:val="001C3F59"/>
    <w:rsid w:val="001C3FDB"/>
    <w:rsid w:val="001C43CB"/>
    <w:rsid w:val="001C5359"/>
    <w:rsid w:val="001C541F"/>
    <w:rsid w:val="001D004A"/>
    <w:rsid w:val="001D26DB"/>
    <w:rsid w:val="001D5416"/>
    <w:rsid w:val="001D5A36"/>
    <w:rsid w:val="001D5EEA"/>
    <w:rsid w:val="001D6A69"/>
    <w:rsid w:val="001E0294"/>
    <w:rsid w:val="001E0903"/>
    <w:rsid w:val="001E090E"/>
    <w:rsid w:val="001E1567"/>
    <w:rsid w:val="001E1BCE"/>
    <w:rsid w:val="001E20CA"/>
    <w:rsid w:val="001E218F"/>
    <w:rsid w:val="001E2341"/>
    <w:rsid w:val="001E260B"/>
    <w:rsid w:val="001E2779"/>
    <w:rsid w:val="001E46A4"/>
    <w:rsid w:val="001E4894"/>
    <w:rsid w:val="001E519F"/>
    <w:rsid w:val="001E6764"/>
    <w:rsid w:val="001E7747"/>
    <w:rsid w:val="001F08A6"/>
    <w:rsid w:val="001F0F67"/>
    <w:rsid w:val="001F12DB"/>
    <w:rsid w:val="001F2630"/>
    <w:rsid w:val="001F35E7"/>
    <w:rsid w:val="001F3E0E"/>
    <w:rsid w:val="001F4509"/>
    <w:rsid w:val="001F462A"/>
    <w:rsid w:val="001F6BC5"/>
    <w:rsid w:val="001F7762"/>
    <w:rsid w:val="002011E3"/>
    <w:rsid w:val="00202384"/>
    <w:rsid w:val="00203403"/>
    <w:rsid w:val="0020363E"/>
    <w:rsid w:val="0020394C"/>
    <w:rsid w:val="002039D7"/>
    <w:rsid w:val="00204141"/>
    <w:rsid w:val="0020494F"/>
    <w:rsid w:val="002102E5"/>
    <w:rsid w:val="00211CBA"/>
    <w:rsid w:val="002120C1"/>
    <w:rsid w:val="00213F8C"/>
    <w:rsid w:val="00215CCA"/>
    <w:rsid w:val="00216E00"/>
    <w:rsid w:val="0021730A"/>
    <w:rsid w:val="00220D31"/>
    <w:rsid w:val="00221164"/>
    <w:rsid w:val="00222E4A"/>
    <w:rsid w:val="00225F82"/>
    <w:rsid w:val="00226A4F"/>
    <w:rsid w:val="00230EA2"/>
    <w:rsid w:val="002321DB"/>
    <w:rsid w:val="00235301"/>
    <w:rsid w:val="00237601"/>
    <w:rsid w:val="00240881"/>
    <w:rsid w:val="00244FAF"/>
    <w:rsid w:val="0024555D"/>
    <w:rsid w:val="00245F9C"/>
    <w:rsid w:val="0024730B"/>
    <w:rsid w:val="00250BBE"/>
    <w:rsid w:val="00250BDB"/>
    <w:rsid w:val="00250E16"/>
    <w:rsid w:val="00253977"/>
    <w:rsid w:val="0025460E"/>
    <w:rsid w:val="00255417"/>
    <w:rsid w:val="0025584A"/>
    <w:rsid w:val="002561AD"/>
    <w:rsid w:val="002576E4"/>
    <w:rsid w:val="00257F75"/>
    <w:rsid w:val="00260AEC"/>
    <w:rsid w:val="00260EAB"/>
    <w:rsid w:val="00260F80"/>
    <w:rsid w:val="002612B2"/>
    <w:rsid w:val="00261E2C"/>
    <w:rsid w:val="002621F0"/>
    <w:rsid w:val="002624E1"/>
    <w:rsid w:val="0026275F"/>
    <w:rsid w:val="00263633"/>
    <w:rsid w:val="00263B0D"/>
    <w:rsid w:val="00265791"/>
    <w:rsid w:val="00271294"/>
    <w:rsid w:val="00271636"/>
    <w:rsid w:val="00273125"/>
    <w:rsid w:val="0027423B"/>
    <w:rsid w:val="0027443B"/>
    <w:rsid w:val="00275DDF"/>
    <w:rsid w:val="00277BBE"/>
    <w:rsid w:val="0028024E"/>
    <w:rsid w:val="0028196E"/>
    <w:rsid w:val="0028379D"/>
    <w:rsid w:val="00283ABD"/>
    <w:rsid w:val="00283B0E"/>
    <w:rsid w:val="00285AC2"/>
    <w:rsid w:val="00285CDD"/>
    <w:rsid w:val="00287581"/>
    <w:rsid w:val="0029103D"/>
    <w:rsid w:val="00291881"/>
    <w:rsid w:val="00292017"/>
    <w:rsid w:val="002929F1"/>
    <w:rsid w:val="00292D79"/>
    <w:rsid w:val="00292EE3"/>
    <w:rsid w:val="00293B4A"/>
    <w:rsid w:val="00294D74"/>
    <w:rsid w:val="00295E96"/>
    <w:rsid w:val="00297BDE"/>
    <w:rsid w:val="002A1B15"/>
    <w:rsid w:val="002A321E"/>
    <w:rsid w:val="002A5BB6"/>
    <w:rsid w:val="002A63B8"/>
    <w:rsid w:val="002A701D"/>
    <w:rsid w:val="002B13AB"/>
    <w:rsid w:val="002B2214"/>
    <w:rsid w:val="002B2E63"/>
    <w:rsid w:val="002B35B0"/>
    <w:rsid w:val="002B5D3E"/>
    <w:rsid w:val="002B7495"/>
    <w:rsid w:val="002B7BD9"/>
    <w:rsid w:val="002C1D0D"/>
    <w:rsid w:val="002C27EA"/>
    <w:rsid w:val="002C2DAA"/>
    <w:rsid w:val="002C2ED5"/>
    <w:rsid w:val="002C4BF8"/>
    <w:rsid w:val="002C69F1"/>
    <w:rsid w:val="002C70B4"/>
    <w:rsid w:val="002C7DD8"/>
    <w:rsid w:val="002D0339"/>
    <w:rsid w:val="002D2DF8"/>
    <w:rsid w:val="002D71D1"/>
    <w:rsid w:val="002E127C"/>
    <w:rsid w:val="002E1AE5"/>
    <w:rsid w:val="002E1B5A"/>
    <w:rsid w:val="002E1D1A"/>
    <w:rsid w:val="002E3C8B"/>
    <w:rsid w:val="002E6614"/>
    <w:rsid w:val="002F01A2"/>
    <w:rsid w:val="002F0D7E"/>
    <w:rsid w:val="002F2D4F"/>
    <w:rsid w:val="002F42F5"/>
    <w:rsid w:val="002F4A32"/>
    <w:rsid w:val="002F5DF7"/>
    <w:rsid w:val="002F63E9"/>
    <w:rsid w:val="002F7680"/>
    <w:rsid w:val="003016A5"/>
    <w:rsid w:val="0030437C"/>
    <w:rsid w:val="00304839"/>
    <w:rsid w:val="00304C2A"/>
    <w:rsid w:val="00306519"/>
    <w:rsid w:val="0030705C"/>
    <w:rsid w:val="00307258"/>
    <w:rsid w:val="00307820"/>
    <w:rsid w:val="003101DF"/>
    <w:rsid w:val="003104CC"/>
    <w:rsid w:val="00310716"/>
    <w:rsid w:val="00310E0C"/>
    <w:rsid w:val="00312E35"/>
    <w:rsid w:val="00313524"/>
    <w:rsid w:val="00313B03"/>
    <w:rsid w:val="003142E7"/>
    <w:rsid w:val="0031521C"/>
    <w:rsid w:val="003172FD"/>
    <w:rsid w:val="0032350F"/>
    <w:rsid w:val="00323C4B"/>
    <w:rsid w:val="00323DF3"/>
    <w:rsid w:val="00326CE7"/>
    <w:rsid w:val="00326CE8"/>
    <w:rsid w:val="003272B2"/>
    <w:rsid w:val="00327587"/>
    <w:rsid w:val="00327737"/>
    <w:rsid w:val="00332874"/>
    <w:rsid w:val="003339E4"/>
    <w:rsid w:val="003357C6"/>
    <w:rsid w:val="0033657F"/>
    <w:rsid w:val="003365A6"/>
    <w:rsid w:val="00336BEE"/>
    <w:rsid w:val="00341AA2"/>
    <w:rsid w:val="003423FB"/>
    <w:rsid w:val="003428FF"/>
    <w:rsid w:val="0034331F"/>
    <w:rsid w:val="00344577"/>
    <w:rsid w:val="00345EDD"/>
    <w:rsid w:val="00350F06"/>
    <w:rsid w:val="003533FE"/>
    <w:rsid w:val="00353711"/>
    <w:rsid w:val="003541E0"/>
    <w:rsid w:val="00355605"/>
    <w:rsid w:val="0035566B"/>
    <w:rsid w:val="0036018E"/>
    <w:rsid w:val="003618E5"/>
    <w:rsid w:val="00361E1D"/>
    <w:rsid w:val="00362B8E"/>
    <w:rsid w:val="0036350D"/>
    <w:rsid w:val="003635BB"/>
    <w:rsid w:val="00366D78"/>
    <w:rsid w:val="003679B0"/>
    <w:rsid w:val="00367EDE"/>
    <w:rsid w:val="003708A8"/>
    <w:rsid w:val="00370A61"/>
    <w:rsid w:val="00371532"/>
    <w:rsid w:val="003716C5"/>
    <w:rsid w:val="00372BAC"/>
    <w:rsid w:val="00372BE5"/>
    <w:rsid w:val="00373663"/>
    <w:rsid w:val="0037367B"/>
    <w:rsid w:val="00376892"/>
    <w:rsid w:val="0038096B"/>
    <w:rsid w:val="00381717"/>
    <w:rsid w:val="00381DC4"/>
    <w:rsid w:val="00381E4A"/>
    <w:rsid w:val="003827DD"/>
    <w:rsid w:val="00382E00"/>
    <w:rsid w:val="00382F22"/>
    <w:rsid w:val="00383BF9"/>
    <w:rsid w:val="00384B3D"/>
    <w:rsid w:val="003900CF"/>
    <w:rsid w:val="0039023F"/>
    <w:rsid w:val="003906BE"/>
    <w:rsid w:val="00390FAC"/>
    <w:rsid w:val="00392A7B"/>
    <w:rsid w:val="003943AD"/>
    <w:rsid w:val="00394983"/>
    <w:rsid w:val="00395411"/>
    <w:rsid w:val="00396342"/>
    <w:rsid w:val="0039705F"/>
    <w:rsid w:val="003A0849"/>
    <w:rsid w:val="003A0C66"/>
    <w:rsid w:val="003A20BE"/>
    <w:rsid w:val="003A3A6E"/>
    <w:rsid w:val="003A56F8"/>
    <w:rsid w:val="003A6119"/>
    <w:rsid w:val="003B0877"/>
    <w:rsid w:val="003B0CEC"/>
    <w:rsid w:val="003B2750"/>
    <w:rsid w:val="003B3C68"/>
    <w:rsid w:val="003B4839"/>
    <w:rsid w:val="003B6F75"/>
    <w:rsid w:val="003C2BE6"/>
    <w:rsid w:val="003C4AB1"/>
    <w:rsid w:val="003C7F2F"/>
    <w:rsid w:val="003D0A61"/>
    <w:rsid w:val="003D135C"/>
    <w:rsid w:val="003D4AAF"/>
    <w:rsid w:val="003D5AC8"/>
    <w:rsid w:val="003E0132"/>
    <w:rsid w:val="003E0662"/>
    <w:rsid w:val="003E17F6"/>
    <w:rsid w:val="003E1E84"/>
    <w:rsid w:val="003E29F4"/>
    <w:rsid w:val="003E31C4"/>
    <w:rsid w:val="003E440B"/>
    <w:rsid w:val="003F4AB6"/>
    <w:rsid w:val="003F589A"/>
    <w:rsid w:val="003F6C82"/>
    <w:rsid w:val="003F72BA"/>
    <w:rsid w:val="003F7D18"/>
    <w:rsid w:val="003F7EA2"/>
    <w:rsid w:val="004002CF"/>
    <w:rsid w:val="00400506"/>
    <w:rsid w:val="00401208"/>
    <w:rsid w:val="00402F8C"/>
    <w:rsid w:val="00402FBC"/>
    <w:rsid w:val="00403DA8"/>
    <w:rsid w:val="00404A86"/>
    <w:rsid w:val="00405048"/>
    <w:rsid w:val="0040532C"/>
    <w:rsid w:val="0040536A"/>
    <w:rsid w:val="0040719F"/>
    <w:rsid w:val="00410DAF"/>
    <w:rsid w:val="00414744"/>
    <w:rsid w:val="00415AD8"/>
    <w:rsid w:val="004210D9"/>
    <w:rsid w:val="004212A4"/>
    <w:rsid w:val="00421F21"/>
    <w:rsid w:val="004227EB"/>
    <w:rsid w:val="00422917"/>
    <w:rsid w:val="00425B75"/>
    <w:rsid w:val="00426D12"/>
    <w:rsid w:val="00427800"/>
    <w:rsid w:val="00431A81"/>
    <w:rsid w:val="00433FAD"/>
    <w:rsid w:val="004351DF"/>
    <w:rsid w:val="004352DE"/>
    <w:rsid w:val="00435A14"/>
    <w:rsid w:val="0043641E"/>
    <w:rsid w:val="004364FB"/>
    <w:rsid w:val="00436980"/>
    <w:rsid w:val="004378AF"/>
    <w:rsid w:val="00437D41"/>
    <w:rsid w:val="00440AE7"/>
    <w:rsid w:val="00442670"/>
    <w:rsid w:val="0044267E"/>
    <w:rsid w:val="00442F1F"/>
    <w:rsid w:val="0044311E"/>
    <w:rsid w:val="004435B1"/>
    <w:rsid w:val="00443992"/>
    <w:rsid w:val="00444B08"/>
    <w:rsid w:val="0044766A"/>
    <w:rsid w:val="00447E01"/>
    <w:rsid w:val="00447E8A"/>
    <w:rsid w:val="00447EEF"/>
    <w:rsid w:val="00450556"/>
    <w:rsid w:val="0045056C"/>
    <w:rsid w:val="00451365"/>
    <w:rsid w:val="004520AE"/>
    <w:rsid w:val="0045211F"/>
    <w:rsid w:val="00453474"/>
    <w:rsid w:val="004616EF"/>
    <w:rsid w:val="004639B0"/>
    <w:rsid w:val="00463CE9"/>
    <w:rsid w:val="004649FE"/>
    <w:rsid w:val="004653C8"/>
    <w:rsid w:val="00466249"/>
    <w:rsid w:val="0047185F"/>
    <w:rsid w:val="00472EE8"/>
    <w:rsid w:val="004739CF"/>
    <w:rsid w:val="00473DC4"/>
    <w:rsid w:val="00474974"/>
    <w:rsid w:val="00475850"/>
    <w:rsid w:val="00476AD6"/>
    <w:rsid w:val="004800D1"/>
    <w:rsid w:val="00480D9E"/>
    <w:rsid w:val="0048137E"/>
    <w:rsid w:val="00481436"/>
    <w:rsid w:val="0048234E"/>
    <w:rsid w:val="00486884"/>
    <w:rsid w:val="00486B34"/>
    <w:rsid w:val="00486BE2"/>
    <w:rsid w:val="00487A11"/>
    <w:rsid w:val="004905C3"/>
    <w:rsid w:val="00491727"/>
    <w:rsid w:val="00495342"/>
    <w:rsid w:val="00496AEF"/>
    <w:rsid w:val="004A00EE"/>
    <w:rsid w:val="004A023E"/>
    <w:rsid w:val="004A10DA"/>
    <w:rsid w:val="004A18F3"/>
    <w:rsid w:val="004A2957"/>
    <w:rsid w:val="004A4736"/>
    <w:rsid w:val="004A685D"/>
    <w:rsid w:val="004A7A37"/>
    <w:rsid w:val="004B02D1"/>
    <w:rsid w:val="004B0A22"/>
    <w:rsid w:val="004B3980"/>
    <w:rsid w:val="004B4195"/>
    <w:rsid w:val="004B45EB"/>
    <w:rsid w:val="004B4885"/>
    <w:rsid w:val="004B4C08"/>
    <w:rsid w:val="004B553F"/>
    <w:rsid w:val="004B634B"/>
    <w:rsid w:val="004B65B6"/>
    <w:rsid w:val="004B69A1"/>
    <w:rsid w:val="004B75A9"/>
    <w:rsid w:val="004B7F84"/>
    <w:rsid w:val="004C0043"/>
    <w:rsid w:val="004C09EC"/>
    <w:rsid w:val="004C10B5"/>
    <w:rsid w:val="004C1738"/>
    <w:rsid w:val="004C2F11"/>
    <w:rsid w:val="004C3539"/>
    <w:rsid w:val="004C432C"/>
    <w:rsid w:val="004C51B0"/>
    <w:rsid w:val="004C6B43"/>
    <w:rsid w:val="004C6D53"/>
    <w:rsid w:val="004C798A"/>
    <w:rsid w:val="004D154C"/>
    <w:rsid w:val="004D4B73"/>
    <w:rsid w:val="004D6046"/>
    <w:rsid w:val="004D7E5E"/>
    <w:rsid w:val="004E2C98"/>
    <w:rsid w:val="004E5521"/>
    <w:rsid w:val="004E684C"/>
    <w:rsid w:val="004E6BFD"/>
    <w:rsid w:val="004E7360"/>
    <w:rsid w:val="004E784B"/>
    <w:rsid w:val="004E78F7"/>
    <w:rsid w:val="004F005C"/>
    <w:rsid w:val="004F17FC"/>
    <w:rsid w:val="004F19F8"/>
    <w:rsid w:val="004F2133"/>
    <w:rsid w:val="004F263D"/>
    <w:rsid w:val="004F2948"/>
    <w:rsid w:val="004F3BB5"/>
    <w:rsid w:val="004F3FA7"/>
    <w:rsid w:val="004F4006"/>
    <w:rsid w:val="004F444C"/>
    <w:rsid w:val="004F4A3C"/>
    <w:rsid w:val="004F58BB"/>
    <w:rsid w:val="004F597D"/>
    <w:rsid w:val="004F71AA"/>
    <w:rsid w:val="004F7519"/>
    <w:rsid w:val="00500375"/>
    <w:rsid w:val="005020AF"/>
    <w:rsid w:val="00502C21"/>
    <w:rsid w:val="00503F2D"/>
    <w:rsid w:val="00504C87"/>
    <w:rsid w:val="00504DDA"/>
    <w:rsid w:val="00506590"/>
    <w:rsid w:val="00507248"/>
    <w:rsid w:val="00510247"/>
    <w:rsid w:val="005124A3"/>
    <w:rsid w:val="00515589"/>
    <w:rsid w:val="00515AD0"/>
    <w:rsid w:val="005166EB"/>
    <w:rsid w:val="00521233"/>
    <w:rsid w:val="00521857"/>
    <w:rsid w:val="00521F87"/>
    <w:rsid w:val="005252F7"/>
    <w:rsid w:val="00525FAE"/>
    <w:rsid w:val="005264AA"/>
    <w:rsid w:val="00526B63"/>
    <w:rsid w:val="005273CD"/>
    <w:rsid w:val="00530F72"/>
    <w:rsid w:val="005334F7"/>
    <w:rsid w:val="005343F8"/>
    <w:rsid w:val="00534B4A"/>
    <w:rsid w:val="005359C4"/>
    <w:rsid w:val="00535C24"/>
    <w:rsid w:val="00535C9C"/>
    <w:rsid w:val="00535FEB"/>
    <w:rsid w:val="00536442"/>
    <w:rsid w:val="00540A8A"/>
    <w:rsid w:val="00542AB6"/>
    <w:rsid w:val="00544ED2"/>
    <w:rsid w:val="00546241"/>
    <w:rsid w:val="00552258"/>
    <w:rsid w:val="00552809"/>
    <w:rsid w:val="0055443D"/>
    <w:rsid w:val="0055599A"/>
    <w:rsid w:val="00556B36"/>
    <w:rsid w:val="00557309"/>
    <w:rsid w:val="005577EA"/>
    <w:rsid w:val="00560458"/>
    <w:rsid w:val="005637C0"/>
    <w:rsid w:val="00563A66"/>
    <w:rsid w:val="00563C63"/>
    <w:rsid w:val="0056426E"/>
    <w:rsid w:val="005642BE"/>
    <w:rsid w:val="00566C01"/>
    <w:rsid w:val="00567EA2"/>
    <w:rsid w:val="0057171A"/>
    <w:rsid w:val="0057234B"/>
    <w:rsid w:val="00572667"/>
    <w:rsid w:val="0057379A"/>
    <w:rsid w:val="00573B17"/>
    <w:rsid w:val="00574356"/>
    <w:rsid w:val="0057489F"/>
    <w:rsid w:val="00575220"/>
    <w:rsid w:val="00575E6D"/>
    <w:rsid w:val="00576EDE"/>
    <w:rsid w:val="00580FD5"/>
    <w:rsid w:val="0058363C"/>
    <w:rsid w:val="00585090"/>
    <w:rsid w:val="00585F52"/>
    <w:rsid w:val="00586780"/>
    <w:rsid w:val="005968FC"/>
    <w:rsid w:val="00597FA9"/>
    <w:rsid w:val="005A3205"/>
    <w:rsid w:val="005A3FC2"/>
    <w:rsid w:val="005A41EE"/>
    <w:rsid w:val="005A4676"/>
    <w:rsid w:val="005A542F"/>
    <w:rsid w:val="005A57F3"/>
    <w:rsid w:val="005A7BD6"/>
    <w:rsid w:val="005B02F6"/>
    <w:rsid w:val="005B06C1"/>
    <w:rsid w:val="005B202B"/>
    <w:rsid w:val="005B2039"/>
    <w:rsid w:val="005B20F5"/>
    <w:rsid w:val="005B244F"/>
    <w:rsid w:val="005B41E3"/>
    <w:rsid w:val="005B5DF6"/>
    <w:rsid w:val="005B6EFF"/>
    <w:rsid w:val="005C1288"/>
    <w:rsid w:val="005C1BD4"/>
    <w:rsid w:val="005C2C97"/>
    <w:rsid w:val="005C448A"/>
    <w:rsid w:val="005C4B0B"/>
    <w:rsid w:val="005C4B64"/>
    <w:rsid w:val="005C4C32"/>
    <w:rsid w:val="005C6588"/>
    <w:rsid w:val="005C6BFD"/>
    <w:rsid w:val="005C727E"/>
    <w:rsid w:val="005D1730"/>
    <w:rsid w:val="005D1946"/>
    <w:rsid w:val="005D2C37"/>
    <w:rsid w:val="005D2E1E"/>
    <w:rsid w:val="005D68BF"/>
    <w:rsid w:val="005D69D0"/>
    <w:rsid w:val="005D6EC8"/>
    <w:rsid w:val="005D70A8"/>
    <w:rsid w:val="005E0234"/>
    <w:rsid w:val="005E2F9D"/>
    <w:rsid w:val="005E53B7"/>
    <w:rsid w:val="005E68F6"/>
    <w:rsid w:val="005E7C47"/>
    <w:rsid w:val="005F1A92"/>
    <w:rsid w:val="005F410E"/>
    <w:rsid w:val="005F46B1"/>
    <w:rsid w:val="005F4814"/>
    <w:rsid w:val="005F58B3"/>
    <w:rsid w:val="005F68A5"/>
    <w:rsid w:val="005F694D"/>
    <w:rsid w:val="005F69AE"/>
    <w:rsid w:val="005F6A17"/>
    <w:rsid w:val="005F792C"/>
    <w:rsid w:val="005F7F46"/>
    <w:rsid w:val="0060026B"/>
    <w:rsid w:val="006010A2"/>
    <w:rsid w:val="00601241"/>
    <w:rsid w:val="00601BA9"/>
    <w:rsid w:val="00603380"/>
    <w:rsid w:val="0061257A"/>
    <w:rsid w:val="00612CBD"/>
    <w:rsid w:val="00612EE8"/>
    <w:rsid w:val="006138B5"/>
    <w:rsid w:val="00614FFF"/>
    <w:rsid w:val="00617A5E"/>
    <w:rsid w:val="00621894"/>
    <w:rsid w:val="0062445A"/>
    <w:rsid w:val="00624DA4"/>
    <w:rsid w:val="00625FAC"/>
    <w:rsid w:val="0062795C"/>
    <w:rsid w:val="00630E52"/>
    <w:rsid w:val="00631C9B"/>
    <w:rsid w:val="00632C3C"/>
    <w:rsid w:val="00632F23"/>
    <w:rsid w:val="00633B04"/>
    <w:rsid w:val="006343C4"/>
    <w:rsid w:val="00637461"/>
    <w:rsid w:val="00637643"/>
    <w:rsid w:val="00641558"/>
    <w:rsid w:val="00642B61"/>
    <w:rsid w:val="00644C02"/>
    <w:rsid w:val="00644C31"/>
    <w:rsid w:val="006459E4"/>
    <w:rsid w:val="006464E7"/>
    <w:rsid w:val="006464EE"/>
    <w:rsid w:val="006467D2"/>
    <w:rsid w:val="006479DC"/>
    <w:rsid w:val="00651182"/>
    <w:rsid w:val="00652394"/>
    <w:rsid w:val="00653706"/>
    <w:rsid w:val="006578A3"/>
    <w:rsid w:val="00661D48"/>
    <w:rsid w:val="006620D7"/>
    <w:rsid w:val="0066335F"/>
    <w:rsid w:val="00663575"/>
    <w:rsid w:val="00664A1D"/>
    <w:rsid w:val="00664E73"/>
    <w:rsid w:val="00665E64"/>
    <w:rsid w:val="006665F6"/>
    <w:rsid w:val="0066665B"/>
    <w:rsid w:val="00666C15"/>
    <w:rsid w:val="006715D8"/>
    <w:rsid w:val="0067357F"/>
    <w:rsid w:val="00674D59"/>
    <w:rsid w:val="006758D1"/>
    <w:rsid w:val="0067694A"/>
    <w:rsid w:val="00676B73"/>
    <w:rsid w:val="00676D51"/>
    <w:rsid w:val="0067729B"/>
    <w:rsid w:val="00677622"/>
    <w:rsid w:val="006817DD"/>
    <w:rsid w:val="00682BD5"/>
    <w:rsid w:val="00684C9F"/>
    <w:rsid w:val="00685434"/>
    <w:rsid w:val="00685689"/>
    <w:rsid w:val="00685AFA"/>
    <w:rsid w:val="00685C33"/>
    <w:rsid w:val="00687EFC"/>
    <w:rsid w:val="00687F78"/>
    <w:rsid w:val="00692CC1"/>
    <w:rsid w:val="00693132"/>
    <w:rsid w:val="00694015"/>
    <w:rsid w:val="00694741"/>
    <w:rsid w:val="00696693"/>
    <w:rsid w:val="006A09E7"/>
    <w:rsid w:val="006A15C7"/>
    <w:rsid w:val="006A1EF1"/>
    <w:rsid w:val="006A491B"/>
    <w:rsid w:val="006A6C78"/>
    <w:rsid w:val="006A7CF8"/>
    <w:rsid w:val="006B1B00"/>
    <w:rsid w:val="006B21B6"/>
    <w:rsid w:val="006B58E7"/>
    <w:rsid w:val="006B6520"/>
    <w:rsid w:val="006B6C09"/>
    <w:rsid w:val="006B797D"/>
    <w:rsid w:val="006B7D2A"/>
    <w:rsid w:val="006C0B2B"/>
    <w:rsid w:val="006C14C2"/>
    <w:rsid w:val="006C19A0"/>
    <w:rsid w:val="006C1C54"/>
    <w:rsid w:val="006C298D"/>
    <w:rsid w:val="006C305C"/>
    <w:rsid w:val="006C3F32"/>
    <w:rsid w:val="006C50B8"/>
    <w:rsid w:val="006D05B2"/>
    <w:rsid w:val="006D2162"/>
    <w:rsid w:val="006D3390"/>
    <w:rsid w:val="006D3A08"/>
    <w:rsid w:val="006D4AE0"/>
    <w:rsid w:val="006D4DDA"/>
    <w:rsid w:val="006D66C9"/>
    <w:rsid w:val="006D6FAC"/>
    <w:rsid w:val="006E01EA"/>
    <w:rsid w:val="006E3325"/>
    <w:rsid w:val="006E3857"/>
    <w:rsid w:val="006F0660"/>
    <w:rsid w:val="006F0778"/>
    <w:rsid w:val="006F195F"/>
    <w:rsid w:val="006F33AE"/>
    <w:rsid w:val="006F4242"/>
    <w:rsid w:val="00700483"/>
    <w:rsid w:val="00700513"/>
    <w:rsid w:val="00700667"/>
    <w:rsid w:val="00700C69"/>
    <w:rsid w:val="0070296A"/>
    <w:rsid w:val="00703D38"/>
    <w:rsid w:val="007061DB"/>
    <w:rsid w:val="00707282"/>
    <w:rsid w:val="007102E0"/>
    <w:rsid w:val="00712ADB"/>
    <w:rsid w:val="0071519D"/>
    <w:rsid w:val="007219B8"/>
    <w:rsid w:val="0072299E"/>
    <w:rsid w:val="00722BF1"/>
    <w:rsid w:val="007231BE"/>
    <w:rsid w:val="007240C3"/>
    <w:rsid w:val="00725657"/>
    <w:rsid w:val="007257F1"/>
    <w:rsid w:val="00726736"/>
    <w:rsid w:val="0072680A"/>
    <w:rsid w:val="00726C5C"/>
    <w:rsid w:val="0073152E"/>
    <w:rsid w:val="007318DA"/>
    <w:rsid w:val="00732D95"/>
    <w:rsid w:val="007340C0"/>
    <w:rsid w:val="00735F67"/>
    <w:rsid w:val="00736745"/>
    <w:rsid w:val="00740EA0"/>
    <w:rsid w:val="00741C17"/>
    <w:rsid w:val="00744214"/>
    <w:rsid w:val="007456A6"/>
    <w:rsid w:val="00745FF3"/>
    <w:rsid w:val="00746150"/>
    <w:rsid w:val="0074645C"/>
    <w:rsid w:val="00746B5E"/>
    <w:rsid w:val="00750F6E"/>
    <w:rsid w:val="00751611"/>
    <w:rsid w:val="0075287F"/>
    <w:rsid w:val="00752BED"/>
    <w:rsid w:val="00752D50"/>
    <w:rsid w:val="00753E89"/>
    <w:rsid w:val="0075623B"/>
    <w:rsid w:val="0075686E"/>
    <w:rsid w:val="00756F7A"/>
    <w:rsid w:val="00763754"/>
    <w:rsid w:val="007637DA"/>
    <w:rsid w:val="00765BCC"/>
    <w:rsid w:val="0076747F"/>
    <w:rsid w:val="00770230"/>
    <w:rsid w:val="007710E4"/>
    <w:rsid w:val="00771460"/>
    <w:rsid w:val="00772404"/>
    <w:rsid w:val="00775F3D"/>
    <w:rsid w:val="00776B9E"/>
    <w:rsid w:val="0078014B"/>
    <w:rsid w:val="0078056B"/>
    <w:rsid w:val="00782636"/>
    <w:rsid w:val="007835A0"/>
    <w:rsid w:val="00784737"/>
    <w:rsid w:val="007853D9"/>
    <w:rsid w:val="0078624E"/>
    <w:rsid w:val="00790847"/>
    <w:rsid w:val="00791671"/>
    <w:rsid w:val="00793043"/>
    <w:rsid w:val="00793DFD"/>
    <w:rsid w:val="00796B6B"/>
    <w:rsid w:val="007A013B"/>
    <w:rsid w:val="007A0C49"/>
    <w:rsid w:val="007A1096"/>
    <w:rsid w:val="007A18E0"/>
    <w:rsid w:val="007A239B"/>
    <w:rsid w:val="007A4357"/>
    <w:rsid w:val="007A553B"/>
    <w:rsid w:val="007B084A"/>
    <w:rsid w:val="007B1333"/>
    <w:rsid w:val="007B2421"/>
    <w:rsid w:val="007B305E"/>
    <w:rsid w:val="007B3EA1"/>
    <w:rsid w:val="007B6084"/>
    <w:rsid w:val="007C01DE"/>
    <w:rsid w:val="007C0876"/>
    <w:rsid w:val="007C1B21"/>
    <w:rsid w:val="007C4830"/>
    <w:rsid w:val="007C4AF5"/>
    <w:rsid w:val="007C533F"/>
    <w:rsid w:val="007C5D2E"/>
    <w:rsid w:val="007C7645"/>
    <w:rsid w:val="007D0F91"/>
    <w:rsid w:val="007D2E01"/>
    <w:rsid w:val="007D3E58"/>
    <w:rsid w:val="007D4F95"/>
    <w:rsid w:val="007D57FB"/>
    <w:rsid w:val="007D7784"/>
    <w:rsid w:val="007E098E"/>
    <w:rsid w:val="007E0E04"/>
    <w:rsid w:val="007E2631"/>
    <w:rsid w:val="007E2830"/>
    <w:rsid w:val="007E3161"/>
    <w:rsid w:val="007E40FD"/>
    <w:rsid w:val="007E42ED"/>
    <w:rsid w:val="007E4E5E"/>
    <w:rsid w:val="007E7251"/>
    <w:rsid w:val="007E7C87"/>
    <w:rsid w:val="007E7E50"/>
    <w:rsid w:val="007E7F6B"/>
    <w:rsid w:val="007F1E20"/>
    <w:rsid w:val="007F22C8"/>
    <w:rsid w:val="007F2A6E"/>
    <w:rsid w:val="007F2B7A"/>
    <w:rsid w:val="007F4401"/>
    <w:rsid w:val="007F5242"/>
    <w:rsid w:val="007F58E1"/>
    <w:rsid w:val="007F6D69"/>
    <w:rsid w:val="007F71AD"/>
    <w:rsid w:val="007F7981"/>
    <w:rsid w:val="00802393"/>
    <w:rsid w:val="00804C8D"/>
    <w:rsid w:val="008054BA"/>
    <w:rsid w:val="00805610"/>
    <w:rsid w:val="008059A4"/>
    <w:rsid w:val="00805FFE"/>
    <w:rsid w:val="008071FE"/>
    <w:rsid w:val="00807547"/>
    <w:rsid w:val="00807590"/>
    <w:rsid w:val="008078D9"/>
    <w:rsid w:val="008111C6"/>
    <w:rsid w:val="008113D3"/>
    <w:rsid w:val="00811543"/>
    <w:rsid w:val="00811C9A"/>
    <w:rsid w:val="00811DB2"/>
    <w:rsid w:val="0081296B"/>
    <w:rsid w:val="008132B5"/>
    <w:rsid w:val="00813A45"/>
    <w:rsid w:val="00814B32"/>
    <w:rsid w:val="00815563"/>
    <w:rsid w:val="0081573A"/>
    <w:rsid w:val="00820584"/>
    <w:rsid w:val="0082201B"/>
    <w:rsid w:val="008236A2"/>
    <w:rsid w:val="0082444B"/>
    <w:rsid w:val="00827AE8"/>
    <w:rsid w:val="00830367"/>
    <w:rsid w:val="00831A47"/>
    <w:rsid w:val="0083226A"/>
    <w:rsid w:val="00832400"/>
    <w:rsid w:val="0083240D"/>
    <w:rsid w:val="00833451"/>
    <w:rsid w:val="0083609C"/>
    <w:rsid w:val="00836F2F"/>
    <w:rsid w:val="00840299"/>
    <w:rsid w:val="00840562"/>
    <w:rsid w:val="00841423"/>
    <w:rsid w:val="00844DD8"/>
    <w:rsid w:val="008451BA"/>
    <w:rsid w:val="00845B29"/>
    <w:rsid w:val="00845CA2"/>
    <w:rsid w:val="00847024"/>
    <w:rsid w:val="008477EC"/>
    <w:rsid w:val="00847D73"/>
    <w:rsid w:val="00847F13"/>
    <w:rsid w:val="00850B39"/>
    <w:rsid w:val="00850FBB"/>
    <w:rsid w:val="00851073"/>
    <w:rsid w:val="00851991"/>
    <w:rsid w:val="00852868"/>
    <w:rsid w:val="008606D1"/>
    <w:rsid w:val="00862855"/>
    <w:rsid w:val="00862DDF"/>
    <w:rsid w:val="00863A35"/>
    <w:rsid w:val="00863A3B"/>
    <w:rsid w:val="00864D7E"/>
    <w:rsid w:val="00864E44"/>
    <w:rsid w:val="00867999"/>
    <w:rsid w:val="008702DB"/>
    <w:rsid w:val="008712C9"/>
    <w:rsid w:val="0087628F"/>
    <w:rsid w:val="008776AF"/>
    <w:rsid w:val="00880E27"/>
    <w:rsid w:val="0088120A"/>
    <w:rsid w:val="00881ADC"/>
    <w:rsid w:val="00882D20"/>
    <w:rsid w:val="00883380"/>
    <w:rsid w:val="00883A78"/>
    <w:rsid w:val="00884AE0"/>
    <w:rsid w:val="00884D90"/>
    <w:rsid w:val="00884E39"/>
    <w:rsid w:val="00886BA7"/>
    <w:rsid w:val="00887536"/>
    <w:rsid w:val="00887920"/>
    <w:rsid w:val="00890ED8"/>
    <w:rsid w:val="00892AD5"/>
    <w:rsid w:val="008939FC"/>
    <w:rsid w:val="00894197"/>
    <w:rsid w:val="00896E4A"/>
    <w:rsid w:val="008972C5"/>
    <w:rsid w:val="008972D6"/>
    <w:rsid w:val="00897540"/>
    <w:rsid w:val="008A0112"/>
    <w:rsid w:val="008A07A6"/>
    <w:rsid w:val="008A193B"/>
    <w:rsid w:val="008A1EB0"/>
    <w:rsid w:val="008A2FCF"/>
    <w:rsid w:val="008A44C2"/>
    <w:rsid w:val="008A522E"/>
    <w:rsid w:val="008A5FA2"/>
    <w:rsid w:val="008A6345"/>
    <w:rsid w:val="008A6A7A"/>
    <w:rsid w:val="008A7637"/>
    <w:rsid w:val="008A7E70"/>
    <w:rsid w:val="008B13F8"/>
    <w:rsid w:val="008B481A"/>
    <w:rsid w:val="008B6CEC"/>
    <w:rsid w:val="008B6FAD"/>
    <w:rsid w:val="008B7E3F"/>
    <w:rsid w:val="008C016E"/>
    <w:rsid w:val="008C026C"/>
    <w:rsid w:val="008C0ECF"/>
    <w:rsid w:val="008C1EE2"/>
    <w:rsid w:val="008C3313"/>
    <w:rsid w:val="008C4C11"/>
    <w:rsid w:val="008C6AFB"/>
    <w:rsid w:val="008D0AD3"/>
    <w:rsid w:val="008D0F8E"/>
    <w:rsid w:val="008D253A"/>
    <w:rsid w:val="008D2746"/>
    <w:rsid w:val="008D488B"/>
    <w:rsid w:val="008D5A2E"/>
    <w:rsid w:val="008D6B8F"/>
    <w:rsid w:val="008D72A1"/>
    <w:rsid w:val="008D795F"/>
    <w:rsid w:val="008E1545"/>
    <w:rsid w:val="008E1BD8"/>
    <w:rsid w:val="008E3670"/>
    <w:rsid w:val="008E3DCD"/>
    <w:rsid w:val="008E425B"/>
    <w:rsid w:val="008E657A"/>
    <w:rsid w:val="008F06DC"/>
    <w:rsid w:val="008F1E63"/>
    <w:rsid w:val="008F315F"/>
    <w:rsid w:val="008F3AEF"/>
    <w:rsid w:val="008F504F"/>
    <w:rsid w:val="008F55F6"/>
    <w:rsid w:val="00902CAF"/>
    <w:rsid w:val="00903161"/>
    <w:rsid w:val="0090420E"/>
    <w:rsid w:val="00904646"/>
    <w:rsid w:val="009066F8"/>
    <w:rsid w:val="00911AD2"/>
    <w:rsid w:val="009135E9"/>
    <w:rsid w:val="0091549B"/>
    <w:rsid w:val="00916134"/>
    <w:rsid w:val="0091713F"/>
    <w:rsid w:val="0091717A"/>
    <w:rsid w:val="009175A9"/>
    <w:rsid w:val="00917E84"/>
    <w:rsid w:val="009206B3"/>
    <w:rsid w:val="009207A9"/>
    <w:rsid w:val="00920854"/>
    <w:rsid w:val="009208B1"/>
    <w:rsid w:val="00920A40"/>
    <w:rsid w:val="00920B81"/>
    <w:rsid w:val="0092452A"/>
    <w:rsid w:val="009258CC"/>
    <w:rsid w:val="00925FAA"/>
    <w:rsid w:val="00926168"/>
    <w:rsid w:val="00926523"/>
    <w:rsid w:val="00926662"/>
    <w:rsid w:val="009267F7"/>
    <w:rsid w:val="00930262"/>
    <w:rsid w:val="00930F96"/>
    <w:rsid w:val="0093248C"/>
    <w:rsid w:val="00932739"/>
    <w:rsid w:val="00935E7D"/>
    <w:rsid w:val="00935FB8"/>
    <w:rsid w:val="0093741C"/>
    <w:rsid w:val="00937485"/>
    <w:rsid w:val="00937F18"/>
    <w:rsid w:val="009402C5"/>
    <w:rsid w:val="009415D9"/>
    <w:rsid w:val="00943852"/>
    <w:rsid w:val="00943996"/>
    <w:rsid w:val="009477CD"/>
    <w:rsid w:val="00951772"/>
    <w:rsid w:val="00951A20"/>
    <w:rsid w:val="00952AE3"/>
    <w:rsid w:val="00952ED4"/>
    <w:rsid w:val="009539A7"/>
    <w:rsid w:val="00955BF8"/>
    <w:rsid w:val="00955C72"/>
    <w:rsid w:val="0095683C"/>
    <w:rsid w:val="00957157"/>
    <w:rsid w:val="00960FC6"/>
    <w:rsid w:val="00964225"/>
    <w:rsid w:val="009667DB"/>
    <w:rsid w:val="009701B6"/>
    <w:rsid w:val="00971213"/>
    <w:rsid w:val="00971957"/>
    <w:rsid w:val="00971971"/>
    <w:rsid w:val="00973DB6"/>
    <w:rsid w:val="009744C8"/>
    <w:rsid w:val="00974D3B"/>
    <w:rsid w:val="00975351"/>
    <w:rsid w:val="009753A2"/>
    <w:rsid w:val="00976F7F"/>
    <w:rsid w:val="009771C5"/>
    <w:rsid w:val="00977C32"/>
    <w:rsid w:val="00984132"/>
    <w:rsid w:val="009864D8"/>
    <w:rsid w:val="00986FA0"/>
    <w:rsid w:val="0098713F"/>
    <w:rsid w:val="009872E7"/>
    <w:rsid w:val="00990846"/>
    <w:rsid w:val="00992CEA"/>
    <w:rsid w:val="00993B1D"/>
    <w:rsid w:val="0099412B"/>
    <w:rsid w:val="00994BCE"/>
    <w:rsid w:val="00994E0A"/>
    <w:rsid w:val="0099573C"/>
    <w:rsid w:val="009963E3"/>
    <w:rsid w:val="009968FE"/>
    <w:rsid w:val="00996D48"/>
    <w:rsid w:val="00996E9E"/>
    <w:rsid w:val="0099799A"/>
    <w:rsid w:val="009A1623"/>
    <w:rsid w:val="009A38EA"/>
    <w:rsid w:val="009A4578"/>
    <w:rsid w:val="009A4FDD"/>
    <w:rsid w:val="009A5F35"/>
    <w:rsid w:val="009A67C4"/>
    <w:rsid w:val="009A6C6F"/>
    <w:rsid w:val="009A6F16"/>
    <w:rsid w:val="009A7BCA"/>
    <w:rsid w:val="009B2503"/>
    <w:rsid w:val="009B2916"/>
    <w:rsid w:val="009B34F2"/>
    <w:rsid w:val="009B3CA2"/>
    <w:rsid w:val="009B4D41"/>
    <w:rsid w:val="009B693C"/>
    <w:rsid w:val="009C1208"/>
    <w:rsid w:val="009C1A8D"/>
    <w:rsid w:val="009C2881"/>
    <w:rsid w:val="009C3229"/>
    <w:rsid w:val="009C3F77"/>
    <w:rsid w:val="009C5CF1"/>
    <w:rsid w:val="009C7631"/>
    <w:rsid w:val="009D272A"/>
    <w:rsid w:val="009D3FCE"/>
    <w:rsid w:val="009D41FD"/>
    <w:rsid w:val="009D4536"/>
    <w:rsid w:val="009D469D"/>
    <w:rsid w:val="009D46E2"/>
    <w:rsid w:val="009D4949"/>
    <w:rsid w:val="009E0C8A"/>
    <w:rsid w:val="009E10F0"/>
    <w:rsid w:val="009E19F6"/>
    <w:rsid w:val="009E3DA5"/>
    <w:rsid w:val="009E4315"/>
    <w:rsid w:val="009E699B"/>
    <w:rsid w:val="009E6F55"/>
    <w:rsid w:val="009E7273"/>
    <w:rsid w:val="009E72B1"/>
    <w:rsid w:val="009F18D3"/>
    <w:rsid w:val="009F1DA3"/>
    <w:rsid w:val="009F1DC8"/>
    <w:rsid w:val="009F3266"/>
    <w:rsid w:val="009F4469"/>
    <w:rsid w:val="009F5FA8"/>
    <w:rsid w:val="00A00A8C"/>
    <w:rsid w:val="00A052F0"/>
    <w:rsid w:val="00A079B1"/>
    <w:rsid w:val="00A101D9"/>
    <w:rsid w:val="00A1209F"/>
    <w:rsid w:val="00A13060"/>
    <w:rsid w:val="00A14767"/>
    <w:rsid w:val="00A20945"/>
    <w:rsid w:val="00A20CE7"/>
    <w:rsid w:val="00A21A72"/>
    <w:rsid w:val="00A248F7"/>
    <w:rsid w:val="00A25B8F"/>
    <w:rsid w:val="00A267A5"/>
    <w:rsid w:val="00A26DE7"/>
    <w:rsid w:val="00A27294"/>
    <w:rsid w:val="00A3284B"/>
    <w:rsid w:val="00A33CEC"/>
    <w:rsid w:val="00A343AC"/>
    <w:rsid w:val="00A37DB1"/>
    <w:rsid w:val="00A407E6"/>
    <w:rsid w:val="00A41DF5"/>
    <w:rsid w:val="00A42249"/>
    <w:rsid w:val="00A4248D"/>
    <w:rsid w:val="00A4293F"/>
    <w:rsid w:val="00A436D0"/>
    <w:rsid w:val="00A437FC"/>
    <w:rsid w:val="00A4399F"/>
    <w:rsid w:val="00A450D1"/>
    <w:rsid w:val="00A4754D"/>
    <w:rsid w:val="00A477B0"/>
    <w:rsid w:val="00A47A97"/>
    <w:rsid w:val="00A50B12"/>
    <w:rsid w:val="00A50C94"/>
    <w:rsid w:val="00A51A29"/>
    <w:rsid w:val="00A54CFF"/>
    <w:rsid w:val="00A5551F"/>
    <w:rsid w:val="00A55A0A"/>
    <w:rsid w:val="00A55D4E"/>
    <w:rsid w:val="00A56DCA"/>
    <w:rsid w:val="00A576B4"/>
    <w:rsid w:val="00A61692"/>
    <w:rsid w:val="00A6220E"/>
    <w:rsid w:val="00A64F96"/>
    <w:rsid w:val="00A65081"/>
    <w:rsid w:val="00A65556"/>
    <w:rsid w:val="00A65E56"/>
    <w:rsid w:val="00A67E1C"/>
    <w:rsid w:val="00A73BE6"/>
    <w:rsid w:val="00A73F1B"/>
    <w:rsid w:val="00A75B93"/>
    <w:rsid w:val="00A8266C"/>
    <w:rsid w:val="00A82C24"/>
    <w:rsid w:val="00A84531"/>
    <w:rsid w:val="00A869E5"/>
    <w:rsid w:val="00A86A26"/>
    <w:rsid w:val="00A91497"/>
    <w:rsid w:val="00A93FBC"/>
    <w:rsid w:val="00A97B7C"/>
    <w:rsid w:val="00AA047F"/>
    <w:rsid w:val="00AA1A2F"/>
    <w:rsid w:val="00AA2B45"/>
    <w:rsid w:val="00AA2DE4"/>
    <w:rsid w:val="00AA649F"/>
    <w:rsid w:val="00AB01A4"/>
    <w:rsid w:val="00AB0C17"/>
    <w:rsid w:val="00AB0D19"/>
    <w:rsid w:val="00AB0F85"/>
    <w:rsid w:val="00AB1293"/>
    <w:rsid w:val="00AB1BAE"/>
    <w:rsid w:val="00AB3726"/>
    <w:rsid w:val="00AB3A18"/>
    <w:rsid w:val="00AC1743"/>
    <w:rsid w:val="00AC447D"/>
    <w:rsid w:val="00AC5B15"/>
    <w:rsid w:val="00AC6483"/>
    <w:rsid w:val="00AC6DE8"/>
    <w:rsid w:val="00AC7362"/>
    <w:rsid w:val="00AC7DBC"/>
    <w:rsid w:val="00AD07C6"/>
    <w:rsid w:val="00AD0D24"/>
    <w:rsid w:val="00AD0FF4"/>
    <w:rsid w:val="00AD19BC"/>
    <w:rsid w:val="00AD286A"/>
    <w:rsid w:val="00AD310D"/>
    <w:rsid w:val="00AD5511"/>
    <w:rsid w:val="00AD6501"/>
    <w:rsid w:val="00AD73FB"/>
    <w:rsid w:val="00AD780D"/>
    <w:rsid w:val="00AE1009"/>
    <w:rsid w:val="00AE2F4E"/>
    <w:rsid w:val="00AE3670"/>
    <w:rsid w:val="00AE5199"/>
    <w:rsid w:val="00AE52DC"/>
    <w:rsid w:val="00AE5BEB"/>
    <w:rsid w:val="00AE7AB9"/>
    <w:rsid w:val="00AF0FFB"/>
    <w:rsid w:val="00AF18BB"/>
    <w:rsid w:val="00AF3F44"/>
    <w:rsid w:val="00AF47B4"/>
    <w:rsid w:val="00AF491F"/>
    <w:rsid w:val="00AF4EB9"/>
    <w:rsid w:val="00AF5FEA"/>
    <w:rsid w:val="00AF6007"/>
    <w:rsid w:val="00AF69D9"/>
    <w:rsid w:val="00AF70B5"/>
    <w:rsid w:val="00AF762F"/>
    <w:rsid w:val="00AF788D"/>
    <w:rsid w:val="00AF7961"/>
    <w:rsid w:val="00B002AA"/>
    <w:rsid w:val="00B002F8"/>
    <w:rsid w:val="00B013E3"/>
    <w:rsid w:val="00B0172D"/>
    <w:rsid w:val="00B01AC0"/>
    <w:rsid w:val="00B03155"/>
    <w:rsid w:val="00B04DF6"/>
    <w:rsid w:val="00B053D6"/>
    <w:rsid w:val="00B0566B"/>
    <w:rsid w:val="00B05A7F"/>
    <w:rsid w:val="00B11F3D"/>
    <w:rsid w:val="00B12FFC"/>
    <w:rsid w:val="00B16048"/>
    <w:rsid w:val="00B1741E"/>
    <w:rsid w:val="00B21B25"/>
    <w:rsid w:val="00B23AA7"/>
    <w:rsid w:val="00B25BEF"/>
    <w:rsid w:val="00B30001"/>
    <w:rsid w:val="00B30F0D"/>
    <w:rsid w:val="00B30F68"/>
    <w:rsid w:val="00B32115"/>
    <w:rsid w:val="00B35BC0"/>
    <w:rsid w:val="00B36859"/>
    <w:rsid w:val="00B37749"/>
    <w:rsid w:val="00B37B0F"/>
    <w:rsid w:val="00B40E22"/>
    <w:rsid w:val="00B41C32"/>
    <w:rsid w:val="00B45C6E"/>
    <w:rsid w:val="00B46375"/>
    <w:rsid w:val="00B468FB"/>
    <w:rsid w:val="00B525CA"/>
    <w:rsid w:val="00B5414A"/>
    <w:rsid w:val="00B570AC"/>
    <w:rsid w:val="00B57A48"/>
    <w:rsid w:val="00B60842"/>
    <w:rsid w:val="00B62B1D"/>
    <w:rsid w:val="00B63CD8"/>
    <w:rsid w:val="00B65078"/>
    <w:rsid w:val="00B650B3"/>
    <w:rsid w:val="00B65392"/>
    <w:rsid w:val="00B6646E"/>
    <w:rsid w:val="00B67A92"/>
    <w:rsid w:val="00B7023C"/>
    <w:rsid w:val="00B71D11"/>
    <w:rsid w:val="00B72D90"/>
    <w:rsid w:val="00B74C6E"/>
    <w:rsid w:val="00B74FA3"/>
    <w:rsid w:val="00B76D7E"/>
    <w:rsid w:val="00B777BE"/>
    <w:rsid w:val="00B82E38"/>
    <w:rsid w:val="00B8649D"/>
    <w:rsid w:val="00B86539"/>
    <w:rsid w:val="00B87396"/>
    <w:rsid w:val="00B87ADB"/>
    <w:rsid w:val="00B90373"/>
    <w:rsid w:val="00B914F1"/>
    <w:rsid w:val="00B91716"/>
    <w:rsid w:val="00B92EC0"/>
    <w:rsid w:val="00B92F11"/>
    <w:rsid w:val="00B93473"/>
    <w:rsid w:val="00B93562"/>
    <w:rsid w:val="00B944C0"/>
    <w:rsid w:val="00B96AA4"/>
    <w:rsid w:val="00BA21C3"/>
    <w:rsid w:val="00BA450A"/>
    <w:rsid w:val="00BA455D"/>
    <w:rsid w:val="00BA4E94"/>
    <w:rsid w:val="00BA6372"/>
    <w:rsid w:val="00BA6F30"/>
    <w:rsid w:val="00BA732C"/>
    <w:rsid w:val="00BA7EFA"/>
    <w:rsid w:val="00BB032C"/>
    <w:rsid w:val="00BB077D"/>
    <w:rsid w:val="00BB33D1"/>
    <w:rsid w:val="00BB445C"/>
    <w:rsid w:val="00BB456B"/>
    <w:rsid w:val="00BB5573"/>
    <w:rsid w:val="00BB6528"/>
    <w:rsid w:val="00BB663F"/>
    <w:rsid w:val="00BC1FE0"/>
    <w:rsid w:val="00BC349D"/>
    <w:rsid w:val="00BC5F2C"/>
    <w:rsid w:val="00BC5F74"/>
    <w:rsid w:val="00BC6554"/>
    <w:rsid w:val="00BC6BA2"/>
    <w:rsid w:val="00BC6F73"/>
    <w:rsid w:val="00BC70D9"/>
    <w:rsid w:val="00BC7337"/>
    <w:rsid w:val="00BD0D2D"/>
    <w:rsid w:val="00BD227C"/>
    <w:rsid w:val="00BD26B7"/>
    <w:rsid w:val="00BD586A"/>
    <w:rsid w:val="00BD74EE"/>
    <w:rsid w:val="00BE0E9E"/>
    <w:rsid w:val="00BE11B1"/>
    <w:rsid w:val="00BE2405"/>
    <w:rsid w:val="00BE3F9A"/>
    <w:rsid w:val="00BE414A"/>
    <w:rsid w:val="00BE5327"/>
    <w:rsid w:val="00BE629C"/>
    <w:rsid w:val="00BE6672"/>
    <w:rsid w:val="00BE673F"/>
    <w:rsid w:val="00BE6F7B"/>
    <w:rsid w:val="00BF08CC"/>
    <w:rsid w:val="00BF1F45"/>
    <w:rsid w:val="00BF2C79"/>
    <w:rsid w:val="00BF2C8F"/>
    <w:rsid w:val="00BF438D"/>
    <w:rsid w:val="00BF6A9E"/>
    <w:rsid w:val="00BF7C8E"/>
    <w:rsid w:val="00BF7F8E"/>
    <w:rsid w:val="00C00A5F"/>
    <w:rsid w:val="00C00F04"/>
    <w:rsid w:val="00C00F1C"/>
    <w:rsid w:val="00C0122A"/>
    <w:rsid w:val="00C0134A"/>
    <w:rsid w:val="00C018BF"/>
    <w:rsid w:val="00C019B7"/>
    <w:rsid w:val="00C01A75"/>
    <w:rsid w:val="00C03094"/>
    <w:rsid w:val="00C05326"/>
    <w:rsid w:val="00C07FA3"/>
    <w:rsid w:val="00C11F17"/>
    <w:rsid w:val="00C14339"/>
    <w:rsid w:val="00C171C7"/>
    <w:rsid w:val="00C17C63"/>
    <w:rsid w:val="00C20254"/>
    <w:rsid w:val="00C20EE8"/>
    <w:rsid w:val="00C21159"/>
    <w:rsid w:val="00C222AC"/>
    <w:rsid w:val="00C2393A"/>
    <w:rsid w:val="00C2556D"/>
    <w:rsid w:val="00C26610"/>
    <w:rsid w:val="00C32B93"/>
    <w:rsid w:val="00C35791"/>
    <w:rsid w:val="00C367CD"/>
    <w:rsid w:val="00C373FA"/>
    <w:rsid w:val="00C37766"/>
    <w:rsid w:val="00C423C0"/>
    <w:rsid w:val="00C44117"/>
    <w:rsid w:val="00C4448E"/>
    <w:rsid w:val="00C44AC4"/>
    <w:rsid w:val="00C46E0F"/>
    <w:rsid w:val="00C5223B"/>
    <w:rsid w:val="00C53580"/>
    <w:rsid w:val="00C540D1"/>
    <w:rsid w:val="00C56176"/>
    <w:rsid w:val="00C574DF"/>
    <w:rsid w:val="00C57F65"/>
    <w:rsid w:val="00C613D2"/>
    <w:rsid w:val="00C61EDC"/>
    <w:rsid w:val="00C62CCF"/>
    <w:rsid w:val="00C62E96"/>
    <w:rsid w:val="00C640F3"/>
    <w:rsid w:val="00C649A6"/>
    <w:rsid w:val="00C66529"/>
    <w:rsid w:val="00C665C0"/>
    <w:rsid w:val="00C70209"/>
    <w:rsid w:val="00C70FBC"/>
    <w:rsid w:val="00C72F30"/>
    <w:rsid w:val="00C732B9"/>
    <w:rsid w:val="00C74E88"/>
    <w:rsid w:val="00C75089"/>
    <w:rsid w:val="00C75D45"/>
    <w:rsid w:val="00C76880"/>
    <w:rsid w:val="00C808D0"/>
    <w:rsid w:val="00C80907"/>
    <w:rsid w:val="00C80DD6"/>
    <w:rsid w:val="00C8107F"/>
    <w:rsid w:val="00C8164F"/>
    <w:rsid w:val="00C81A2F"/>
    <w:rsid w:val="00C83B84"/>
    <w:rsid w:val="00C841C7"/>
    <w:rsid w:val="00C85D86"/>
    <w:rsid w:val="00C93E99"/>
    <w:rsid w:val="00C95FD8"/>
    <w:rsid w:val="00C97AF2"/>
    <w:rsid w:val="00CA1D94"/>
    <w:rsid w:val="00CA1FAE"/>
    <w:rsid w:val="00CA3B20"/>
    <w:rsid w:val="00CA4742"/>
    <w:rsid w:val="00CA4C5B"/>
    <w:rsid w:val="00CA5ACE"/>
    <w:rsid w:val="00CB1DC8"/>
    <w:rsid w:val="00CB35E0"/>
    <w:rsid w:val="00CB3752"/>
    <w:rsid w:val="00CB3F9D"/>
    <w:rsid w:val="00CB4D67"/>
    <w:rsid w:val="00CB711C"/>
    <w:rsid w:val="00CB7607"/>
    <w:rsid w:val="00CC0CF6"/>
    <w:rsid w:val="00CC1F88"/>
    <w:rsid w:val="00CC3B40"/>
    <w:rsid w:val="00CC3EE5"/>
    <w:rsid w:val="00CC3F0D"/>
    <w:rsid w:val="00CC65D2"/>
    <w:rsid w:val="00CC717E"/>
    <w:rsid w:val="00CC7594"/>
    <w:rsid w:val="00CD1302"/>
    <w:rsid w:val="00CD1ACE"/>
    <w:rsid w:val="00CD2992"/>
    <w:rsid w:val="00CD4013"/>
    <w:rsid w:val="00CD4C9F"/>
    <w:rsid w:val="00CD54E1"/>
    <w:rsid w:val="00CD693B"/>
    <w:rsid w:val="00CD6B67"/>
    <w:rsid w:val="00CE08F8"/>
    <w:rsid w:val="00CE0D75"/>
    <w:rsid w:val="00CE184C"/>
    <w:rsid w:val="00CE1A8D"/>
    <w:rsid w:val="00CE2D2E"/>
    <w:rsid w:val="00CE3149"/>
    <w:rsid w:val="00CE536E"/>
    <w:rsid w:val="00CE6404"/>
    <w:rsid w:val="00CE73C7"/>
    <w:rsid w:val="00CF145E"/>
    <w:rsid w:val="00CF1749"/>
    <w:rsid w:val="00CF3453"/>
    <w:rsid w:val="00D023C2"/>
    <w:rsid w:val="00D0319E"/>
    <w:rsid w:val="00D05B8D"/>
    <w:rsid w:val="00D060EC"/>
    <w:rsid w:val="00D062C4"/>
    <w:rsid w:val="00D07550"/>
    <w:rsid w:val="00D1061A"/>
    <w:rsid w:val="00D138BE"/>
    <w:rsid w:val="00D143E8"/>
    <w:rsid w:val="00D14CEF"/>
    <w:rsid w:val="00D16E85"/>
    <w:rsid w:val="00D17998"/>
    <w:rsid w:val="00D17AB3"/>
    <w:rsid w:val="00D17B56"/>
    <w:rsid w:val="00D200D3"/>
    <w:rsid w:val="00D209D5"/>
    <w:rsid w:val="00D2101A"/>
    <w:rsid w:val="00D213BC"/>
    <w:rsid w:val="00D2145F"/>
    <w:rsid w:val="00D22168"/>
    <w:rsid w:val="00D242A9"/>
    <w:rsid w:val="00D2445A"/>
    <w:rsid w:val="00D252CC"/>
    <w:rsid w:val="00D25D35"/>
    <w:rsid w:val="00D2717D"/>
    <w:rsid w:val="00D27CBD"/>
    <w:rsid w:val="00D30956"/>
    <w:rsid w:val="00D31884"/>
    <w:rsid w:val="00D3190B"/>
    <w:rsid w:val="00D31CFA"/>
    <w:rsid w:val="00D31D12"/>
    <w:rsid w:val="00D3231D"/>
    <w:rsid w:val="00D33485"/>
    <w:rsid w:val="00D33B85"/>
    <w:rsid w:val="00D35760"/>
    <w:rsid w:val="00D359C2"/>
    <w:rsid w:val="00D376D5"/>
    <w:rsid w:val="00D41067"/>
    <w:rsid w:val="00D410A8"/>
    <w:rsid w:val="00D43EF4"/>
    <w:rsid w:val="00D43F5C"/>
    <w:rsid w:val="00D43F8D"/>
    <w:rsid w:val="00D44030"/>
    <w:rsid w:val="00D46733"/>
    <w:rsid w:val="00D46C65"/>
    <w:rsid w:val="00D473F3"/>
    <w:rsid w:val="00D47B4F"/>
    <w:rsid w:val="00D47E57"/>
    <w:rsid w:val="00D5011D"/>
    <w:rsid w:val="00D51439"/>
    <w:rsid w:val="00D525D2"/>
    <w:rsid w:val="00D52957"/>
    <w:rsid w:val="00D54EAB"/>
    <w:rsid w:val="00D5565D"/>
    <w:rsid w:val="00D566E3"/>
    <w:rsid w:val="00D56DE9"/>
    <w:rsid w:val="00D57B3A"/>
    <w:rsid w:val="00D625C9"/>
    <w:rsid w:val="00D707F1"/>
    <w:rsid w:val="00D71166"/>
    <w:rsid w:val="00D7294F"/>
    <w:rsid w:val="00D739F2"/>
    <w:rsid w:val="00D7470C"/>
    <w:rsid w:val="00D75A5C"/>
    <w:rsid w:val="00D7680A"/>
    <w:rsid w:val="00D76FF8"/>
    <w:rsid w:val="00D81014"/>
    <w:rsid w:val="00D82958"/>
    <w:rsid w:val="00D83648"/>
    <w:rsid w:val="00D84066"/>
    <w:rsid w:val="00D842F9"/>
    <w:rsid w:val="00D861EE"/>
    <w:rsid w:val="00D8757E"/>
    <w:rsid w:val="00D87A47"/>
    <w:rsid w:val="00D87C9A"/>
    <w:rsid w:val="00D913C7"/>
    <w:rsid w:val="00D9176F"/>
    <w:rsid w:val="00D91A19"/>
    <w:rsid w:val="00D92870"/>
    <w:rsid w:val="00D94104"/>
    <w:rsid w:val="00DA3DCA"/>
    <w:rsid w:val="00DA433A"/>
    <w:rsid w:val="00DA5B6E"/>
    <w:rsid w:val="00DA617A"/>
    <w:rsid w:val="00DA649A"/>
    <w:rsid w:val="00DA73E0"/>
    <w:rsid w:val="00DA7C79"/>
    <w:rsid w:val="00DB0154"/>
    <w:rsid w:val="00DB083B"/>
    <w:rsid w:val="00DB3849"/>
    <w:rsid w:val="00DB688F"/>
    <w:rsid w:val="00DB7AC6"/>
    <w:rsid w:val="00DC3F62"/>
    <w:rsid w:val="00DC450A"/>
    <w:rsid w:val="00DC643B"/>
    <w:rsid w:val="00DC70D8"/>
    <w:rsid w:val="00DD10BA"/>
    <w:rsid w:val="00DD43B3"/>
    <w:rsid w:val="00DD7873"/>
    <w:rsid w:val="00DD7E7E"/>
    <w:rsid w:val="00DE061B"/>
    <w:rsid w:val="00DE2ADC"/>
    <w:rsid w:val="00DE34AC"/>
    <w:rsid w:val="00DE5E96"/>
    <w:rsid w:val="00DF1814"/>
    <w:rsid w:val="00DF58DF"/>
    <w:rsid w:val="00DF5A5E"/>
    <w:rsid w:val="00DF7DC7"/>
    <w:rsid w:val="00E02C0A"/>
    <w:rsid w:val="00E047FB"/>
    <w:rsid w:val="00E063DB"/>
    <w:rsid w:val="00E07EE6"/>
    <w:rsid w:val="00E07FB0"/>
    <w:rsid w:val="00E10239"/>
    <w:rsid w:val="00E10D84"/>
    <w:rsid w:val="00E1218B"/>
    <w:rsid w:val="00E1239D"/>
    <w:rsid w:val="00E12DAF"/>
    <w:rsid w:val="00E13125"/>
    <w:rsid w:val="00E142B8"/>
    <w:rsid w:val="00E14447"/>
    <w:rsid w:val="00E148C1"/>
    <w:rsid w:val="00E1585A"/>
    <w:rsid w:val="00E168C1"/>
    <w:rsid w:val="00E17CBC"/>
    <w:rsid w:val="00E207A9"/>
    <w:rsid w:val="00E21051"/>
    <w:rsid w:val="00E21EA3"/>
    <w:rsid w:val="00E22115"/>
    <w:rsid w:val="00E22B35"/>
    <w:rsid w:val="00E30FF2"/>
    <w:rsid w:val="00E31201"/>
    <w:rsid w:val="00E31755"/>
    <w:rsid w:val="00E32E17"/>
    <w:rsid w:val="00E33157"/>
    <w:rsid w:val="00E33648"/>
    <w:rsid w:val="00E34BC8"/>
    <w:rsid w:val="00E35AF2"/>
    <w:rsid w:val="00E37556"/>
    <w:rsid w:val="00E4072C"/>
    <w:rsid w:val="00E4263D"/>
    <w:rsid w:val="00E42ECC"/>
    <w:rsid w:val="00E4302E"/>
    <w:rsid w:val="00E43D38"/>
    <w:rsid w:val="00E46990"/>
    <w:rsid w:val="00E50505"/>
    <w:rsid w:val="00E50BFD"/>
    <w:rsid w:val="00E52AD4"/>
    <w:rsid w:val="00E52C1B"/>
    <w:rsid w:val="00E535E7"/>
    <w:rsid w:val="00E54181"/>
    <w:rsid w:val="00E548E5"/>
    <w:rsid w:val="00E557C7"/>
    <w:rsid w:val="00E562E4"/>
    <w:rsid w:val="00E60675"/>
    <w:rsid w:val="00E610B6"/>
    <w:rsid w:val="00E62FDC"/>
    <w:rsid w:val="00E64C67"/>
    <w:rsid w:val="00E66765"/>
    <w:rsid w:val="00E70A70"/>
    <w:rsid w:val="00E726EB"/>
    <w:rsid w:val="00E7460E"/>
    <w:rsid w:val="00E74790"/>
    <w:rsid w:val="00E759FB"/>
    <w:rsid w:val="00E7613E"/>
    <w:rsid w:val="00E761BA"/>
    <w:rsid w:val="00E762D7"/>
    <w:rsid w:val="00E76CFD"/>
    <w:rsid w:val="00E76D8D"/>
    <w:rsid w:val="00E778B4"/>
    <w:rsid w:val="00E81577"/>
    <w:rsid w:val="00E825E3"/>
    <w:rsid w:val="00E87939"/>
    <w:rsid w:val="00E87F38"/>
    <w:rsid w:val="00E90142"/>
    <w:rsid w:val="00E93EE4"/>
    <w:rsid w:val="00E941EC"/>
    <w:rsid w:val="00E9507C"/>
    <w:rsid w:val="00E9561D"/>
    <w:rsid w:val="00E95AF4"/>
    <w:rsid w:val="00E961AF"/>
    <w:rsid w:val="00E962F8"/>
    <w:rsid w:val="00EA0277"/>
    <w:rsid w:val="00EA0AEF"/>
    <w:rsid w:val="00EA0C07"/>
    <w:rsid w:val="00EA44F3"/>
    <w:rsid w:val="00EA496A"/>
    <w:rsid w:val="00EA4D0B"/>
    <w:rsid w:val="00EA6D4E"/>
    <w:rsid w:val="00EA6F21"/>
    <w:rsid w:val="00EA72FA"/>
    <w:rsid w:val="00EA75CA"/>
    <w:rsid w:val="00EA767E"/>
    <w:rsid w:val="00EA7842"/>
    <w:rsid w:val="00EB0B87"/>
    <w:rsid w:val="00EB117D"/>
    <w:rsid w:val="00EB1845"/>
    <w:rsid w:val="00EB34AB"/>
    <w:rsid w:val="00EB5CF1"/>
    <w:rsid w:val="00EB73A0"/>
    <w:rsid w:val="00EB741C"/>
    <w:rsid w:val="00EC27A9"/>
    <w:rsid w:val="00EC32EB"/>
    <w:rsid w:val="00EC53BC"/>
    <w:rsid w:val="00EC6FFC"/>
    <w:rsid w:val="00EC7B02"/>
    <w:rsid w:val="00ED02AC"/>
    <w:rsid w:val="00ED05F7"/>
    <w:rsid w:val="00ED10AA"/>
    <w:rsid w:val="00ED40F8"/>
    <w:rsid w:val="00ED422A"/>
    <w:rsid w:val="00ED4AC6"/>
    <w:rsid w:val="00EE10AA"/>
    <w:rsid w:val="00EE2518"/>
    <w:rsid w:val="00EE2551"/>
    <w:rsid w:val="00EE282A"/>
    <w:rsid w:val="00EE3277"/>
    <w:rsid w:val="00EE45C6"/>
    <w:rsid w:val="00EE567B"/>
    <w:rsid w:val="00EE59E3"/>
    <w:rsid w:val="00EE6C2A"/>
    <w:rsid w:val="00EF01AC"/>
    <w:rsid w:val="00EF1A82"/>
    <w:rsid w:val="00EF2C68"/>
    <w:rsid w:val="00EF3DA0"/>
    <w:rsid w:val="00EF402B"/>
    <w:rsid w:val="00EF4B9C"/>
    <w:rsid w:val="00EF54BD"/>
    <w:rsid w:val="00EF58DD"/>
    <w:rsid w:val="00EF5D25"/>
    <w:rsid w:val="00EF77E1"/>
    <w:rsid w:val="00EF7CA0"/>
    <w:rsid w:val="00F01EAC"/>
    <w:rsid w:val="00F036D0"/>
    <w:rsid w:val="00F03A90"/>
    <w:rsid w:val="00F04D7C"/>
    <w:rsid w:val="00F051D8"/>
    <w:rsid w:val="00F11519"/>
    <w:rsid w:val="00F13D73"/>
    <w:rsid w:val="00F1480F"/>
    <w:rsid w:val="00F149CF"/>
    <w:rsid w:val="00F16912"/>
    <w:rsid w:val="00F16C30"/>
    <w:rsid w:val="00F20B9E"/>
    <w:rsid w:val="00F20D92"/>
    <w:rsid w:val="00F211FE"/>
    <w:rsid w:val="00F21826"/>
    <w:rsid w:val="00F2292B"/>
    <w:rsid w:val="00F2294D"/>
    <w:rsid w:val="00F22F9D"/>
    <w:rsid w:val="00F2471A"/>
    <w:rsid w:val="00F24D02"/>
    <w:rsid w:val="00F251F8"/>
    <w:rsid w:val="00F26B60"/>
    <w:rsid w:val="00F3016E"/>
    <w:rsid w:val="00F32DE3"/>
    <w:rsid w:val="00F365C6"/>
    <w:rsid w:val="00F37A5D"/>
    <w:rsid w:val="00F43ABB"/>
    <w:rsid w:val="00F44E29"/>
    <w:rsid w:val="00F44E77"/>
    <w:rsid w:val="00F45178"/>
    <w:rsid w:val="00F4529F"/>
    <w:rsid w:val="00F462CD"/>
    <w:rsid w:val="00F47805"/>
    <w:rsid w:val="00F47B23"/>
    <w:rsid w:val="00F503A5"/>
    <w:rsid w:val="00F521CE"/>
    <w:rsid w:val="00F531AE"/>
    <w:rsid w:val="00F56CFC"/>
    <w:rsid w:val="00F6036E"/>
    <w:rsid w:val="00F6248A"/>
    <w:rsid w:val="00F625C6"/>
    <w:rsid w:val="00F628AD"/>
    <w:rsid w:val="00F63076"/>
    <w:rsid w:val="00F63570"/>
    <w:rsid w:val="00F63F1F"/>
    <w:rsid w:val="00F65176"/>
    <w:rsid w:val="00F70055"/>
    <w:rsid w:val="00F70938"/>
    <w:rsid w:val="00F720CA"/>
    <w:rsid w:val="00F72FCB"/>
    <w:rsid w:val="00F73076"/>
    <w:rsid w:val="00F731E1"/>
    <w:rsid w:val="00F76DF2"/>
    <w:rsid w:val="00F77BDC"/>
    <w:rsid w:val="00F80AFA"/>
    <w:rsid w:val="00F82025"/>
    <w:rsid w:val="00F820D3"/>
    <w:rsid w:val="00F91BF8"/>
    <w:rsid w:val="00F92991"/>
    <w:rsid w:val="00F92A01"/>
    <w:rsid w:val="00F93BB1"/>
    <w:rsid w:val="00F94238"/>
    <w:rsid w:val="00F94ABA"/>
    <w:rsid w:val="00F94E61"/>
    <w:rsid w:val="00F955FB"/>
    <w:rsid w:val="00F957A8"/>
    <w:rsid w:val="00F96DA4"/>
    <w:rsid w:val="00FA103A"/>
    <w:rsid w:val="00FA201C"/>
    <w:rsid w:val="00FA209A"/>
    <w:rsid w:val="00FA351E"/>
    <w:rsid w:val="00FA48AB"/>
    <w:rsid w:val="00FA537A"/>
    <w:rsid w:val="00FA5771"/>
    <w:rsid w:val="00FA6245"/>
    <w:rsid w:val="00FA6BFF"/>
    <w:rsid w:val="00FB0435"/>
    <w:rsid w:val="00FB1394"/>
    <w:rsid w:val="00FB2194"/>
    <w:rsid w:val="00FB2B49"/>
    <w:rsid w:val="00FB52BA"/>
    <w:rsid w:val="00FB5452"/>
    <w:rsid w:val="00FB6B1B"/>
    <w:rsid w:val="00FB6B7C"/>
    <w:rsid w:val="00FB7B63"/>
    <w:rsid w:val="00FC1217"/>
    <w:rsid w:val="00FC2292"/>
    <w:rsid w:val="00FC2AA6"/>
    <w:rsid w:val="00FC32BE"/>
    <w:rsid w:val="00FC3FC1"/>
    <w:rsid w:val="00FC656C"/>
    <w:rsid w:val="00FC668D"/>
    <w:rsid w:val="00FC66AE"/>
    <w:rsid w:val="00FC6C11"/>
    <w:rsid w:val="00FC6D22"/>
    <w:rsid w:val="00FC6F07"/>
    <w:rsid w:val="00FC6F9B"/>
    <w:rsid w:val="00FC788E"/>
    <w:rsid w:val="00FD1390"/>
    <w:rsid w:val="00FD3281"/>
    <w:rsid w:val="00FD4808"/>
    <w:rsid w:val="00FD5064"/>
    <w:rsid w:val="00FD5358"/>
    <w:rsid w:val="00FE2369"/>
    <w:rsid w:val="00FE2450"/>
    <w:rsid w:val="00FE2F23"/>
    <w:rsid w:val="00FE48E3"/>
    <w:rsid w:val="00FE4BB7"/>
    <w:rsid w:val="00FE5929"/>
    <w:rsid w:val="00FE594A"/>
    <w:rsid w:val="00FE5B52"/>
    <w:rsid w:val="00FE5CD9"/>
    <w:rsid w:val="00FF2895"/>
    <w:rsid w:val="00FF533B"/>
    <w:rsid w:val="00FF5BBA"/>
    <w:rsid w:val="00FF6E6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A3E7B"/>
  <w15:docId w15:val="{A07BF967-C992-40E5-9B16-B36D54882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2"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4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9" w:unhideWhenUsed="1"/>
    <w:lsdException w:name="TOC Heading" w:semiHidden="1" w:uiPriority="4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2C8"/>
    <w:pPr>
      <w:spacing w:before="240" w:after="240" w:line="240" w:lineRule="auto"/>
      <w:jc w:val="both"/>
    </w:pPr>
    <w:rPr>
      <w:rFonts w:ascii="Calibri" w:hAnsi="Calibri"/>
    </w:rPr>
  </w:style>
  <w:style w:type="paragraph" w:styleId="Heading1">
    <w:name w:val="heading 1"/>
    <w:basedOn w:val="Normal"/>
    <w:next w:val="Normal"/>
    <w:link w:val="Heading1Char"/>
    <w:uiPriority w:val="4"/>
    <w:qFormat/>
    <w:rsid w:val="00D8757E"/>
    <w:pPr>
      <w:keepNext/>
      <w:numPr>
        <w:numId w:val="22"/>
      </w:numPr>
      <w:spacing w:after="360"/>
      <w:jc w:val="left"/>
      <w:outlineLvl w:val="0"/>
    </w:pPr>
    <w:rPr>
      <w:rFonts w:eastAsia="Times New Roman" w:cs="Microsoft Sans Serif"/>
      <w:b/>
      <w:color w:val="06357A" w:themeColor="text2"/>
      <w:kern w:val="28"/>
      <w:sz w:val="32"/>
      <w:szCs w:val="32"/>
    </w:rPr>
  </w:style>
  <w:style w:type="paragraph" w:styleId="Heading2">
    <w:name w:val="heading 2"/>
    <w:basedOn w:val="Normal"/>
    <w:next w:val="Normal"/>
    <w:link w:val="Heading2Char"/>
    <w:uiPriority w:val="4"/>
    <w:qFormat/>
    <w:rsid w:val="00D8757E"/>
    <w:pPr>
      <w:keepNext/>
      <w:keepLines/>
      <w:numPr>
        <w:ilvl w:val="1"/>
        <w:numId w:val="22"/>
      </w:numPr>
      <w:jc w:val="left"/>
      <w:outlineLvl w:val="1"/>
    </w:pPr>
    <w:rPr>
      <w:rFonts w:eastAsia="Times New Roman" w:cs="Microsoft Sans Serif"/>
      <w:b/>
      <w:bCs/>
      <w:color w:val="06357A" w:themeColor="text2"/>
      <w:sz w:val="28"/>
      <w:szCs w:val="28"/>
    </w:rPr>
  </w:style>
  <w:style w:type="paragraph" w:styleId="Heading3">
    <w:name w:val="heading 3"/>
    <w:basedOn w:val="Normal"/>
    <w:next w:val="Normal"/>
    <w:link w:val="Heading3Char"/>
    <w:uiPriority w:val="4"/>
    <w:qFormat/>
    <w:rsid w:val="00D8757E"/>
    <w:pPr>
      <w:keepNext/>
      <w:numPr>
        <w:ilvl w:val="2"/>
        <w:numId w:val="13"/>
      </w:numPr>
      <w:jc w:val="left"/>
      <w:outlineLvl w:val="2"/>
    </w:pPr>
    <w:rPr>
      <w:rFonts w:eastAsia="Times New Roman" w:cs="Microsoft Sans Serif"/>
      <w:b/>
      <w:color w:val="06357A" w:themeColor="text2"/>
      <w:sz w:val="24"/>
      <w:szCs w:val="24"/>
    </w:rPr>
  </w:style>
  <w:style w:type="paragraph" w:styleId="Heading4">
    <w:name w:val="heading 4"/>
    <w:basedOn w:val="Normal"/>
    <w:next w:val="Normal"/>
    <w:link w:val="Heading4Char"/>
    <w:uiPriority w:val="2"/>
    <w:qFormat/>
    <w:rsid w:val="00A75B93"/>
    <w:pPr>
      <w:keepNext/>
      <w:keepLines/>
      <w:jc w:val="left"/>
      <w:outlineLvl w:val="3"/>
    </w:pPr>
    <w:rPr>
      <w:b/>
      <w:szCs w:val="28"/>
    </w:rPr>
  </w:style>
  <w:style w:type="paragraph" w:styleId="Heading5">
    <w:name w:val="heading 5"/>
    <w:basedOn w:val="Normal"/>
    <w:next w:val="Normal"/>
    <w:link w:val="Heading5Char"/>
    <w:uiPriority w:val="99"/>
    <w:semiHidden/>
    <w:qFormat/>
    <w:rsid w:val="00A75B93"/>
    <w:pPr>
      <w:keepNext/>
      <w:keepLines/>
      <w:spacing w:before="200" w:after="0"/>
      <w:jc w:val="left"/>
      <w:outlineLvl w:val="4"/>
    </w:pPr>
    <w:rPr>
      <w:rFonts w:asciiTheme="majorHAnsi" w:eastAsiaTheme="majorEastAsia" w:hAnsiTheme="majorHAnsi" w:cstheme="majorBidi"/>
      <w:color w:val="031A3C" w:themeColor="accent1" w:themeShade="7F"/>
    </w:rPr>
  </w:style>
  <w:style w:type="paragraph" w:styleId="Heading6">
    <w:name w:val="heading 6"/>
    <w:basedOn w:val="Normal"/>
    <w:next w:val="Normal"/>
    <w:link w:val="Heading6Char"/>
    <w:uiPriority w:val="99"/>
    <w:semiHidden/>
    <w:qFormat/>
    <w:rsid w:val="00A75B93"/>
    <w:pPr>
      <w:keepNext/>
      <w:keepLines/>
      <w:spacing w:before="200" w:after="0"/>
      <w:jc w:val="left"/>
      <w:outlineLvl w:val="5"/>
    </w:pPr>
    <w:rPr>
      <w:rFonts w:asciiTheme="majorHAnsi" w:eastAsiaTheme="majorEastAsia" w:hAnsiTheme="majorHAnsi" w:cstheme="majorBidi"/>
      <w:i/>
      <w:iCs/>
      <w:color w:val="031A3C" w:themeColor="accent1" w:themeShade="7F"/>
    </w:rPr>
  </w:style>
  <w:style w:type="paragraph" w:styleId="Heading7">
    <w:name w:val="heading 7"/>
    <w:basedOn w:val="Normal"/>
    <w:next w:val="Normal"/>
    <w:link w:val="Heading7Char"/>
    <w:uiPriority w:val="99"/>
    <w:semiHidden/>
    <w:unhideWhenUsed/>
    <w:qFormat/>
    <w:rsid w:val="00A75B93"/>
    <w:pPr>
      <w:keepNext/>
      <w:keepLines/>
      <w:spacing w:before="200" w:after="0"/>
      <w:jc w:val="left"/>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unhideWhenUsed/>
    <w:qFormat/>
    <w:rsid w:val="00A75B93"/>
    <w:pPr>
      <w:keepNext/>
      <w:keepLines/>
      <w:spacing w:before="200" w:after="0"/>
      <w:jc w:val="left"/>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semiHidden/>
    <w:unhideWhenUsed/>
    <w:qFormat/>
    <w:rsid w:val="00A75B93"/>
    <w:pPr>
      <w:keepNext/>
      <w:keepLines/>
      <w:spacing w:before="200" w:after="0"/>
      <w:jc w:val="left"/>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Header">
    <w:name w:val="Style1Header"/>
    <w:uiPriority w:val="99"/>
    <w:rsid w:val="00A75B93"/>
    <w:pPr>
      <w:numPr>
        <w:numId w:val="11"/>
      </w:numPr>
    </w:pPr>
  </w:style>
  <w:style w:type="paragraph" w:customStyle="1" w:styleId="FooterFront">
    <w:name w:val="Footer Front"/>
    <w:basedOn w:val="Normal"/>
    <w:uiPriority w:val="99"/>
    <w:semiHidden/>
    <w:qFormat/>
    <w:rsid w:val="00A75B93"/>
    <w:pPr>
      <w:tabs>
        <w:tab w:val="right" w:pos="7560"/>
      </w:tabs>
      <w:spacing w:before="120" w:after="0"/>
      <w:jc w:val="left"/>
    </w:pPr>
    <w:rPr>
      <w:rFonts w:eastAsia="Times New Roman" w:cs="Times New Roman"/>
      <w:sz w:val="18"/>
      <w:szCs w:val="18"/>
    </w:rPr>
  </w:style>
  <w:style w:type="paragraph" w:customStyle="1" w:styleId="DocTitle">
    <w:name w:val="DocTitle"/>
    <w:basedOn w:val="Normal"/>
    <w:uiPriority w:val="51"/>
    <w:semiHidden/>
    <w:qFormat/>
    <w:rsid w:val="00A75B93"/>
    <w:pPr>
      <w:spacing w:before="360"/>
      <w:ind w:left="1701"/>
      <w:jc w:val="left"/>
      <w:outlineLvl w:val="0"/>
    </w:pPr>
    <w:rPr>
      <w:rFonts w:cs="Microsoft Sans Serif"/>
      <w:b/>
      <w:color w:val="06357A"/>
      <w:sz w:val="40"/>
    </w:rPr>
  </w:style>
  <w:style w:type="paragraph" w:customStyle="1" w:styleId="DocSubtitle">
    <w:name w:val="DocSubtitle"/>
    <w:basedOn w:val="Normal"/>
    <w:uiPriority w:val="51"/>
    <w:semiHidden/>
    <w:qFormat/>
    <w:rsid w:val="00A75B93"/>
    <w:pPr>
      <w:spacing w:before="0"/>
      <w:ind w:left="1701"/>
      <w:jc w:val="left"/>
      <w:outlineLvl w:val="1"/>
    </w:pPr>
    <w:rPr>
      <w:rFonts w:cs="Microsoft Sans Serif"/>
      <w:b/>
      <w:color w:val="808080"/>
      <w:sz w:val="32"/>
    </w:rPr>
  </w:style>
  <w:style w:type="paragraph" w:customStyle="1" w:styleId="DocMarking">
    <w:name w:val="DocMarking"/>
    <w:basedOn w:val="DocSubtitle"/>
    <w:next w:val="Normal"/>
    <w:uiPriority w:val="51"/>
    <w:semiHidden/>
    <w:qFormat/>
    <w:rsid w:val="00A75B93"/>
    <w:pPr>
      <w:outlineLvl w:val="9"/>
    </w:pPr>
  </w:style>
  <w:style w:type="paragraph" w:customStyle="1" w:styleId="DocDate">
    <w:name w:val="DocDate"/>
    <w:basedOn w:val="Normal"/>
    <w:next w:val="Normal"/>
    <w:uiPriority w:val="51"/>
    <w:semiHidden/>
    <w:qFormat/>
    <w:rsid w:val="00A75B93"/>
    <w:pPr>
      <w:spacing w:before="0"/>
      <w:ind w:left="1701"/>
      <w:jc w:val="left"/>
    </w:pPr>
    <w:rPr>
      <w:color w:val="808080"/>
      <w:sz w:val="28"/>
    </w:rPr>
  </w:style>
  <w:style w:type="character" w:customStyle="1" w:styleId="Heading1Char">
    <w:name w:val="Heading 1 Char"/>
    <w:basedOn w:val="DefaultParagraphFont"/>
    <w:link w:val="Heading1"/>
    <w:uiPriority w:val="4"/>
    <w:rsid w:val="00D8757E"/>
    <w:rPr>
      <w:rFonts w:ascii="Calibri" w:eastAsia="Times New Roman" w:hAnsi="Calibri" w:cs="Microsoft Sans Serif"/>
      <w:b/>
      <w:color w:val="06357A" w:themeColor="text2"/>
      <w:kern w:val="28"/>
      <w:sz w:val="32"/>
      <w:szCs w:val="32"/>
    </w:rPr>
  </w:style>
  <w:style w:type="paragraph" w:customStyle="1" w:styleId="Heading1NoNumb">
    <w:name w:val="Heading 1 No Numb"/>
    <w:basedOn w:val="Heading1"/>
    <w:next w:val="Normal"/>
    <w:uiPriority w:val="13"/>
    <w:qFormat/>
    <w:rsid w:val="00A75B93"/>
    <w:pPr>
      <w:numPr>
        <w:numId w:val="0"/>
      </w:numPr>
    </w:pPr>
  </w:style>
  <w:style w:type="character" w:customStyle="1" w:styleId="Heading2Char">
    <w:name w:val="Heading 2 Char"/>
    <w:basedOn w:val="DefaultParagraphFont"/>
    <w:link w:val="Heading2"/>
    <w:uiPriority w:val="4"/>
    <w:rsid w:val="00D8757E"/>
    <w:rPr>
      <w:rFonts w:ascii="Calibri" w:eastAsia="Times New Roman" w:hAnsi="Calibri" w:cs="Microsoft Sans Serif"/>
      <w:b/>
      <w:bCs/>
      <w:color w:val="06357A" w:themeColor="text2"/>
      <w:sz w:val="28"/>
      <w:szCs w:val="28"/>
    </w:rPr>
  </w:style>
  <w:style w:type="paragraph" w:customStyle="1" w:styleId="Heading2NoNumb">
    <w:name w:val="Heading 2 No Numb"/>
    <w:basedOn w:val="Heading2"/>
    <w:next w:val="Normal"/>
    <w:uiPriority w:val="13"/>
    <w:qFormat/>
    <w:rsid w:val="00A75B93"/>
    <w:pPr>
      <w:numPr>
        <w:ilvl w:val="0"/>
        <w:numId w:val="0"/>
      </w:numPr>
    </w:pPr>
  </w:style>
  <w:style w:type="character" w:customStyle="1" w:styleId="Heading3Char">
    <w:name w:val="Heading 3 Char"/>
    <w:basedOn w:val="DefaultParagraphFont"/>
    <w:link w:val="Heading3"/>
    <w:uiPriority w:val="4"/>
    <w:rsid w:val="00D8757E"/>
    <w:rPr>
      <w:rFonts w:ascii="Calibri" w:eastAsia="Times New Roman" w:hAnsi="Calibri" w:cs="Microsoft Sans Serif"/>
      <w:b/>
      <w:color w:val="06357A" w:themeColor="text2"/>
      <w:sz w:val="24"/>
      <w:szCs w:val="24"/>
    </w:rPr>
  </w:style>
  <w:style w:type="paragraph" w:customStyle="1" w:styleId="Heading3NoNumb">
    <w:name w:val="Heading 3 No Numb"/>
    <w:basedOn w:val="Heading3"/>
    <w:next w:val="Normal"/>
    <w:uiPriority w:val="13"/>
    <w:qFormat/>
    <w:rsid w:val="00A75B93"/>
    <w:pPr>
      <w:numPr>
        <w:ilvl w:val="0"/>
        <w:numId w:val="0"/>
      </w:numPr>
    </w:pPr>
  </w:style>
  <w:style w:type="paragraph" w:customStyle="1" w:styleId="LEExecSummHeading1">
    <w:name w:val="LE Exec Summ Heading 1"/>
    <w:basedOn w:val="Heading1NoNumb"/>
    <w:next w:val="Normal"/>
    <w:uiPriority w:val="12"/>
    <w:qFormat/>
    <w:rsid w:val="00A75B93"/>
    <w:pPr>
      <w:spacing w:before="0"/>
      <w:jc w:val="center"/>
    </w:pPr>
  </w:style>
  <w:style w:type="character" w:customStyle="1" w:styleId="Heading4Char">
    <w:name w:val="Heading 4 Char"/>
    <w:basedOn w:val="DefaultParagraphFont"/>
    <w:link w:val="Heading4"/>
    <w:uiPriority w:val="2"/>
    <w:rsid w:val="00A75B93"/>
    <w:rPr>
      <w:rFonts w:ascii="Calibri" w:hAnsi="Calibri"/>
      <w:b/>
      <w:szCs w:val="28"/>
    </w:rPr>
  </w:style>
  <w:style w:type="table" w:styleId="TableGrid">
    <w:name w:val="Table Grid"/>
    <w:basedOn w:val="TableNormal"/>
    <w:uiPriority w:val="59"/>
    <w:rsid w:val="00A75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Normal">
    <w:name w:val="Small Normal"/>
    <w:basedOn w:val="Normal"/>
    <w:qFormat/>
    <w:rsid w:val="00A75B93"/>
    <w:rPr>
      <w:rFonts w:cs="Microsoft Sans Serif"/>
      <w:sz w:val="20"/>
    </w:rPr>
  </w:style>
  <w:style w:type="paragraph" w:customStyle="1" w:styleId="NormalNoSpace">
    <w:name w:val="NormalNoSpace"/>
    <w:basedOn w:val="Normal"/>
    <w:qFormat/>
    <w:rsid w:val="00A75B93"/>
    <w:pPr>
      <w:spacing w:before="0" w:after="0"/>
    </w:pPr>
  </w:style>
  <w:style w:type="paragraph" w:customStyle="1" w:styleId="TableTitle">
    <w:name w:val="Table Title"/>
    <w:basedOn w:val="Normal"/>
    <w:next w:val="Normal"/>
    <w:uiPriority w:val="31"/>
    <w:qFormat/>
    <w:rsid w:val="00A75B93"/>
    <w:pPr>
      <w:keepNext/>
      <w:keepLines/>
      <w:numPr>
        <w:numId w:val="18"/>
      </w:numPr>
      <w:jc w:val="left"/>
    </w:pPr>
    <w:rPr>
      <w:b/>
      <w:color w:val="06357A"/>
    </w:rPr>
  </w:style>
  <w:style w:type="paragraph" w:customStyle="1" w:styleId="FigureTitle">
    <w:name w:val="Figure Title"/>
    <w:basedOn w:val="TableTitle"/>
    <w:next w:val="Normal"/>
    <w:uiPriority w:val="32"/>
    <w:qFormat/>
    <w:rsid w:val="00A75B93"/>
    <w:pPr>
      <w:numPr>
        <w:numId w:val="19"/>
      </w:numPr>
      <w:spacing w:before="60" w:after="60"/>
    </w:pPr>
  </w:style>
  <w:style w:type="paragraph" w:customStyle="1" w:styleId="BoxTitle">
    <w:name w:val="Box Title"/>
    <w:basedOn w:val="TableTitle"/>
    <w:next w:val="Normal"/>
    <w:uiPriority w:val="33"/>
    <w:qFormat/>
    <w:rsid w:val="00A75B93"/>
    <w:pPr>
      <w:numPr>
        <w:numId w:val="20"/>
      </w:numPr>
    </w:pPr>
  </w:style>
  <w:style w:type="paragraph" w:customStyle="1" w:styleId="SidebarText">
    <w:name w:val="Sidebar Text"/>
    <w:basedOn w:val="Normal"/>
    <w:uiPriority w:val="23"/>
    <w:qFormat/>
    <w:rsid w:val="00A75B93"/>
  </w:style>
  <w:style w:type="paragraph" w:customStyle="1" w:styleId="SectionTitle">
    <w:name w:val="Section Title"/>
    <w:basedOn w:val="Normal"/>
    <w:next w:val="Heading1"/>
    <w:uiPriority w:val="17"/>
    <w:qFormat/>
    <w:rsid w:val="00285CDD"/>
    <w:pPr>
      <w:pageBreakBefore/>
      <w:framePr w:w="8845" w:h="14855" w:hRule="exact" w:wrap="around" w:hAnchor="text" w:y="1"/>
      <w:shd w:val="solid" w:color="FFFFFF" w:themeColor="background1" w:fill="auto"/>
      <w:spacing w:after="0"/>
      <w:jc w:val="right"/>
      <w:outlineLvl w:val="0"/>
    </w:pPr>
    <w:rPr>
      <w:rFonts w:cs="Microsoft Sans Serif"/>
      <w:b/>
      <w:caps/>
      <w:color w:val="06357A" w:themeColor="text2"/>
      <w:position w:val="-822"/>
      <w:sz w:val="40"/>
    </w:rPr>
  </w:style>
  <w:style w:type="paragraph" w:customStyle="1" w:styleId="References">
    <w:name w:val="References"/>
    <w:basedOn w:val="Heading1NoNumb"/>
    <w:next w:val="Heading2NoNumb"/>
    <w:uiPriority w:val="99"/>
    <w:semiHidden/>
    <w:qFormat/>
    <w:rsid w:val="00A75B93"/>
  </w:style>
  <w:style w:type="paragraph" w:customStyle="1" w:styleId="AnnexHeading1">
    <w:name w:val="Annex Heading 1"/>
    <w:basedOn w:val="Heading1"/>
    <w:next w:val="Normal"/>
    <w:uiPriority w:val="19"/>
    <w:qFormat/>
    <w:rsid w:val="00A75B93"/>
    <w:pPr>
      <w:numPr>
        <w:numId w:val="17"/>
      </w:numPr>
    </w:pPr>
  </w:style>
  <w:style w:type="paragraph" w:customStyle="1" w:styleId="AnnexHeading2">
    <w:name w:val="Annex Heading 2"/>
    <w:basedOn w:val="Heading2"/>
    <w:next w:val="Normal"/>
    <w:uiPriority w:val="19"/>
    <w:qFormat/>
    <w:rsid w:val="00A75B93"/>
    <w:pPr>
      <w:numPr>
        <w:numId w:val="17"/>
      </w:numPr>
    </w:pPr>
  </w:style>
  <w:style w:type="paragraph" w:customStyle="1" w:styleId="AnnexHeading3">
    <w:name w:val="Annex Heading 3"/>
    <w:basedOn w:val="Heading3"/>
    <w:next w:val="Normal"/>
    <w:uiPriority w:val="19"/>
    <w:qFormat/>
    <w:rsid w:val="00A75B93"/>
    <w:pPr>
      <w:numPr>
        <w:numId w:val="17"/>
      </w:numPr>
    </w:pPr>
  </w:style>
  <w:style w:type="paragraph" w:customStyle="1" w:styleId="AnnexHeading4">
    <w:name w:val="Annex Heading 4"/>
    <w:basedOn w:val="Heading4"/>
    <w:next w:val="Normal"/>
    <w:uiPriority w:val="19"/>
    <w:qFormat/>
    <w:rsid w:val="00A75B93"/>
  </w:style>
  <w:style w:type="paragraph" w:customStyle="1" w:styleId="AddressBlock">
    <w:name w:val="Address Block"/>
    <w:basedOn w:val="Normal"/>
    <w:uiPriority w:val="99"/>
    <w:semiHidden/>
    <w:qFormat/>
    <w:rsid w:val="00A75B93"/>
    <w:pPr>
      <w:spacing w:before="0" w:after="0"/>
      <w:ind w:left="5387"/>
      <w:jc w:val="left"/>
    </w:pPr>
    <w:rPr>
      <w:rFonts w:eastAsia="Times New Roman" w:cs="Times New Roman"/>
      <w:color w:val="595959"/>
    </w:rPr>
  </w:style>
  <w:style w:type="paragraph" w:styleId="Header">
    <w:name w:val="header"/>
    <w:basedOn w:val="Normal"/>
    <w:link w:val="HeaderChar"/>
    <w:uiPriority w:val="99"/>
    <w:rsid w:val="007E2631"/>
    <w:pPr>
      <w:tabs>
        <w:tab w:val="center" w:pos="4513"/>
        <w:tab w:val="right" w:pos="9026"/>
      </w:tabs>
      <w:spacing w:before="0" w:after="120"/>
      <w:jc w:val="left"/>
    </w:pPr>
    <w:rPr>
      <w:b/>
      <w:noProof/>
      <w:color w:val="06357A" w:themeColor="text2"/>
      <w:sz w:val="20"/>
    </w:rPr>
  </w:style>
  <w:style w:type="character" w:customStyle="1" w:styleId="HeaderChar">
    <w:name w:val="Header Char"/>
    <w:basedOn w:val="DefaultParagraphFont"/>
    <w:link w:val="Header"/>
    <w:uiPriority w:val="99"/>
    <w:rsid w:val="007E2631"/>
    <w:rPr>
      <w:rFonts w:ascii="Calibri" w:hAnsi="Calibri"/>
      <w:b/>
      <w:noProof/>
      <w:color w:val="06357A" w:themeColor="text2"/>
      <w:sz w:val="20"/>
    </w:rPr>
  </w:style>
  <w:style w:type="paragraph" w:styleId="Footer">
    <w:name w:val="footer"/>
    <w:basedOn w:val="Normal"/>
    <w:link w:val="FooterChar"/>
    <w:uiPriority w:val="99"/>
    <w:rsid w:val="00A75B93"/>
    <w:pPr>
      <w:tabs>
        <w:tab w:val="center" w:pos="4513"/>
        <w:tab w:val="right" w:pos="9026"/>
      </w:tabs>
      <w:spacing w:before="0" w:after="0"/>
      <w:jc w:val="left"/>
    </w:pPr>
    <w:rPr>
      <w:b/>
      <w:sz w:val="18"/>
    </w:rPr>
  </w:style>
  <w:style w:type="character" w:customStyle="1" w:styleId="FooterChar">
    <w:name w:val="Footer Char"/>
    <w:basedOn w:val="DefaultParagraphFont"/>
    <w:link w:val="Footer"/>
    <w:uiPriority w:val="99"/>
    <w:rsid w:val="00A75B93"/>
    <w:rPr>
      <w:rFonts w:ascii="Calibri" w:hAnsi="Calibri"/>
      <w:b/>
      <w:sz w:val="18"/>
    </w:rPr>
  </w:style>
  <w:style w:type="paragraph" w:customStyle="1" w:styleId="FooterTitle">
    <w:name w:val="FooterTitle"/>
    <w:basedOn w:val="HeaderTOCPage"/>
    <w:uiPriority w:val="99"/>
    <w:semiHidden/>
    <w:qFormat/>
    <w:rsid w:val="003900CF"/>
    <w:pPr>
      <w:tabs>
        <w:tab w:val="clear" w:pos="4513"/>
        <w:tab w:val="clear" w:pos="9026"/>
      </w:tabs>
      <w:spacing w:before="160" w:after="0"/>
    </w:pPr>
    <w:rPr>
      <w:b/>
      <w:color w:val="auto"/>
      <w:sz w:val="18"/>
    </w:rPr>
  </w:style>
  <w:style w:type="paragraph" w:customStyle="1" w:styleId="FooterPage">
    <w:name w:val="FooterPage"/>
    <w:basedOn w:val="Footer"/>
    <w:uiPriority w:val="99"/>
    <w:semiHidden/>
    <w:qFormat/>
    <w:rsid w:val="00614FFF"/>
    <w:pPr>
      <w:jc w:val="right"/>
    </w:pPr>
  </w:style>
  <w:style w:type="numbering" w:customStyle="1" w:styleId="ListStyleHeadings">
    <w:name w:val="ListStyleHeadings"/>
    <w:uiPriority w:val="99"/>
    <w:rsid w:val="00A75B93"/>
    <w:pPr>
      <w:numPr>
        <w:numId w:val="12"/>
      </w:numPr>
    </w:pPr>
  </w:style>
  <w:style w:type="numbering" w:customStyle="1" w:styleId="NumbListHeadings">
    <w:name w:val="NumbListHeadings"/>
    <w:uiPriority w:val="99"/>
    <w:rsid w:val="00A75B93"/>
    <w:pPr>
      <w:numPr>
        <w:numId w:val="13"/>
      </w:numPr>
    </w:pPr>
  </w:style>
  <w:style w:type="paragraph" w:styleId="BalloonText">
    <w:name w:val="Balloon Text"/>
    <w:basedOn w:val="Normal"/>
    <w:link w:val="BalloonTextChar"/>
    <w:uiPriority w:val="99"/>
    <w:semiHidden/>
    <w:rsid w:val="00A75B9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B93"/>
    <w:rPr>
      <w:rFonts w:ascii="Tahoma" w:hAnsi="Tahoma" w:cs="Tahoma"/>
      <w:sz w:val="16"/>
      <w:szCs w:val="16"/>
    </w:rPr>
  </w:style>
  <w:style w:type="paragraph" w:styleId="NoSpacing">
    <w:name w:val="No Spacing"/>
    <w:uiPriority w:val="99"/>
    <w:qFormat/>
    <w:rsid w:val="00A75B93"/>
    <w:pPr>
      <w:spacing w:after="0" w:line="240" w:lineRule="auto"/>
    </w:pPr>
  </w:style>
  <w:style w:type="paragraph" w:customStyle="1" w:styleId="AfterTitleTableSpace">
    <w:name w:val="AfterTitleTableSpace"/>
    <w:basedOn w:val="SmallNormal"/>
    <w:uiPriority w:val="51"/>
    <w:semiHidden/>
    <w:qFormat/>
    <w:rsid w:val="00A75B93"/>
    <w:pPr>
      <w:jc w:val="left"/>
    </w:pPr>
    <w:rPr>
      <w:sz w:val="18"/>
    </w:rPr>
  </w:style>
  <w:style w:type="paragraph" w:customStyle="1" w:styleId="FooterBelowTable">
    <w:name w:val="FooterBelowTable"/>
    <w:basedOn w:val="FooterPage"/>
    <w:uiPriority w:val="99"/>
    <w:semiHidden/>
    <w:qFormat/>
    <w:rsid w:val="00A75B93"/>
    <w:rPr>
      <w:sz w:val="2"/>
    </w:rPr>
  </w:style>
  <w:style w:type="paragraph" w:customStyle="1" w:styleId="HeaderTOCTitle">
    <w:name w:val="HeaderTOCTitle"/>
    <w:basedOn w:val="Header"/>
    <w:uiPriority w:val="99"/>
    <w:semiHidden/>
    <w:qFormat/>
    <w:rsid w:val="00EE10AA"/>
    <w:pPr>
      <w:spacing w:before="200" w:after="0"/>
    </w:pPr>
    <w:rPr>
      <w:sz w:val="36"/>
      <w:szCs w:val="36"/>
    </w:rPr>
  </w:style>
  <w:style w:type="paragraph" w:customStyle="1" w:styleId="HeaderTOCPage">
    <w:name w:val="HeaderTOCPage"/>
    <w:basedOn w:val="Header"/>
    <w:uiPriority w:val="99"/>
    <w:semiHidden/>
    <w:qFormat/>
    <w:rsid w:val="00A75B93"/>
    <w:pPr>
      <w:spacing w:after="60"/>
    </w:pPr>
    <w:rPr>
      <w:b w:val="0"/>
      <w:szCs w:val="20"/>
    </w:rPr>
  </w:style>
  <w:style w:type="paragraph" w:customStyle="1" w:styleId="HeaderTOCSpacer">
    <w:name w:val="HeaderTOCSpacer"/>
    <w:basedOn w:val="Header"/>
    <w:uiPriority w:val="99"/>
    <w:semiHidden/>
    <w:qFormat/>
    <w:rsid w:val="0026275F"/>
    <w:pPr>
      <w:spacing w:before="240" w:after="0"/>
    </w:pPr>
  </w:style>
  <w:style w:type="paragraph" w:customStyle="1" w:styleId="FooterTOCPage">
    <w:name w:val="FooterTOCPage"/>
    <w:basedOn w:val="FooterTitle"/>
    <w:uiPriority w:val="99"/>
    <w:semiHidden/>
    <w:rsid w:val="00A75B93"/>
    <w:pPr>
      <w:spacing w:after="60"/>
      <w:jc w:val="right"/>
    </w:pPr>
    <w:rPr>
      <w:b w:val="0"/>
      <w:sz w:val="20"/>
    </w:rPr>
  </w:style>
  <w:style w:type="paragraph" w:customStyle="1" w:styleId="FooterTitleEven">
    <w:name w:val="FooterTitleEven"/>
    <w:basedOn w:val="FooterTitle"/>
    <w:uiPriority w:val="99"/>
    <w:semiHidden/>
    <w:qFormat/>
    <w:rsid w:val="00A75B93"/>
    <w:pPr>
      <w:jc w:val="right"/>
    </w:pPr>
  </w:style>
  <w:style w:type="paragraph" w:customStyle="1" w:styleId="FooterEven">
    <w:name w:val="FooterEven"/>
    <w:basedOn w:val="Footer"/>
    <w:uiPriority w:val="99"/>
    <w:semiHidden/>
    <w:qFormat/>
    <w:rsid w:val="00A75B93"/>
    <w:pPr>
      <w:jc w:val="right"/>
    </w:pPr>
  </w:style>
  <w:style w:type="paragraph" w:customStyle="1" w:styleId="FooterPageEven">
    <w:name w:val="FooterPageEven"/>
    <w:basedOn w:val="FooterPage"/>
    <w:uiPriority w:val="99"/>
    <w:semiHidden/>
    <w:qFormat/>
    <w:rsid w:val="00A75B93"/>
    <w:pPr>
      <w:jc w:val="left"/>
    </w:pPr>
  </w:style>
  <w:style w:type="paragraph" w:customStyle="1" w:styleId="HeaderEven">
    <w:name w:val="HeaderEven"/>
    <w:basedOn w:val="Header"/>
    <w:uiPriority w:val="99"/>
    <w:semiHidden/>
    <w:qFormat/>
    <w:rsid w:val="00EE10AA"/>
  </w:style>
  <w:style w:type="character" w:customStyle="1" w:styleId="HeaderRepeat">
    <w:name w:val="HeaderRepeat"/>
    <w:basedOn w:val="DefaultParagraphFont"/>
    <w:uiPriority w:val="30"/>
    <w:qFormat/>
    <w:rsid w:val="00A75B93"/>
  </w:style>
  <w:style w:type="numbering" w:customStyle="1" w:styleId="NumbListBullets">
    <w:name w:val="NumbList Bullets"/>
    <w:uiPriority w:val="99"/>
    <w:rsid w:val="0081296B"/>
    <w:pPr>
      <w:numPr>
        <w:numId w:val="14"/>
      </w:numPr>
    </w:pPr>
  </w:style>
  <w:style w:type="paragraph" w:customStyle="1" w:styleId="MajorBullet1">
    <w:name w:val="Major Bullet 1"/>
    <w:basedOn w:val="Normal"/>
    <w:uiPriority w:val="7"/>
    <w:qFormat/>
    <w:rsid w:val="0081296B"/>
    <w:pPr>
      <w:numPr>
        <w:numId w:val="23"/>
      </w:numPr>
      <w:spacing w:before="60" w:after="60"/>
    </w:pPr>
  </w:style>
  <w:style w:type="paragraph" w:customStyle="1" w:styleId="MajorBullet2">
    <w:name w:val="Major Bullet 2"/>
    <w:basedOn w:val="MajorBullet1"/>
    <w:uiPriority w:val="7"/>
    <w:qFormat/>
    <w:rsid w:val="00A75B93"/>
    <w:pPr>
      <w:numPr>
        <w:ilvl w:val="1"/>
      </w:numPr>
    </w:pPr>
  </w:style>
  <w:style w:type="paragraph" w:customStyle="1" w:styleId="MajorBullet3">
    <w:name w:val="Major Bullet 3"/>
    <w:basedOn w:val="MajorBullet2"/>
    <w:uiPriority w:val="7"/>
    <w:qFormat/>
    <w:rsid w:val="00A75B93"/>
    <w:pPr>
      <w:numPr>
        <w:ilvl w:val="2"/>
      </w:numPr>
    </w:pPr>
  </w:style>
  <w:style w:type="numbering" w:customStyle="1" w:styleId="NumblistNumb">
    <w:name w:val="Numblist Numb"/>
    <w:uiPriority w:val="99"/>
    <w:rsid w:val="00A75B93"/>
    <w:pPr>
      <w:numPr>
        <w:numId w:val="15"/>
      </w:numPr>
    </w:pPr>
  </w:style>
  <w:style w:type="paragraph" w:styleId="ListParagraph">
    <w:name w:val="List Paragraph"/>
    <w:aliases w:val="Bullets"/>
    <w:basedOn w:val="Normal"/>
    <w:uiPriority w:val="34"/>
    <w:qFormat/>
    <w:rsid w:val="00A75B93"/>
    <w:pPr>
      <w:ind w:left="720"/>
      <w:contextualSpacing/>
    </w:pPr>
  </w:style>
  <w:style w:type="paragraph" w:customStyle="1" w:styleId="Numblist1">
    <w:name w:val="Numblist 1"/>
    <w:basedOn w:val="ListParagraph"/>
    <w:uiPriority w:val="9"/>
    <w:qFormat/>
    <w:rsid w:val="00A75B93"/>
    <w:pPr>
      <w:numPr>
        <w:numId w:val="16"/>
      </w:numPr>
      <w:spacing w:before="60" w:after="60"/>
      <w:contextualSpacing w:val="0"/>
    </w:pPr>
  </w:style>
  <w:style w:type="paragraph" w:customStyle="1" w:styleId="Numblist2">
    <w:name w:val="Numblist 2"/>
    <w:basedOn w:val="Numblist1"/>
    <w:uiPriority w:val="9"/>
    <w:qFormat/>
    <w:rsid w:val="00A75B93"/>
    <w:pPr>
      <w:numPr>
        <w:ilvl w:val="1"/>
      </w:numPr>
    </w:pPr>
  </w:style>
  <w:style w:type="paragraph" w:customStyle="1" w:styleId="Numblist3">
    <w:name w:val="Numblist 3"/>
    <w:basedOn w:val="Numblist2"/>
    <w:uiPriority w:val="9"/>
    <w:qFormat/>
    <w:rsid w:val="00A75B93"/>
    <w:pPr>
      <w:numPr>
        <w:ilvl w:val="2"/>
      </w:numPr>
    </w:pPr>
  </w:style>
  <w:style w:type="numbering" w:customStyle="1" w:styleId="NumbListAnnex">
    <w:name w:val="NumbList Annex"/>
    <w:uiPriority w:val="99"/>
    <w:rsid w:val="00A75B93"/>
    <w:pPr>
      <w:numPr>
        <w:numId w:val="17"/>
      </w:numPr>
    </w:pPr>
  </w:style>
  <w:style w:type="character" w:styleId="Hyperlink">
    <w:name w:val="Hyperlink"/>
    <w:basedOn w:val="DefaultParagraphFont"/>
    <w:uiPriority w:val="99"/>
    <w:rsid w:val="00A75B93"/>
    <w:rPr>
      <w:color w:val="0563C1" w:themeColor="hyperlink"/>
      <w:u w:val="single"/>
    </w:rPr>
  </w:style>
  <w:style w:type="paragraph" w:styleId="TOC1">
    <w:name w:val="toc 1"/>
    <w:basedOn w:val="Normal"/>
    <w:next w:val="Normal"/>
    <w:uiPriority w:val="39"/>
    <w:rsid w:val="00A75B93"/>
    <w:pPr>
      <w:tabs>
        <w:tab w:val="right" w:pos="8789"/>
      </w:tabs>
      <w:spacing w:before="160" w:after="60"/>
      <w:ind w:right="737"/>
      <w:jc w:val="left"/>
    </w:pPr>
    <w:rPr>
      <w:rFonts w:eastAsia="Times New Roman" w:cs="Times New Roman"/>
      <w:caps/>
      <w:noProof/>
      <w:color w:val="06357A"/>
      <w:sz w:val="24"/>
      <w:lang w:val="fr-FR"/>
    </w:rPr>
  </w:style>
  <w:style w:type="paragraph" w:styleId="TOC2">
    <w:name w:val="toc 2"/>
    <w:basedOn w:val="Normal"/>
    <w:next w:val="Normal"/>
    <w:uiPriority w:val="39"/>
    <w:rsid w:val="00D8757E"/>
    <w:pPr>
      <w:tabs>
        <w:tab w:val="right" w:pos="8789"/>
      </w:tabs>
      <w:spacing w:before="160" w:after="60"/>
      <w:ind w:right="737"/>
      <w:jc w:val="left"/>
    </w:pPr>
    <w:rPr>
      <w:rFonts w:eastAsia="Times New Roman" w:cs="Times New Roman"/>
      <w:noProof/>
      <w:color w:val="06357A" w:themeColor="text2"/>
      <w:sz w:val="24"/>
    </w:rPr>
  </w:style>
  <w:style w:type="paragraph" w:styleId="TOC3">
    <w:name w:val="toc 3"/>
    <w:basedOn w:val="Normal"/>
    <w:next w:val="Normal"/>
    <w:uiPriority w:val="39"/>
    <w:rsid w:val="00A75B93"/>
    <w:pPr>
      <w:tabs>
        <w:tab w:val="right" w:pos="8789"/>
      </w:tabs>
      <w:spacing w:before="160" w:after="60"/>
      <w:ind w:left="454" w:right="737" w:hanging="454"/>
      <w:jc w:val="left"/>
    </w:pPr>
    <w:rPr>
      <w:rFonts w:eastAsia="Times New Roman" w:cs="Times New Roman"/>
      <w:noProof/>
      <w:color w:val="06357A"/>
      <w:sz w:val="24"/>
    </w:rPr>
  </w:style>
  <w:style w:type="paragraph" w:styleId="TOC4">
    <w:name w:val="toc 4"/>
    <w:basedOn w:val="Normal"/>
    <w:next w:val="Normal"/>
    <w:uiPriority w:val="39"/>
    <w:rsid w:val="00A75B93"/>
    <w:pPr>
      <w:tabs>
        <w:tab w:val="right" w:pos="8789"/>
      </w:tabs>
      <w:spacing w:before="0" w:after="60"/>
      <w:ind w:left="454" w:right="737"/>
      <w:jc w:val="left"/>
    </w:pPr>
  </w:style>
  <w:style w:type="paragraph" w:customStyle="1" w:styleId="TableText">
    <w:name w:val="Table Text"/>
    <w:basedOn w:val="Normal"/>
    <w:uiPriority w:val="34"/>
    <w:qFormat/>
    <w:rsid w:val="00A75B93"/>
    <w:pPr>
      <w:spacing w:before="0" w:after="0"/>
      <w:ind w:left="113"/>
      <w:jc w:val="left"/>
    </w:pPr>
    <w:rPr>
      <w:sz w:val="20"/>
    </w:rPr>
  </w:style>
  <w:style w:type="paragraph" w:customStyle="1" w:styleId="TableHeading">
    <w:name w:val="Table Heading"/>
    <w:basedOn w:val="TableText"/>
    <w:uiPriority w:val="34"/>
    <w:qFormat/>
    <w:rsid w:val="00A75B93"/>
    <w:rPr>
      <w:b/>
      <w:color w:val="06357A"/>
    </w:rPr>
  </w:style>
  <w:style w:type="paragraph" w:customStyle="1" w:styleId="TableTextCentered">
    <w:name w:val="Table Text Centered"/>
    <w:basedOn w:val="TableText"/>
    <w:uiPriority w:val="34"/>
    <w:qFormat/>
    <w:rsid w:val="00A75B93"/>
    <w:pPr>
      <w:jc w:val="center"/>
    </w:pPr>
  </w:style>
  <w:style w:type="paragraph" w:customStyle="1" w:styleId="Heading1NoNumbNoTOC">
    <w:name w:val="Heading 1 NoNumb NoTOC"/>
    <w:basedOn w:val="Heading1NoNumb"/>
    <w:uiPriority w:val="99"/>
    <w:semiHidden/>
    <w:qFormat/>
    <w:rsid w:val="00A75B93"/>
  </w:style>
  <w:style w:type="paragraph" w:customStyle="1" w:styleId="Heading2NoNumbNoTOC">
    <w:name w:val="Heading 2 NoNumb NoTOC"/>
    <w:basedOn w:val="Heading2NoNumb"/>
    <w:uiPriority w:val="99"/>
    <w:semiHidden/>
    <w:qFormat/>
    <w:rsid w:val="00A75B93"/>
    <w:pPr>
      <w:outlineLvl w:val="0"/>
    </w:pPr>
  </w:style>
  <w:style w:type="paragraph" w:customStyle="1" w:styleId="Heading3NoNumbNoTOC">
    <w:name w:val="Heading 3 NoNumb NoTOC"/>
    <w:basedOn w:val="Heading3NoNumb"/>
    <w:uiPriority w:val="99"/>
    <w:semiHidden/>
    <w:qFormat/>
    <w:rsid w:val="00A75B93"/>
    <w:pPr>
      <w:outlineLvl w:val="0"/>
    </w:pPr>
  </w:style>
  <w:style w:type="paragraph" w:customStyle="1" w:styleId="NormalIndent1">
    <w:name w:val="Normal Indent 1"/>
    <w:basedOn w:val="Normal"/>
    <w:uiPriority w:val="10"/>
    <w:qFormat/>
    <w:rsid w:val="00A75B93"/>
    <w:pPr>
      <w:ind w:left="851"/>
    </w:pPr>
  </w:style>
  <w:style w:type="paragraph" w:customStyle="1" w:styleId="NormalIndent2">
    <w:name w:val="Normal Indent 2"/>
    <w:basedOn w:val="Normal"/>
    <w:uiPriority w:val="10"/>
    <w:qFormat/>
    <w:rsid w:val="00A75B93"/>
    <w:pPr>
      <w:ind w:left="1134"/>
    </w:pPr>
  </w:style>
  <w:style w:type="paragraph" w:customStyle="1" w:styleId="NormalIndent3">
    <w:name w:val="Normal Indent 3"/>
    <w:basedOn w:val="NormalIndent2"/>
    <w:uiPriority w:val="10"/>
    <w:qFormat/>
    <w:rsid w:val="00A75B93"/>
    <w:pPr>
      <w:ind w:left="1531"/>
    </w:pPr>
  </w:style>
  <w:style w:type="paragraph" w:customStyle="1" w:styleId="TableSource">
    <w:name w:val="Table Source"/>
    <w:basedOn w:val="Normal"/>
    <w:next w:val="Normal"/>
    <w:uiPriority w:val="36"/>
    <w:qFormat/>
    <w:rsid w:val="00A75B93"/>
    <w:pPr>
      <w:spacing w:before="0" w:after="0"/>
      <w:jc w:val="left"/>
    </w:pPr>
    <w:rPr>
      <w:b/>
      <w:i/>
      <w:sz w:val="16"/>
    </w:rPr>
  </w:style>
  <w:style w:type="paragraph" w:customStyle="1" w:styleId="TableNote">
    <w:name w:val="Table Note"/>
    <w:basedOn w:val="TableSource"/>
    <w:next w:val="TableSource"/>
    <w:uiPriority w:val="35"/>
    <w:qFormat/>
    <w:rsid w:val="00257F75"/>
    <w:rPr>
      <w:b w:val="0"/>
      <w:i w:val="0"/>
    </w:rPr>
  </w:style>
  <w:style w:type="numbering" w:customStyle="1" w:styleId="NumbListTable">
    <w:name w:val="NumbListTable"/>
    <w:uiPriority w:val="99"/>
    <w:rsid w:val="00A75B93"/>
    <w:pPr>
      <w:numPr>
        <w:numId w:val="18"/>
      </w:numPr>
    </w:pPr>
  </w:style>
  <w:style w:type="paragraph" w:customStyle="1" w:styleId="QuoteBoxLeft">
    <w:name w:val="Quote Box Left"/>
    <w:basedOn w:val="QuoteBoxRight"/>
    <w:next w:val="Normal"/>
    <w:uiPriority w:val="21"/>
    <w:qFormat/>
    <w:rsid w:val="00A75B93"/>
    <w:pPr>
      <w:framePr w:wrap="around" w:xAlign="left"/>
    </w:pPr>
  </w:style>
  <w:style w:type="paragraph" w:customStyle="1" w:styleId="QuoteBoxRight">
    <w:name w:val="Quote Box Right"/>
    <w:basedOn w:val="Normal"/>
    <w:next w:val="Normal"/>
    <w:uiPriority w:val="21"/>
    <w:qFormat/>
    <w:rsid w:val="00A75B93"/>
    <w:pPr>
      <w:framePr w:w="3175" w:hSpace="567" w:wrap="around" w:vAnchor="text" w:hAnchor="margin" w:xAlign="right" w:y="1"/>
    </w:pPr>
    <w:rPr>
      <w:i/>
      <w:color w:val="06357A"/>
    </w:rPr>
  </w:style>
  <w:style w:type="paragraph" w:customStyle="1" w:styleId="SideBar">
    <w:name w:val="SideBar"/>
    <w:basedOn w:val="Normal"/>
    <w:uiPriority w:val="21"/>
    <w:qFormat/>
    <w:rsid w:val="00A75B93"/>
    <w:rPr>
      <w:i/>
      <w:color w:val="06357A"/>
    </w:rPr>
  </w:style>
  <w:style w:type="numbering" w:customStyle="1" w:styleId="NumblistFigures">
    <w:name w:val="NumblistFigures"/>
    <w:uiPriority w:val="99"/>
    <w:rsid w:val="00A75B93"/>
    <w:pPr>
      <w:numPr>
        <w:numId w:val="32"/>
      </w:numPr>
    </w:pPr>
  </w:style>
  <w:style w:type="numbering" w:customStyle="1" w:styleId="NumblistBox">
    <w:name w:val="NumblistBox"/>
    <w:uiPriority w:val="99"/>
    <w:rsid w:val="00A75B93"/>
    <w:pPr>
      <w:numPr>
        <w:numId w:val="20"/>
      </w:numPr>
    </w:pPr>
  </w:style>
  <w:style w:type="paragraph" w:customStyle="1" w:styleId="MinorBullet1">
    <w:name w:val="Minor Bullet 1"/>
    <w:basedOn w:val="MajorBullet1"/>
    <w:uiPriority w:val="8"/>
    <w:qFormat/>
    <w:rsid w:val="0081296B"/>
    <w:pPr>
      <w:numPr>
        <w:numId w:val="24"/>
      </w:numPr>
    </w:pPr>
  </w:style>
  <w:style w:type="paragraph" w:customStyle="1" w:styleId="MinorBullet2">
    <w:name w:val="Minor Bullet 2"/>
    <w:basedOn w:val="MajorBullet2"/>
    <w:uiPriority w:val="8"/>
    <w:qFormat/>
    <w:rsid w:val="0081296B"/>
    <w:pPr>
      <w:numPr>
        <w:numId w:val="24"/>
      </w:numPr>
    </w:pPr>
  </w:style>
  <w:style w:type="paragraph" w:customStyle="1" w:styleId="MinorBullet3">
    <w:name w:val="Minor Bullet 3"/>
    <w:basedOn w:val="MajorBullet3"/>
    <w:uiPriority w:val="8"/>
    <w:qFormat/>
    <w:rsid w:val="0081296B"/>
    <w:pPr>
      <w:numPr>
        <w:numId w:val="24"/>
      </w:numPr>
    </w:pPr>
  </w:style>
  <w:style w:type="numbering" w:customStyle="1" w:styleId="NumbListMinorBullet">
    <w:name w:val="NumbList Minor Bullet"/>
    <w:rsid w:val="0081296B"/>
    <w:pPr>
      <w:numPr>
        <w:numId w:val="21"/>
      </w:numPr>
    </w:pPr>
  </w:style>
  <w:style w:type="paragraph" w:styleId="Bibliography">
    <w:name w:val="Bibliography"/>
    <w:basedOn w:val="Normal"/>
    <w:next w:val="Normal"/>
    <w:uiPriority w:val="39"/>
    <w:semiHidden/>
    <w:unhideWhenUsed/>
    <w:rsid w:val="00A75B93"/>
  </w:style>
  <w:style w:type="paragraph" w:styleId="BlockText">
    <w:name w:val="Block Text"/>
    <w:basedOn w:val="Normal"/>
    <w:uiPriority w:val="99"/>
    <w:semiHidden/>
    <w:unhideWhenUsed/>
    <w:rsid w:val="00A75B93"/>
    <w:pPr>
      <w:pBdr>
        <w:top w:val="single" w:sz="2" w:space="10" w:color="06357A" w:themeColor="accent1"/>
        <w:left w:val="single" w:sz="2" w:space="10" w:color="06357A" w:themeColor="accent1"/>
        <w:bottom w:val="single" w:sz="2" w:space="10" w:color="06357A" w:themeColor="accent1"/>
        <w:right w:val="single" w:sz="2" w:space="10" w:color="06357A" w:themeColor="accent1"/>
      </w:pBdr>
      <w:ind w:left="1152" w:right="1152"/>
    </w:pPr>
    <w:rPr>
      <w:rFonts w:eastAsiaTheme="minorEastAsia"/>
      <w:i/>
      <w:iCs/>
      <w:color w:val="06357A" w:themeColor="accent1"/>
    </w:rPr>
  </w:style>
  <w:style w:type="paragraph" w:styleId="BodyText">
    <w:name w:val="Body Text"/>
    <w:basedOn w:val="Normal"/>
    <w:link w:val="BodyTextChar"/>
    <w:uiPriority w:val="99"/>
    <w:semiHidden/>
    <w:unhideWhenUsed/>
    <w:rsid w:val="00A75B93"/>
    <w:pPr>
      <w:spacing w:after="120"/>
    </w:pPr>
  </w:style>
  <w:style w:type="character" w:customStyle="1" w:styleId="BodyTextChar">
    <w:name w:val="Body Text Char"/>
    <w:basedOn w:val="DefaultParagraphFont"/>
    <w:link w:val="BodyText"/>
    <w:uiPriority w:val="99"/>
    <w:semiHidden/>
    <w:rsid w:val="00A75B93"/>
    <w:rPr>
      <w:rFonts w:ascii="Calibri" w:hAnsi="Calibri"/>
    </w:rPr>
  </w:style>
  <w:style w:type="paragraph" w:styleId="BodyText2">
    <w:name w:val="Body Text 2"/>
    <w:basedOn w:val="Normal"/>
    <w:link w:val="BodyText2Char"/>
    <w:uiPriority w:val="99"/>
    <w:semiHidden/>
    <w:unhideWhenUsed/>
    <w:rsid w:val="00A75B93"/>
    <w:pPr>
      <w:spacing w:after="120" w:line="480" w:lineRule="auto"/>
    </w:pPr>
  </w:style>
  <w:style w:type="character" w:customStyle="1" w:styleId="BodyText2Char">
    <w:name w:val="Body Text 2 Char"/>
    <w:basedOn w:val="DefaultParagraphFont"/>
    <w:link w:val="BodyText2"/>
    <w:uiPriority w:val="99"/>
    <w:semiHidden/>
    <w:rsid w:val="00A75B93"/>
    <w:rPr>
      <w:rFonts w:ascii="Calibri" w:hAnsi="Calibri"/>
    </w:rPr>
  </w:style>
  <w:style w:type="paragraph" w:styleId="BodyText3">
    <w:name w:val="Body Text 3"/>
    <w:basedOn w:val="Normal"/>
    <w:link w:val="BodyText3Char"/>
    <w:uiPriority w:val="99"/>
    <w:semiHidden/>
    <w:unhideWhenUsed/>
    <w:rsid w:val="00A75B93"/>
    <w:pPr>
      <w:spacing w:after="120"/>
    </w:pPr>
    <w:rPr>
      <w:sz w:val="16"/>
      <w:szCs w:val="16"/>
    </w:rPr>
  </w:style>
  <w:style w:type="character" w:customStyle="1" w:styleId="BodyText3Char">
    <w:name w:val="Body Text 3 Char"/>
    <w:basedOn w:val="DefaultParagraphFont"/>
    <w:link w:val="BodyText3"/>
    <w:uiPriority w:val="99"/>
    <w:semiHidden/>
    <w:rsid w:val="00A75B93"/>
    <w:rPr>
      <w:rFonts w:ascii="Calibri" w:hAnsi="Calibri"/>
      <w:sz w:val="16"/>
      <w:szCs w:val="16"/>
    </w:rPr>
  </w:style>
  <w:style w:type="paragraph" w:styleId="BodyTextFirstIndent">
    <w:name w:val="Body Text First Indent"/>
    <w:basedOn w:val="BodyText"/>
    <w:link w:val="BodyTextFirstIndentChar"/>
    <w:uiPriority w:val="99"/>
    <w:semiHidden/>
    <w:rsid w:val="00A75B93"/>
    <w:pPr>
      <w:spacing w:after="200"/>
      <w:ind w:firstLine="360"/>
    </w:pPr>
  </w:style>
  <w:style w:type="character" w:customStyle="1" w:styleId="BodyTextFirstIndentChar">
    <w:name w:val="Body Text First Indent Char"/>
    <w:basedOn w:val="BodyTextChar"/>
    <w:link w:val="BodyTextFirstIndent"/>
    <w:uiPriority w:val="99"/>
    <w:semiHidden/>
    <w:rsid w:val="00A75B93"/>
    <w:rPr>
      <w:rFonts w:ascii="Calibri" w:hAnsi="Calibri"/>
    </w:rPr>
  </w:style>
  <w:style w:type="paragraph" w:styleId="BodyTextIndent">
    <w:name w:val="Body Text Indent"/>
    <w:basedOn w:val="Normal"/>
    <w:link w:val="BodyTextIndentChar"/>
    <w:uiPriority w:val="99"/>
    <w:semiHidden/>
    <w:unhideWhenUsed/>
    <w:rsid w:val="00A75B93"/>
    <w:pPr>
      <w:spacing w:after="120"/>
      <w:ind w:left="283"/>
    </w:pPr>
  </w:style>
  <w:style w:type="character" w:customStyle="1" w:styleId="BodyTextIndentChar">
    <w:name w:val="Body Text Indent Char"/>
    <w:basedOn w:val="DefaultParagraphFont"/>
    <w:link w:val="BodyTextIndent"/>
    <w:uiPriority w:val="99"/>
    <w:semiHidden/>
    <w:rsid w:val="00A75B93"/>
    <w:rPr>
      <w:rFonts w:ascii="Calibri" w:hAnsi="Calibri"/>
    </w:rPr>
  </w:style>
  <w:style w:type="paragraph" w:styleId="BodyTextFirstIndent2">
    <w:name w:val="Body Text First Indent 2"/>
    <w:basedOn w:val="BodyTextIndent"/>
    <w:link w:val="BodyTextFirstIndent2Char"/>
    <w:uiPriority w:val="99"/>
    <w:semiHidden/>
    <w:unhideWhenUsed/>
    <w:rsid w:val="00A75B93"/>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A75B93"/>
    <w:rPr>
      <w:rFonts w:ascii="Calibri" w:hAnsi="Calibri"/>
    </w:rPr>
  </w:style>
  <w:style w:type="paragraph" w:styleId="BodyTextIndent2">
    <w:name w:val="Body Text Indent 2"/>
    <w:basedOn w:val="Normal"/>
    <w:link w:val="BodyTextIndent2Char"/>
    <w:uiPriority w:val="99"/>
    <w:semiHidden/>
    <w:unhideWhenUsed/>
    <w:rsid w:val="00A75B93"/>
    <w:pPr>
      <w:spacing w:after="120" w:line="480" w:lineRule="auto"/>
      <w:ind w:left="283"/>
    </w:pPr>
  </w:style>
  <w:style w:type="character" w:customStyle="1" w:styleId="BodyTextIndent2Char">
    <w:name w:val="Body Text Indent 2 Char"/>
    <w:basedOn w:val="DefaultParagraphFont"/>
    <w:link w:val="BodyTextIndent2"/>
    <w:uiPriority w:val="99"/>
    <w:semiHidden/>
    <w:rsid w:val="00A75B93"/>
    <w:rPr>
      <w:rFonts w:ascii="Calibri" w:hAnsi="Calibri"/>
    </w:rPr>
  </w:style>
  <w:style w:type="paragraph" w:styleId="BodyTextIndent3">
    <w:name w:val="Body Text Indent 3"/>
    <w:basedOn w:val="Normal"/>
    <w:link w:val="BodyTextIndent3Char"/>
    <w:uiPriority w:val="99"/>
    <w:semiHidden/>
    <w:unhideWhenUsed/>
    <w:rsid w:val="00A75B9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75B93"/>
    <w:rPr>
      <w:rFonts w:ascii="Calibri" w:hAnsi="Calibri"/>
      <w:sz w:val="16"/>
      <w:szCs w:val="16"/>
    </w:rPr>
  </w:style>
  <w:style w:type="paragraph" w:styleId="Caption">
    <w:name w:val="caption"/>
    <w:basedOn w:val="Normal"/>
    <w:next w:val="Normal"/>
    <w:uiPriority w:val="37"/>
    <w:semiHidden/>
    <w:unhideWhenUsed/>
    <w:qFormat/>
    <w:rsid w:val="00A75B93"/>
    <w:rPr>
      <w:b/>
      <w:bCs/>
      <w:color w:val="06357A" w:themeColor="accent1"/>
      <w:sz w:val="18"/>
      <w:szCs w:val="18"/>
    </w:rPr>
  </w:style>
  <w:style w:type="paragraph" w:styleId="Closing">
    <w:name w:val="Closing"/>
    <w:basedOn w:val="Normal"/>
    <w:link w:val="ClosingChar"/>
    <w:uiPriority w:val="99"/>
    <w:semiHidden/>
    <w:unhideWhenUsed/>
    <w:rsid w:val="00A75B93"/>
    <w:pPr>
      <w:spacing w:after="0"/>
      <w:ind w:left="4252"/>
    </w:pPr>
  </w:style>
  <w:style w:type="character" w:customStyle="1" w:styleId="ClosingChar">
    <w:name w:val="Closing Char"/>
    <w:basedOn w:val="DefaultParagraphFont"/>
    <w:link w:val="Closing"/>
    <w:uiPriority w:val="99"/>
    <w:semiHidden/>
    <w:rsid w:val="00A75B93"/>
    <w:rPr>
      <w:rFonts w:ascii="Calibri" w:hAnsi="Calibri"/>
    </w:rPr>
  </w:style>
  <w:style w:type="paragraph" w:styleId="CommentText">
    <w:name w:val="annotation text"/>
    <w:basedOn w:val="Normal"/>
    <w:link w:val="CommentTextChar"/>
    <w:uiPriority w:val="99"/>
    <w:unhideWhenUsed/>
    <w:rsid w:val="00A75B93"/>
    <w:rPr>
      <w:sz w:val="20"/>
      <w:szCs w:val="20"/>
    </w:rPr>
  </w:style>
  <w:style w:type="character" w:customStyle="1" w:styleId="CommentTextChar">
    <w:name w:val="Comment Text Char"/>
    <w:basedOn w:val="DefaultParagraphFont"/>
    <w:link w:val="CommentText"/>
    <w:uiPriority w:val="99"/>
    <w:rsid w:val="00A75B93"/>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A75B93"/>
    <w:rPr>
      <w:b/>
      <w:bCs/>
    </w:rPr>
  </w:style>
  <w:style w:type="character" w:customStyle="1" w:styleId="CommentSubjectChar">
    <w:name w:val="Comment Subject Char"/>
    <w:basedOn w:val="CommentTextChar"/>
    <w:link w:val="CommentSubject"/>
    <w:uiPriority w:val="99"/>
    <w:semiHidden/>
    <w:rsid w:val="00A75B93"/>
    <w:rPr>
      <w:rFonts w:ascii="Calibri" w:hAnsi="Calibri"/>
      <w:b/>
      <w:bCs/>
      <w:sz w:val="20"/>
      <w:szCs w:val="20"/>
    </w:rPr>
  </w:style>
  <w:style w:type="paragraph" w:styleId="Date">
    <w:name w:val="Date"/>
    <w:basedOn w:val="Normal"/>
    <w:next w:val="Normal"/>
    <w:link w:val="DateChar"/>
    <w:uiPriority w:val="99"/>
    <w:semiHidden/>
    <w:rsid w:val="00A75B93"/>
  </w:style>
  <w:style w:type="character" w:customStyle="1" w:styleId="DateChar">
    <w:name w:val="Date Char"/>
    <w:basedOn w:val="DefaultParagraphFont"/>
    <w:link w:val="Date"/>
    <w:uiPriority w:val="99"/>
    <w:semiHidden/>
    <w:rsid w:val="00A75B93"/>
    <w:rPr>
      <w:rFonts w:ascii="Calibri" w:hAnsi="Calibri"/>
    </w:rPr>
  </w:style>
  <w:style w:type="paragraph" w:styleId="DocumentMap">
    <w:name w:val="Document Map"/>
    <w:basedOn w:val="Normal"/>
    <w:link w:val="DocumentMapChar"/>
    <w:uiPriority w:val="99"/>
    <w:semiHidden/>
    <w:unhideWhenUsed/>
    <w:rsid w:val="00A75B93"/>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A75B93"/>
    <w:rPr>
      <w:rFonts w:ascii="Tahoma" w:hAnsi="Tahoma" w:cs="Tahoma"/>
      <w:sz w:val="16"/>
      <w:szCs w:val="16"/>
    </w:rPr>
  </w:style>
  <w:style w:type="paragraph" w:styleId="EmailSignature">
    <w:name w:val="E-mail Signature"/>
    <w:basedOn w:val="Normal"/>
    <w:link w:val="EmailSignatureChar"/>
    <w:uiPriority w:val="99"/>
    <w:semiHidden/>
    <w:unhideWhenUsed/>
    <w:rsid w:val="00A75B93"/>
    <w:pPr>
      <w:spacing w:after="0"/>
    </w:pPr>
  </w:style>
  <w:style w:type="character" w:customStyle="1" w:styleId="EmailSignatureChar">
    <w:name w:val="Email Signature Char"/>
    <w:basedOn w:val="DefaultParagraphFont"/>
    <w:link w:val="EmailSignature"/>
    <w:uiPriority w:val="99"/>
    <w:semiHidden/>
    <w:rsid w:val="00A75B93"/>
    <w:rPr>
      <w:rFonts w:ascii="Calibri" w:hAnsi="Calibri"/>
    </w:rPr>
  </w:style>
  <w:style w:type="paragraph" w:styleId="EndnoteText">
    <w:name w:val="endnote text"/>
    <w:basedOn w:val="Normal"/>
    <w:link w:val="EndnoteTextChar"/>
    <w:uiPriority w:val="99"/>
    <w:semiHidden/>
    <w:unhideWhenUsed/>
    <w:rsid w:val="00A75B93"/>
    <w:pPr>
      <w:spacing w:after="0"/>
    </w:pPr>
    <w:rPr>
      <w:sz w:val="20"/>
      <w:szCs w:val="20"/>
    </w:rPr>
  </w:style>
  <w:style w:type="character" w:customStyle="1" w:styleId="EndnoteTextChar">
    <w:name w:val="Endnote Text Char"/>
    <w:basedOn w:val="DefaultParagraphFont"/>
    <w:link w:val="EndnoteText"/>
    <w:uiPriority w:val="99"/>
    <w:semiHidden/>
    <w:rsid w:val="00A75B93"/>
    <w:rPr>
      <w:rFonts w:ascii="Calibri" w:hAnsi="Calibri"/>
      <w:sz w:val="20"/>
      <w:szCs w:val="20"/>
    </w:rPr>
  </w:style>
  <w:style w:type="paragraph" w:styleId="EnvelopeAddress">
    <w:name w:val="envelope address"/>
    <w:basedOn w:val="Normal"/>
    <w:uiPriority w:val="99"/>
    <w:semiHidden/>
    <w:unhideWhenUsed/>
    <w:rsid w:val="00A75B9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75B93"/>
    <w:pPr>
      <w:spacing w:after="0"/>
    </w:pPr>
    <w:rPr>
      <w:rFonts w:asciiTheme="majorHAnsi" w:eastAsiaTheme="majorEastAsia" w:hAnsiTheme="majorHAnsi" w:cstheme="majorBidi"/>
      <w:sz w:val="20"/>
      <w:szCs w:val="20"/>
    </w:rPr>
  </w:style>
  <w:style w:type="paragraph" w:styleId="FootnoteText">
    <w:name w:val="footnote text"/>
    <w:aliases w:val="Carattere4,Char Char,fn,Footnote Text Char1,Footnote Text Char Char,Footnote Text Char1 Char Char,Footnote Text Char Char Char Char,Footnote Text Char1 Char Char Char Char,Footnote Text Char Char Char Char Char Char"/>
    <w:basedOn w:val="Normal"/>
    <w:link w:val="FootnoteTextChar"/>
    <w:uiPriority w:val="99"/>
    <w:unhideWhenUsed/>
    <w:qFormat/>
    <w:rsid w:val="00A75B93"/>
    <w:pPr>
      <w:spacing w:before="120" w:after="0"/>
    </w:pPr>
    <w:rPr>
      <w:sz w:val="16"/>
      <w:szCs w:val="20"/>
    </w:rPr>
  </w:style>
  <w:style w:type="character" w:customStyle="1" w:styleId="FootnoteTextChar">
    <w:name w:val="Footnote Text Char"/>
    <w:aliases w:val="Carattere4 Char,Char Char Char,fn Char,Footnote Text Char1 Char,Footnote Text Char Char Char,Footnote Text Char1 Char Char Char,Footnote Text Char Char Char Char Char,Footnote Text Char1 Char Char Char Char Char"/>
    <w:basedOn w:val="DefaultParagraphFont"/>
    <w:link w:val="FootnoteText"/>
    <w:uiPriority w:val="99"/>
    <w:rsid w:val="00A75B93"/>
    <w:rPr>
      <w:rFonts w:ascii="Calibri" w:hAnsi="Calibri"/>
      <w:sz w:val="16"/>
      <w:szCs w:val="20"/>
    </w:rPr>
  </w:style>
  <w:style w:type="character" w:customStyle="1" w:styleId="Heading5Char">
    <w:name w:val="Heading 5 Char"/>
    <w:basedOn w:val="DefaultParagraphFont"/>
    <w:link w:val="Heading5"/>
    <w:uiPriority w:val="99"/>
    <w:semiHidden/>
    <w:rsid w:val="00A75B93"/>
    <w:rPr>
      <w:rFonts w:asciiTheme="majorHAnsi" w:eastAsiaTheme="majorEastAsia" w:hAnsiTheme="majorHAnsi" w:cstheme="majorBidi"/>
      <w:color w:val="031A3C" w:themeColor="accent1" w:themeShade="7F"/>
    </w:rPr>
  </w:style>
  <w:style w:type="character" w:customStyle="1" w:styleId="Heading6Char">
    <w:name w:val="Heading 6 Char"/>
    <w:basedOn w:val="DefaultParagraphFont"/>
    <w:link w:val="Heading6"/>
    <w:uiPriority w:val="99"/>
    <w:semiHidden/>
    <w:rsid w:val="00A75B93"/>
    <w:rPr>
      <w:rFonts w:asciiTheme="majorHAnsi" w:eastAsiaTheme="majorEastAsia" w:hAnsiTheme="majorHAnsi" w:cstheme="majorBidi"/>
      <w:i/>
      <w:iCs/>
      <w:color w:val="031A3C" w:themeColor="accent1" w:themeShade="7F"/>
    </w:rPr>
  </w:style>
  <w:style w:type="character" w:customStyle="1" w:styleId="Heading7Char">
    <w:name w:val="Heading 7 Char"/>
    <w:basedOn w:val="DefaultParagraphFont"/>
    <w:link w:val="Heading7"/>
    <w:uiPriority w:val="99"/>
    <w:semiHidden/>
    <w:rsid w:val="00A75B9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semiHidden/>
    <w:rsid w:val="00A75B9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semiHidden/>
    <w:rsid w:val="00A75B93"/>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A75B93"/>
    <w:pPr>
      <w:spacing w:after="0"/>
    </w:pPr>
    <w:rPr>
      <w:i/>
      <w:iCs/>
    </w:rPr>
  </w:style>
  <w:style w:type="character" w:customStyle="1" w:styleId="HTMLAddressChar">
    <w:name w:val="HTML Address Char"/>
    <w:basedOn w:val="DefaultParagraphFont"/>
    <w:link w:val="HTMLAddress"/>
    <w:uiPriority w:val="99"/>
    <w:semiHidden/>
    <w:rsid w:val="00A75B93"/>
    <w:rPr>
      <w:rFonts w:ascii="Calibri" w:hAnsi="Calibri"/>
      <w:i/>
      <w:iCs/>
    </w:rPr>
  </w:style>
  <w:style w:type="paragraph" w:styleId="HTMLPreformatted">
    <w:name w:val="HTML Preformatted"/>
    <w:basedOn w:val="Normal"/>
    <w:link w:val="HTMLPreformattedChar"/>
    <w:uiPriority w:val="99"/>
    <w:semiHidden/>
    <w:unhideWhenUsed/>
    <w:rsid w:val="00A75B93"/>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75B93"/>
    <w:rPr>
      <w:rFonts w:ascii="Consolas" w:hAnsi="Consolas" w:cs="Consolas"/>
      <w:sz w:val="20"/>
      <w:szCs w:val="20"/>
    </w:rPr>
  </w:style>
  <w:style w:type="paragraph" w:styleId="Index1">
    <w:name w:val="index 1"/>
    <w:basedOn w:val="Normal"/>
    <w:next w:val="Normal"/>
    <w:autoRedefine/>
    <w:uiPriority w:val="99"/>
    <w:semiHidden/>
    <w:unhideWhenUsed/>
    <w:rsid w:val="00A75B93"/>
    <w:pPr>
      <w:spacing w:after="0"/>
      <w:ind w:left="220" w:hanging="220"/>
    </w:pPr>
  </w:style>
  <w:style w:type="paragraph" w:styleId="Index2">
    <w:name w:val="index 2"/>
    <w:basedOn w:val="Normal"/>
    <w:next w:val="Normal"/>
    <w:autoRedefine/>
    <w:uiPriority w:val="99"/>
    <w:semiHidden/>
    <w:unhideWhenUsed/>
    <w:rsid w:val="00A75B93"/>
    <w:pPr>
      <w:spacing w:after="0"/>
      <w:ind w:left="440" w:hanging="220"/>
    </w:pPr>
  </w:style>
  <w:style w:type="paragraph" w:styleId="Index3">
    <w:name w:val="index 3"/>
    <w:basedOn w:val="Normal"/>
    <w:next w:val="Normal"/>
    <w:autoRedefine/>
    <w:uiPriority w:val="99"/>
    <w:semiHidden/>
    <w:unhideWhenUsed/>
    <w:rsid w:val="00A75B93"/>
    <w:pPr>
      <w:spacing w:after="0"/>
      <w:ind w:left="660" w:hanging="220"/>
    </w:pPr>
  </w:style>
  <w:style w:type="paragraph" w:styleId="Index4">
    <w:name w:val="index 4"/>
    <w:basedOn w:val="Normal"/>
    <w:next w:val="Normal"/>
    <w:autoRedefine/>
    <w:uiPriority w:val="99"/>
    <w:semiHidden/>
    <w:unhideWhenUsed/>
    <w:rsid w:val="00A75B93"/>
    <w:pPr>
      <w:spacing w:after="0"/>
      <w:ind w:left="880" w:hanging="220"/>
    </w:pPr>
  </w:style>
  <w:style w:type="paragraph" w:styleId="Index5">
    <w:name w:val="index 5"/>
    <w:basedOn w:val="Normal"/>
    <w:next w:val="Normal"/>
    <w:autoRedefine/>
    <w:uiPriority w:val="99"/>
    <w:semiHidden/>
    <w:unhideWhenUsed/>
    <w:rsid w:val="00A75B93"/>
    <w:pPr>
      <w:spacing w:after="0"/>
      <w:ind w:left="1100" w:hanging="220"/>
    </w:pPr>
  </w:style>
  <w:style w:type="paragraph" w:styleId="Index6">
    <w:name w:val="index 6"/>
    <w:basedOn w:val="Normal"/>
    <w:next w:val="Normal"/>
    <w:autoRedefine/>
    <w:uiPriority w:val="99"/>
    <w:semiHidden/>
    <w:unhideWhenUsed/>
    <w:rsid w:val="00A75B93"/>
    <w:pPr>
      <w:spacing w:after="0"/>
      <w:ind w:left="1320" w:hanging="220"/>
    </w:pPr>
  </w:style>
  <w:style w:type="paragraph" w:styleId="Index7">
    <w:name w:val="index 7"/>
    <w:basedOn w:val="Normal"/>
    <w:next w:val="Normal"/>
    <w:autoRedefine/>
    <w:uiPriority w:val="99"/>
    <w:semiHidden/>
    <w:unhideWhenUsed/>
    <w:rsid w:val="00A75B93"/>
    <w:pPr>
      <w:spacing w:after="0"/>
      <w:ind w:left="1540" w:hanging="220"/>
    </w:pPr>
  </w:style>
  <w:style w:type="paragraph" w:styleId="Index8">
    <w:name w:val="index 8"/>
    <w:basedOn w:val="Normal"/>
    <w:next w:val="Normal"/>
    <w:autoRedefine/>
    <w:uiPriority w:val="99"/>
    <w:semiHidden/>
    <w:unhideWhenUsed/>
    <w:rsid w:val="00A75B93"/>
    <w:pPr>
      <w:spacing w:after="0"/>
      <w:ind w:left="1760" w:hanging="220"/>
    </w:pPr>
  </w:style>
  <w:style w:type="paragraph" w:styleId="Index9">
    <w:name w:val="index 9"/>
    <w:basedOn w:val="Normal"/>
    <w:next w:val="Normal"/>
    <w:autoRedefine/>
    <w:uiPriority w:val="99"/>
    <w:semiHidden/>
    <w:unhideWhenUsed/>
    <w:rsid w:val="00A75B93"/>
    <w:pPr>
      <w:spacing w:after="0"/>
      <w:ind w:left="1980" w:hanging="220"/>
    </w:pPr>
  </w:style>
  <w:style w:type="paragraph" w:styleId="IndexHeading">
    <w:name w:val="index heading"/>
    <w:basedOn w:val="Normal"/>
    <w:next w:val="Index1"/>
    <w:uiPriority w:val="99"/>
    <w:semiHidden/>
    <w:unhideWhenUsed/>
    <w:rsid w:val="00A75B93"/>
    <w:rPr>
      <w:rFonts w:asciiTheme="majorHAnsi" w:eastAsiaTheme="majorEastAsia" w:hAnsiTheme="majorHAnsi" w:cstheme="majorBidi"/>
      <w:b/>
      <w:bCs/>
    </w:rPr>
  </w:style>
  <w:style w:type="paragraph" w:styleId="IntenseQuote">
    <w:name w:val="Intense Quote"/>
    <w:basedOn w:val="Normal"/>
    <w:next w:val="Normal"/>
    <w:link w:val="IntenseQuoteChar"/>
    <w:uiPriority w:val="99"/>
    <w:qFormat/>
    <w:rsid w:val="00A75B93"/>
    <w:pPr>
      <w:pBdr>
        <w:bottom w:val="single" w:sz="4" w:space="4" w:color="06357A" w:themeColor="accent1"/>
      </w:pBdr>
      <w:spacing w:before="200" w:after="280"/>
      <w:ind w:left="936" w:right="936"/>
    </w:pPr>
    <w:rPr>
      <w:b/>
      <w:bCs/>
      <w:i/>
      <w:iCs/>
      <w:color w:val="06357A" w:themeColor="accent1"/>
    </w:rPr>
  </w:style>
  <w:style w:type="character" w:customStyle="1" w:styleId="IntenseQuoteChar">
    <w:name w:val="Intense Quote Char"/>
    <w:basedOn w:val="DefaultParagraphFont"/>
    <w:link w:val="IntenseQuote"/>
    <w:uiPriority w:val="99"/>
    <w:rsid w:val="00A75B93"/>
    <w:rPr>
      <w:rFonts w:ascii="Calibri" w:hAnsi="Calibri"/>
      <w:b/>
      <w:bCs/>
      <w:i/>
      <w:iCs/>
      <w:color w:val="06357A" w:themeColor="accent1"/>
    </w:rPr>
  </w:style>
  <w:style w:type="paragraph" w:styleId="List">
    <w:name w:val="List"/>
    <w:basedOn w:val="Normal"/>
    <w:uiPriority w:val="99"/>
    <w:semiHidden/>
    <w:unhideWhenUsed/>
    <w:rsid w:val="00A75B93"/>
    <w:pPr>
      <w:ind w:left="283" w:hanging="283"/>
      <w:contextualSpacing/>
    </w:pPr>
  </w:style>
  <w:style w:type="paragraph" w:styleId="List2">
    <w:name w:val="List 2"/>
    <w:basedOn w:val="Normal"/>
    <w:uiPriority w:val="99"/>
    <w:semiHidden/>
    <w:unhideWhenUsed/>
    <w:rsid w:val="00A75B93"/>
    <w:pPr>
      <w:ind w:left="566" w:hanging="283"/>
      <w:contextualSpacing/>
    </w:pPr>
  </w:style>
  <w:style w:type="paragraph" w:styleId="List3">
    <w:name w:val="List 3"/>
    <w:basedOn w:val="Normal"/>
    <w:uiPriority w:val="99"/>
    <w:semiHidden/>
    <w:unhideWhenUsed/>
    <w:rsid w:val="00A75B93"/>
    <w:pPr>
      <w:ind w:left="849" w:hanging="283"/>
      <w:contextualSpacing/>
    </w:pPr>
  </w:style>
  <w:style w:type="paragraph" w:styleId="List4">
    <w:name w:val="List 4"/>
    <w:basedOn w:val="Normal"/>
    <w:uiPriority w:val="99"/>
    <w:semiHidden/>
    <w:rsid w:val="00A75B93"/>
    <w:pPr>
      <w:ind w:left="1132" w:hanging="283"/>
      <w:contextualSpacing/>
    </w:pPr>
  </w:style>
  <w:style w:type="paragraph" w:styleId="List5">
    <w:name w:val="List 5"/>
    <w:basedOn w:val="Normal"/>
    <w:uiPriority w:val="99"/>
    <w:semiHidden/>
    <w:rsid w:val="00A75B93"/>
    <w:pPr>
      <w:ind w:left="1415" w:hanging="283"/>
      <w:contextualSpacing/>
    </w:pPr>
  </w:style>
  <w:style w:type="paragraph" w:styleId="ListBullet">
    <w:name w:val="List Bullet"/>
    <w:basedOn w:val="Normal"/>
    <w:uiPriority w:val="99"/>
    <w:semiHidden/>
    <w:unhideWhenUsed/>
    <w:rsid w:val="00A75B93"/>
    <w:pPr>
      <w:numPr>
        <w:numId w:val="1"/>
      </w:numPr>
      <w:contextualSpacing/>
    </w:pPr>
  </w:style>
  <w:style w:type="paragraph" w:styleId="ListBullet2">
    <w:name w:val="List Bullet 2"/>
    <w:basedOn w:val="Normal"/>
    <w:uiPriority w:val="99"/>
    <w:semiHidden/>
    <w:unhideWhenUsed/>
    <w:rsid w:val="00A75B93"/>
    <w:pPr>
      <w:numPr>
        <w:numId w:val="3"/>
      </w:numPr>
      <w:contextualSpacing/>
    </w:pPr>
  </w:style>
  <w:style w:type="paragraph" w:styleId="ListBullet3">
    <w:name w:val="List Bullet 3"/>
    <w:basedOn w:val="Normal"/>
    <w:uiPriority w:val="99"/>
    <w:semiHidden/>
    <w:unhideWhenUsed/>
    <w:rsid w:val="00A75B93"/>
    <w:pPr>
      <w:numPr>
        <w:numId w:val="4"/>
      </w:numPr>
      <w:contextualSpacing/>
    </w:pPr>
  </w:style>
  <w:style w:type="paragraph" w:styleId="ListBullet4">
    <w:name w:val="List Bullet 4"/>
    <w:basedOn w:val="Normal"/>
    <w:uiPriority w:val="99"/>
    <w:semiHidden/>
    <w:unhideWhenUsed/>
    <w:rsid w:val="00A75B93"/>
    <w:pPr>
      <w:numPr>
        <w:numId w:val="5"/>
      </w:numPr>
      <w:contextualSpacing/>
    </w:pPr>
  </w:style>
  <w:style w:type="paragraph" w:styleId="ListBullet5">
    <w:name w:val="List Bullet 5"/>
    <w:basedOn w:val="Normal"/>
    <w:uiPriority w:val="99"/>
    <w:semiHidden/>
    <w:unhideWhenUsed/>
    <w:rsid w:val="00A75B93"/>
    <w:pPr>
      <w:numPr>
        <w:numId w:val="6"/>
      </w:numPr>
      <w:contextualSpacing/>
    </w:pPr>
  </w:style>
  <w:style w:type="paragraph" w:styleId="ListContinue">
    <w:name w:val="List Continue"/>
    <w:basedOn w:val="Normal"/>
    <w:uiPriority w:val="99"/>
    <w:semiHidden/>
    <w:unhideWhenUsed/>
    <w:rsid w:val="00A75B93"/>
    <w:pPr>
      <w:spacing w:after="120"/>
      <w:ind w:left="283"/>
      <w:contextualSpacing/>
    </w:pPr>
  </w:style>
  <w:style w:type="paragraph" w:styleId="ListContinue2">
    <w:name w:val="List Continue 2"/>
    <w:basedOn w:val="Normal"/>
    <w:uiPriority w:val="99"/>
    <w:semiHidden/>
    <w:unhideWhenUsed/>
    <w:rsid w:val="00A75B93"/>
    <w:pPr>
      <w:spacing w:after="120"/>
      <w:ind w:left="566"/>
      <w:contextualSpacing/>
    </w:pPr>
  </w:style>
  <w:style w:type="paragraph" w:styleId="ListContinue3">
    <w:name w:val="List Continue 3"/>
    <w:basedOn w:val="Normal"/>
    <w:uiPriority w:val="99"/>
    <w:semiHidden/>
    <w:unhideWhenUsed/>
    <w:rsid w:val="00A75B93"/>
    <w:pPr>
      <w:spacing w:after="120"/>
      <w:ind w:left="849"/>
      <w:contextualSpacing/>
    </w:pPr>
  </w:style>
  <w:style w:type="paragraph" w:styleId="ListContinue4">
    <w:name w:val="List Continue 4"/>
    <w:basedOn w:val="Normal"/>
    <w:uiPriority w:val="99"/>
    <w:semiHidden/>
    <w:unhideWhenUsed/>
    <w:rsid w:val="00A75B93"/>
    <w:pPr>
      <w:spacing w:after="120"/>
      <w:ind w:left="1132"/>
      <w:contextualSpacing/>
    </w:pPr>
  </w:style>
  <w:style w:type="paragraph" w:styleId="ListContinue5">
    <w:name w:val="List Continue 5"/>
    <w:basedOn w:val="Normal"/>
    <w:uiPriority w:val="99"/>
    <w:semiHidden/>
    <w:unhideWhenUsed/>
    <w:rsid w:val="00A75B93"/>
    <w:pPr>
      <w:spacing w:after="120"/>
      <w:ind w:left="1415"/>
      <w:contextualSpacing/>
    </w:pPr>
  </w:style>
  <w:style w:type="paragraph" w:styleId="ListNumber">
    <w:name w:val="List Number"/>
    <w:basedOn w:val="Normal"/>
    <w:uiPriority w:val="99"/>
    <w:semiHidden/>
    <w:rsid w:val="00A75B93"/>
    <w:pPr>
      <w:numPr>
        <w:numId w:val="2"/>
      </w:numPr>
      <w:contextualSpacing/>
    </w:pPr>
  </w:style>
  <w:style w:type="paragraph" w:styleId="ListNumber2">
    <w:name w:val="List Number 2"/>
    <w:basedOn w:val="Normal"/>
    <w:uiPriority w:val="99"/>
    <w:semiHidden/>
    <w:unhideWhenUsed/>
    <w:rsid w:val="00A75B93"/>
    <w:pPr>
      <w:numPr>
        <w:numId w:val="7"/>
      </w:numPr>
      <w:contextualSpacing/>
    </w:pPr>
  </w:style>
  <w:style w:type="paragraph" w:styleId="ListNumber3">
    <w:name w:val="List Number 3"/>
    <w:basedOn w:val="Normal"/>
    <w:uiPriority w:val="99"/>
    <w:semiHidden/>
    <w:unhideWhenUsed/>
    <w:rsid w:val="00A75B93"/>
    <w:pPr>
      <w:numPr>
        <w:numId w:val="8"/>
      </w:numPr>
      <w:contextualSpacing/>
    </w:pPr>
  </w:style>
  <w:style w:type="paragraph" w:styleId="ListNumber4">
    <w:name w:val="List Number 4"/>
    <w:basedOn w:val="Normal"/>
    <w:uiPriority w:val="99"/>
    <w:semiHidden/>
    <w:unhideWhenUsed/>
    <w:rsid w:val="00A75B93"/>
    <w:pPr>
      <w:numPr>
        <w:numId w:val="9"/>
      </w:numPr>
      <w:contextualSpacing/>
    </w:pPr>
  </w:style>
  <w:style w:type="paragraph" w:styleId="ListNumber5">
    <w:name w:val="List Number 5"/>
    <w:basedOn w:val="Normal"/>
    <w:uiPriority w:val="99"/>
    <w:semiHidden/>
    <w:unhideWhenUsed/>
    <w:rsid w:val="00A75B93"/>
    <w:pPr>
      <w:numPr>
        <w:numId w:val="10"/>
      </w:numPr>
      <w:contextualSpacing/>
    </w:pPr>
  </w:style>
  <w:style w:type="paragraph" w:styleId="MacroText">
    <w:name w:val="macro"/>
    <w:link w:val="MacroTextChar"/>
    <w:uiPriority w:val="99"/>
    <w:semiHidden/>
    <w:unhideWhenUsed/>
    <w:rsid w:val="00A75B93"/>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cs="Consolas"/>
      <w:sz w:val="20"/>
      <w:szCs w:val="20"/>
    </w:rPr>
  </w:style>
  <w:style w:type="character" w:customStyle="1" w:styleId="MacroTextChar">
    <w:name w:val="Macro Text Char"/>
    <w:basedOn w:val="DefaultParagraphFont"/>
    <w:link w:val="MacroText"/>
    <w:uiPriority w:val="99"/>
    <w:semiHidden/>
    <w:rsid w:val="00A75B93"/>
    <w:rPr>
      <w:rFonts w:ascii="Consolas" w:hAnsi="Consolas" w:cs="Consolas"/>
      <w:sz w:val="20"/>
      <w:szCs w:val="20"/>
    </w:rPr>
  </w:style>
  <w:style w:type="paragraph" w:styleId="MessageHeader">
    <w:name w:val="Message Header"/>
    <w:basedOn w:val="Normal"/>
    <w:link w:val="MessageHeaderChar"/>
    <w:uiPriority w:val="99"/>
    <w:semiHidden/>
    <w:unhideWhenUsed/>
    <w:rsid w:val="00A75B9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75B93"/>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75B93"/>
    <w:rPr>
      <w:rFonts w:ascii="Times New Roman" w:hAnsi="Times New Roman" w:cs="Times New Roman"/>
      <w:sz w:val="24"/>
      <w:szCs w:val="24"/>
    </w:rPr>
  </w:style>
  <w:style w:type="paragraph" w:styleId="NormalIndent">
    <w:name w:val="Normal Indent"/>
    <w:basedOn w:val="Normal"/>
    <w:uiPriority w:val="99"/>
    <w:semiHidden/>
    <w:unhideWhenUsed/>
    <w:rsid w:val="00A75B93"/>
    <w:pPr>
      <w:ind w:left="720"/>
    </w:pPr>
  </w:style>
  <w:style w:type="paragraph" w:styleId="NoteHeading">
    <w:name w:val="Note Heading"/>
    <w:basedOn w:val="Normal"/>
    <w:next w:val="Normal"/>
    <w:link w:val="NoteHeadingChar"/>
    <w:uiPriority w:val="99"/>
    <w:semiHidden/>
    <w:unhideWhenUsed/>
    <w:rsid w:val="00A75B93"/>
    <w:pPr>
      <w:spacing w:after="0"/>
    </w:pPr>
  </w:style>
  <w:style w:type="character" w:customStyle="1" w:styleId="NoteHeadingChar">
    <w:name w:val="Note Heading Char"/>
    <w:basedOn w:val="DefaultParagraphFont"/>
    <w:link w:val="NoteHeading"/>
    <w:uiPriority w:val="99"/>
    <w:semiHidden/>
    <w:rsid w:val="00A75B93"/>
    <w:rPr>
      <w:rFonts w:ascii="Calibri" w:hAnsi="Calibri"/>
    </w:rPr>
  </w:style>
  <w:style w:type="paragraph" w:styleId="PlainText">
    <w:name w:val="Plain Text"/>
    <w:basedOn w:val="Normal"/>
    <w:link w:val="PlainTextChar"/>
    <w:uiPriority w:val="99"/>
    <w:semiHidden/>
    <w:unhideWhenUsed/>
    <w:rsid w:val="00A75B93"/>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A75B93"/>
    <w:rPr>
      <w:rFonts w:ascii="Consolas" w:hAnsi="Consolas" w:cs="Consolas"/>
      <w:sz w:val="21"/>
      <w:szCs w:val="21"/>
    </w:rPr>
  </w:style>
  <w:style w:type="paragraph" w:styleId="Quote">
    <w:name w:val="Quote"/>
    <w:basedOn w:val="Normal"/>
    <w:next w:val="Normal"/>
    <w:link w:val="QuoteChar"/>
    <w:uiPriority w:val="99"/>
    <w:qFormat/>
    <w:rsid w:val="00A75B93"/>
    <w:rPr>
      <w:i/>
      <w:iCs/>
      <w:color w:val="000000" w:themeColor="text1"/>
    </w:rPr>
  </w:style>
  <w:style w:type="character" w:customStyle="1" w:styleId="QuoteChar">
    <w:name w:val="Quote Char"/>
    <w:basedOn w:val="DefaultParagraphFont"/>
    <w:link w:val="Quote"/>
    <w:uiPriority w:val="99"/>
    <w:rsid w:val="00A75B93"/>
    <w:rPr>
      <w:rFonts w:ascii="Calibri" w:hAnsi="Calibri"/>
      <w:i/>
      <w:iCs/>
      <w:color w:val="000000" w:themeColor="text1"/>
    </w:rPr>
  </w:style>
  <w:style w:type="paragraph" w:styleId="Salutation">
    <w:name w:val="Salutation"/>
    <w:basedOn w:val="Normal"/>
    <w:next w:val="Normal"/>
    <w:link w:val="SalutationChar"/>
    <w:uiPriority w:val="99"/>
    <w:semiHidden/>
    <w:rsid w:val="00A75B93"/>
  </w:style>
  <w:style w:type="character" w:customStyle="1" w:styleId="SalutationChar">
    <w:name w:val="Salutation Char"/>
    <w:basedOn w:val="DefaultParagraphFont"/>
    <w:link w:val="Salutation"/>
    <w:uiPriority w:val="99"/>
    <w:semiHidden/>
    <w:rsid w:val="00A75B93"/>
    <w:rPr>
      <w:rFonts w:ascii="Calibri" w:hAnsi="Calibri"/>
    </w:rPr>
  </w:style>
  <w:style w:type="paragraph" w:styleId="Signature">
    <w:name w:val="Signature"/>
    <w:basedOn w:val="Normal"/>
    <w:link w:val="SignatureChar"/>
    <w:uiPriority w:val="99"/>
    <w:semiHidden/>
    <w:unhideWhenUsed/>
    <w:rsid w:val="00A75B93"/>
    <w:pPr>
      <w:spacing w:after="0"/>
      <w:ind w:left="4252"/>
    </w:pPr>
  </w:style>
  <w:style w:type="character" w:customStyle="1" w:styleId="SignatureChar">
    <w:name w:val="Signature Char"/>
    <w:basedOn w:val="DefaultParagraphFont"/>
    <w:link w:val="Signature"/>
    <w:uiPriority w:val="99"/>
    <w:semiHidden/>
    <w:rsid w:val="00A75B93"/>
    <w:rPr>
      <w:rFonts w:ascii="Calibri" w:hAnsi="Calibri"/>
    </w:rPr>
  </w:style>
  <w:style w:type="paragraph" w:styleId="Subtitle">
    <w:name w:val="Subtitle"/>
    <w:basedOn w:val="Normal"/>
    <w:next w:val="Normal"/>
    <w:link w:val="SubtitleChar"/>
    <w:uiPriority w:val="99"/>
    <w:qFormat/>
    <w:rsid w:val="00A75B93"/>
    <w:pPr>
      <w:numPr>
        <w:ilvl w:val="1"/>
      </w:numPr>
    </w:pPr>
    <w:rPr>
      <w:rFonts w:asciiTheme="majorHAnsi" w:eastAsiaTheme="majorEastAsia" w:hAnsiTheme="majorHAnsi" w:cstheme="majorBidi"/>
      <w:i/>
      <w:iCs/>
      <w:color w:val="06357A" w:themeColor="accent1"/>
      <w:spacing w:val="15"/>
      <w:sz w:val="24"/>
      <w:szCs w:val="24"/>
    </w:rPr>
  </w:style>
  <w:style w:type="character" w:customStyle="1" w:styleId="SubtitleChar">
    <w:name w:val="Subtitle Char"/>
    <w:basedOn w:val="DefaultParagraphFont"/>
    <w:link w:val="Subtitle"/>
    <w:uiPriority w:val="99"/>
    <w:rsid w:val="00A75B93"/>
    <w:rPr>
      <w:rFonts w:asciiTheme="majorHAnsi" w:eastAsiaTheme="majorEastAsia" w:hAnsiTheme="majorHAnsi" w:cstheme="majorBidi"/>
      <w:i/>
      <w:iCs/>
      <w:color w:val="06357A" w:themeColor="accent1"/>
      <w:spacing w:val="15"/>
      <w:sz w:val="24"/>
      <w:szCs w:val="24"/>
    </w:rPr>
  </w:style>
  <w:style w:type="paragraph" w:styleId="TableofAuthorities">
    <w:name w:val="table of authorities"/>
    <w:basedOn w:val="Normal"/>
    <w:next w:val="Normal"/>
    <w:uiPriority w:val="99"/>
    <w:semiHidden/>
    <w:unhideWhenUsed/>
    <w:rsid w:val="00A75B93"/>
    <w:pPr>
      <w:spacing w:after="0"/>
      <w:ind w:left="220" w:hanging="220"/>
      <w:jc w:val="left"/>
    </w:pPr>
  </w:style>
  <w:style w:type="paragraph" w:styleId="TableofFigures">
    <w:name w:val="table of figures"/>
    <w:basedOn w:val="Normal"/>
    <w:next w:val="Normal"/>
    <w:uiPriority w:val="99"/>
    <w:semiHidden/>
    <w:unhideWhenUsed/>
    <w:rsid w:val="00A75B93"/>
    <w:pPr>
      <w:spacing w:after="0"/>
      <w:jc w:val="left"/>
    </w:pPr>
  </w:style>
  <w:style w:type="paragraph" w:styleId="Title">
    <w:name w:val="Title"/>
    <w:basedOn w:val="Normal"/>
    <w:next w:val="Normal"/>
    <w:link w:val="TitleChar"/>
    <w:uiPriority w:val="99"/>
    <w:qFormat/>
    <w:rsid w:val="00A75B93"/>
    <w:pPr>
      <w:pBdr>
        <w:bottom w:val="single" w:sz="8" w:space="4" w:color="06357A" w:themeColor="accent1"/>
      </w:pBdr>
      <w:spacing w:after="300"/>
      <w:contextualSpacing/>
    </w:pPr>
    <w:rPr>
      <w:rFonts w:asciiTheme="majorHAnsi" w:eastAsiaTheme="majorEastAsia" w:hAnsiTheme="majorHAnsi" w:cstheme="majorBidi"/>
      <w:color w:val="04275B" w:themeColor="text2" w:themeShade="BF"/>
      <w:spacing w:val="5"/>
      <w:kern w:val="28"/>
      <w:sz w:val="52"/>
      <w:szCs w:val="52"/>
    </w:rPr>
  </w:style>
  <w:style w:type="character" w:customStyle="1" w:styleId="TitleChar">
    <w:name w:val="Title Char"/>
    <w:basedOn w:val="DefaultParagraphFont"/>
    <w:link w:val="Title"/>
    <w:uiPriority w:val="99"/>
    <w:rsid w:val="00A75B93"/>
    <w:rPr>
      <w:rFonts w:asciiTheme="majorHAnsi" w:eastAsiaTheme="majorEastAsia" w:hAnsiTheme="majorHAnsi" w:cstheme="majorBidi"/>
      <w:color w:val="04275B" w:themeColor="text2" w:themeShade="BF"/>
      <w:spacing w:val="5"/>
      <w:kern w:val="28"/>
      <w:sz w:val="52"/>
      <w:szCs w:val="52"/>
    </w:rPr>
  </w:style>
  <w:style w:type="paragraph" w:styleId="TOAHeading">
    <w:name w:val="toa heading"/>
    <w:basedOn w:val="Normal"/>
    <w:next w:val="Normal"/>
    <w:uiPriority w:val="99"/>
    <w:semiHidden/>
    <w:unhideWhenUsed/>
    <w:rsid w:val="00A75B93"/>
    <w:pPr>
      <w:spacing w:before="120"/>
      <w:jc w:val="left"/>
    </w:pPr>
    <w:rPr>
      <w:rFonts w:asciiTheme="majorHAnsi" w:eastAsiaTheme="majorEastAsia" w:hAnsiTheme="majorHAnsi" w:cstheme="majorBidi"/>
      <w:b/>
      <w:bCs/>
      <w:sz w:val="24"/>
      <w:szCs w:val="24"/>
    </w:rPr>
  </w:style>
  <w:style w:type="paragraph" w:styleId="TOC5">
    <w:name w:val="toc 5"/>
    <w:basedOn w:val="Normal"/>
    <w:next w:val="Normal"/>
    <w:uiPriority w:val="39"/>
    <w:unhideWhenUsed/>
    <w:rsid w:val="00A75B93"/>
    <w:pPr>
      <w:tabs>
        <w:tab w:val="right" w:pos="8789"/>
      </w:tabs>
      <w:spacing w:before="0" w:after="60"/>
      <w:ind w:left="1078" w:right="737" w:hanging="624"/>
      <w:jc w:val="left"/>
    </w:pPr>
  </w:style>
  <w:style w:type="paragraph" w:styleId="TOC6">
    <w:name w:val="toc 6"/>
    <w:basedOn w:val="Normal"/>
    <w:next w:val="Normal"/>
    <w:uiPriority w:val="39"/>
    <w:unhideWhenUsed/>
    <w:rsid w:val="00A75B93"/>
    <w:pPr>
      <w:tabs>
        <w:tab w:val="right" w:pos="8789"/>
      </w:tabs>
      <w:spacing w:before="160" w:after="60"/>
      <w:ind w:left="964" w:right="737" w:hanging="964"/>
      <w:jc w:val="left"/>
    </w:pPr>
    <w:rPr>
      <w:color w:val="06357A"/>
      <w:sz w:val="24"/>
    </w:rPr>
  </w:style>
  <w:style w:type="paragraph" w:styleId="TOC7">
    <w:name w:val="toc 7"/>
    <w:basedOn w:val="Normal"/>
    <w:next w:val="Normal"/>
    <w:uiPriority w:val="39"/>
    <w:unhideWhenUsed/>
    <w:rsid w:val="00A75B93"/>
    <w:pPr>
      <w:tabs>
        <w:tab w:val="right" w:pos="8789"/>
      </w:tabs>
      <w:spacing w:before="0" w:after="60"/>
      <w:ind w:left="1078" w:right="737" w:hanging="624"/>
      <w:jc w:val="left"/>
    </w:pPr>
  </w:style>
  <w:style w:type="paragraph" w:styleId="TOC8">
    <w:name w:val="toc 8"/>
    <w:basedOn w:val="Normal"/>
    <w:next w:val="Normal"/>
    <w:uiPriority w:val="39"/>
    <w:unhideWhenUsed/>
    <w:rsid w:val="00A75B93"/>
    <w:pPr>
      <w:tabs>
        <w:tab w:val="right" w:pos="8789"/>
      </w:tabs>
      <w:spacing w:before="160" w:after="60"/>
      <w:ind w:left="1134" w:right="737" w:hanging="1134"/>
      <w:jc w:val="left"/>
    </w:pPr>
  </w:style>
  <w:style w:type="paragraph" w:styleId="TOC9">
    <w:name w:val="toc 9"/>
    <w:basedOn w:val="Normal"/>
    <w:next w:val="Normal"/>
    <w:autoRedefine/>
    <w:uiPriority w:val="41"/>
    <w:semiHidden/>
    <w:unhideWhenUsed/>
    <w:rsid w:val="00A75B93"/>
    <w:pPr>
      <w:spacing w:after="100"/>
      <w:ind w:left="1760"/>
      <w:jc w:val="left"/>
    </w:pPr>
  </w:style>
  <w:style w:type="paragraph" w:styleId="TOCHeading">
    <w:name w:val="TOC Heading"/>
    <w:basedOn w:val="Heading1"/>
    <w:next w:val="Normal"/>
    <w:uiPriority w:val="41"/>
    <w:semiHidden/>
    <w:unhideWhenUsed/>
    <w:qFormat/>
    <w:rsid w:val="00A75B93"/>
    <w:pPr>
      <w:keepLines/>
      <w:numPr>
        <w:numId w:val="0"/>
      </w:numPr>
      <w:spacing w:before="480" w:after="0" w:line="276" w:lineRule="auto"/>
      <w:outlineLvl w:val="9"/>
    </w:pPr>
    <w:rPr>
      <w:rFonts w:asciiTheme="majorHAnsi" w:eastAsiaTheme="majorEastAsia" w:hAnsiTheme="majorHAnsi" w:cstheme="majorBidi"/>
      <w:bCs/>
      <w:color w:val="04275B" w:themeColor="accent1" w:themeShade="BF"/>
      <w:kern w:val="0"/>
      <w:sz w:val="28"/>
      <w:szCs w:val="28"/>
    </w:rPr>
  </w:style>
  <w:style w:type="paragraph" w:customStyle="1" w:styleId="Authors">
    <w:name w:val="Authors"/>
    <w:basedOn w:val="Normal"/>
    <w:uiPriority w:val="11"/>
    <w:qFormat/>
    <w:rsid w:val="00A75B93"/>
    <w:pPr>
      <w:jc w:val="left"/>
    </w:pPr>
    <w:rPr>
      <w:noProof/>
    </w:rPr>
  </w:style>
  <w:style w:type="paragraph" w:customStyle="1" w:styleId="PlaceholderText">
    <w:name w:val="PlaceholderText"/>
    <w:basedOn w:val="NormalNoSpace"/>
    <w:uiPriority w:val="99"/>
    <w:qFormat/>
    <w:rsid w:val="00A75B93"/>
    <w:pPr>
      <w:keepNext/>
      <w:keepLines/>
    </w:pPr>
  </w:style>
  <w:style w:type="paragraph" w:customStyle="1" w:styleId="OfficeContacts">
    <w:name w:val="Office Contacts"/>
    <w:basedOn w:val="TableText"/>
    <w:uiPriority w:val="11"/>
    <w:qFormat/>
    <w:rsid w:val="00A75B93"/>
    <w:rPr>
      <w:sz w:val="22"/>
    </w:rPr>
  </w:style>
  <w:style w:type="character" w:styleId="Emphasis">
    <w:name w:val="Emphasis"/>
    <w:basedOn w:val="DefaultParagraphFont"/>
    <w:uiPriority w:val="20"/>
    <w:qFormat/>
    <w:rsid w:val="00A75B93"/>
    <w:rPr>
      <w:i/>
      <w:iCs/>
    </w:rPr>
  </w:style>
  <w:style w:type="character" w:styleId="FollowedHyperlink">
    <w:name w:val="FollowedHyperlink"/>
    <w:basedOn w:val="DefaultParagraphFont"/>
    <w:uiPriority w:val="99"/>
    <w:semiHidden/>
    <w:unhideWhenUsed/>
    <w:rsid w:val="00A75B93"/>
    <w:rPr>
      <w:color w:val="954F72" w:themeColor="followedHyperlink"/>
      <w:u w:val="single"/>
    </w:rPr>
  </w:style>
  <w:style w:type="paragraph" w:customStyle="1" w:styleId="StyleOfficeContactsLeft0cm">
    <w:name w:val="Style Office Contacts + Left:  0 cm"/>
    <w:basedOn w:val="OfficeContacts"/>
    <w:rsid w:val="00A75B93"/>
    <w:pPr>
      <w:tabs>
        <w:tab w:val="left" w:pos="2722"/>
        <w:tab w:val="left" w:pos="6010"/>
      </w:tabs>
      <w:ind w:left="0"/>
    </w:pPr>
    <w:rPr>
      <w:rFonts w:eastAsia="Times New Roman" w:cs="Times New Roman"/>
      <w:szCs w:val="20"/>
    </w:rPr>
  </w:style>
  <w:style w:type="paragraph" w:customStyle="1" w:styleId="SideBox">
    <w:name w:val="SideBox"/>
    <w:basedOn w:val="Normal"/>
    <w:uiPriority w:val="21"/>
    <w:qFormat/>
    <w:rsid w:val="00A75B93"/>
    <w:pPr>
      <w:spacing w:before="0" w:after="200" w:line="276" w:lineRule="auto"/>
      <w:jc w:val="left"/>
    </w:pPr>
    <w:rPr>
      <w:rFonts w:asciiTheme="minorHAnsi" w:hAnsiTheme="minorHAnsi"/>
      <w:i/>
      <w:color w:val="244890"/>
    </w:rPr>
  </w:style>
  <w:style w:type="paragraph" w:customStyle="1" w:styleId="StyleDocSubtitleJustified">
    <w:name w:val="Style DocSubtitle + Justified"/>
    <w:basedOn w:val="DocSubtitle"/>
    <w:rsid w:val="00A75B93"/>
    <w:pPr>
      <w:jc w:val="both"/>
      <w:outlineLvl w:val="9"/>
    </w:pPr>
    <w:rPr>
      <w:rFonts w:eastAsia="Times New Roman"/>
    </w:rPr>
  </w:style>
  <w:style w:type="paragraph" w:customStyle="1" w:styleId="StyleDocMarkingJustified">
    <w:name w:val="Style DocMarking + Justified"/>
    <w:basedOn w:val="DocMarking"/>
    <w:rsid w:val="00A75B93"/>
    <w:pPr>
      <w:jc w:val="both"/>
    </w:pPr>
    <w:rPr>
      <w:rFonts w:eastAsia="Times New Roman"/>
    </w:rPr>
  </w:style>
  <w:style w:type="paragraph" w:customStyle="1" w:styleId="StyleDocSubtitleJustified1">
    <w:name w:val="Style DocSubtitle + Justified1"/>
    <w:basedOn w:val="DocSubtitle"/>
    <w:rsid w:val="00A75B93"/>
    <w:pPr>
      <w:jc w:val="both"/>
    </w:pPr>
    <w:rPr>
      <w:rFonts w:eastAsia="Times New Roman"/>
    </w:rPr>
  </w:style>
  <w:style w:type="paragraph" w:customStyle="1" w:styleId="StyleDocMarkingJustified1">
    <w:name w:val="Style DocMarking + Justified1"/>
    <w:basedOn w:val="DocMarking"/>
    <w:rsid w:val="00A75B93"/>
    <w:pPr>
      <w:jc w:val="both"/>
    </w:pPr>
    <w:rPr>
      <w:rFonts w:eastAsia="Times New Roman"/>
    </w:rPr>
  </w:style>
  <w:style w:type="paragraph" w:customStyle="1" w:styleId="StyleDocTitleJustified">
    <w:name w:val="Style DocTitle + Justified"/>
    <w:basedOn w:val="DocTitle"/>
    <w:rsid w:val="00D8757E"/>
    <w:pPr>
      <w:jc w:val="both"/>
    </w:pPr>
    <w:rPr>
      <w:rFonts w:eastAsia="Times New Roman" w:cs="Times New Roman"/>
      <w:bCs/>
      <w:color w:val="06357A" w:themeColor="text2"/>
      <w:szCs w:val="20"/>
    </w:rPr>
  </w:style>
  <w:style w:type="paragraph" w:customStyle="1" w:styleId="StyleDocSubtitleJustified2">
    <w:name w:val="Style DocSubtitle + Justified2"/>
    <w:basedOn w:val="DocSubtitle"/>
    <w:rsid w:val="00D8757E"/>
    <w:pPr>
      <w:jc w:val="both"/>
    </w:pPr>
    <w:rPr>
      <w:rFonts w:eastAsia="Times New Roman" w:cs="Times New Roman"/>
      <w:bCs/>
      <w:color w:val="A6A6A6" w:themeColor="background2"/>
      <w:szCs w:val="20"/>
    </w:rPr>
  </w:style>
  <w:style w:type="paragraph" w:customStyle="1" w:styleId="StyleDocSubtitleJustified3">
    <w:name w:val="Style DocSubtitle + Justified3"/>
    <w:basedOn w:val="DocSubtitle"/>
    <w:rsid w:val="00D8757E"/>
    <w:pPr>
      <w:jc w:val="both"/>
    </w:pPr>
    <w:rPr>
      <w:rFonts w:eastAsia="Times New Roman" w:cs="Times New Roman"/>
      <w:bCs/>
      <w:color w:val="6F6F6F" w:themeColor="accent5"/>
      <w:szCs w:val="20"/>
    </w:rPr>
  </w:style>
  <w:style w:type="paragraph" w:customStyle="1" w:styleId="StyleDocSubtitleJustified4">
    <w:name w:val="Style DocSubtitle + Justified4"/>
    <w:basedOn w:val="DocSubtitle"/>
    <w:rsid w:val="00D8757E"/>
    <w:pPr>
      <w:jc w:val="both"/>
    </w:pPr>
    <w:rPr>
      <w:rFonts w:eastAsia="Times New Roman" w:cs="Times New Roman"/>
      <w:bCs/>
      <w:color w:val="A6A6A6" w:themeColor="background2"/>
      <w:szCs w:val="20"/>
    </w:rPr>
  </w:style>
  <w:style w:type="paragraph" w:customStyle="1" w:styleId="StyleDocMarkingJustified2">
    <w:name w:val="Style DocMarking + Justified2"/>
    <w:basedOn w:val="DocMarking"/>
    <w:rsid w:val="00D8757E"/>
    <w:pPr>
      <w:jc w:val="both"/>
    </w:pPr>
    <w:rPr>
      <w:rFonts w:eastAsia="Times New Roman" w:cs="Times New Roman"/>
      <w:bCs/>
      <w:color w:val="A6A6A6" w:themeColor="background2"/>
      <w:szCs w:val="20"/>
    </w:rPr>
  </w:style>
  <w:style w:type="paragraph" w:customStyle="1" w:styleId="Draft">
    <w:name w:val="Draft"/>
    <w:basedOn w:val="Header"/>
    <w:qFormat/>
    <w:rsid w:val="00C66529"/>
    <w:pPr>
      <w:spacing w:after="0"/>
    </w:pPr>
    <w:rPr>
      <w:color w:val="FF0000"/>
    </w:rPr>
  </w:style>
  <w:style w:type="character" w:styleId="UnresolvedMention">
    <w:name w:val="Unresolved Mention"/>
    <w:basedOn w:val="DefaultParagraphFont"/>
    <w:uiPriority w:val="99"/>
    <w:semiHidden/>
    <w:unhideWhenUsed/>
    <w:rsid w:val="007F7981"/>
    <w:rPr>
      <w:color w:val="605E5C"/>
      <w:shd w:val="clear" w:color="auto" w:fill="E1DFDD"/>
    </w:rPr>
  </w:style>
  <w:style w:type="character" w:styleId="FootnoteReference">
    <w:name w:val="footnote reference"/>
    <w:aliases w:val="SUPERS,Footnote symbol,Footnote reference number,Times 10 Point,Exposant 3 Point,Ref,de nota al pie,note TESI,EN Footnote Reference,stylish,Voetnootverwijzing,Footnote sign,Footnote Reference1,BVI fnr,fr,FR,Foo,ftre"/>
    <w:basedOn w:val="DefaultParagraphFont"/>
    <w:link w:val="FootnotesymbolCarZchn"/>
    <w:uiPriority w:val="99"/>
    <w:unhideWhenUsed/>
    <w:qFormat/>
    <w:rsid w:val="00FA48AB"/>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FA48AB"/>
    <w:pPr>
      <w:spacing w:before="0" w:after="120" w:line="240" w:lineRule="exact"/>
    </w:pPr>
    <w:rPr>
      <w:rFonts w:asciiTheme="minorHAnsi" w:hAnsiTheme="minorHAnsi"/>
      <w:vertAlign w:val="superscript"/>
    </w:rPr>
  </w:style>
  <w:style w:type="character" w:styleId="CommentReference">
    <w:name w:val="annotation reference"/>
    <w:basedOn w:val="DefaultParagraphFont"/>
    <w:uiPriority w:val="99"/>
    <w:semiHidden/>
    <w:unhideWhenUsed/>
    <w:rsid w:val="00E13125"/>
    <w:rPr>
      <w:sz w:val="16"/>
      <w:szCs w:val="16"/>
    </w:rPr>
  </w:style>
  <w:style w:type="paragraph" w:customStyle="1" w:styleId="Box">
    <w:name w:val="Box"/>
    <w:basedOn w:val="Normal"/>
    <w:uiPriority w:val="34"/>
    <w:qFormat/>
    <w:rsid w:val="009B693C"/>
    <w:pPr>
      <w:shd w:val="clear" w:color="auto" w:fill="D9D9D9"/>
    </w:pPr>
  </w:style>
  <w:style w:type="numbering" w:customStyle="1" w:styleId="NumblistFigure">
    <w:name w:val="Numblist Figure"/>
    <w:uiPriority w:val="99"/>
    <w:rsid w:val="009B693C"/>
    <w:pPr>
      <w:numPr>
        <w:numId w:val="26"/>
      </w:numPr>
    </w:pPr>
  </w:style>
  <w:style w:type="paragraph" w:styleId="Revision">
    <w:name w:val="Revision"/>
    <w:hidden/>
    <w:uiPriority w:val="99"/>
    <w:semiHidden/>
    <w:rsid w:val="009B693C"/>
    <w:pPr>
      <w:spacing w:after="0" w:line="240" w:lineRule="auto"/>
    </w:pPr>
    <w:rPr>
      <w:rFonts w:ascii="Calibri" w:hAnsi="Calibri"/>
    </w:rPr>
  </w:style>
  <w:style w:type="character" w:customStyle="1" w:styleId="LETableText">
    <w:name w:val="LE Table Text"/>
    <w:basedOn w:val="DefaultParagraphFont"/>
    <w:qFormat/>
    <w:rsid w:val="003A6119"/>
    <w:rPr>
      <w:rFonts w:ascii="Calibri" w:hAnsi="Calibri"/>
      <w:sz w:val="20"/>
    </w:rPr>
  </w:style>
  <w:style w:type="character" w:customStyle="1" w:styleId="LETableHeading">
    <w:name w:val="LE Table Heading"/>
    <w:basedOn w:val="DefaultParagraphFont"/>
    <w:qFormat/>
    <w:rsid w:val="003A6119"/>
    <w:rPr>
      <w:rFonts w:ascii="Calibri" w:hAnsi="Calibri"/>
      <w:b/>
      <w:dstrike w:val="0"/>
      <w:color w:val="244890"/>
      <w:sz w:val="20"/>
      <w:vertAlign w:val="baseline"/>
    </w:rPr>
  </w:style>
  <w:style w:type="paragraph" w:customStyle="1" w:styleId="LENoteText">
    <w:name w:val="LE Note Text"/>
    <w:basedOn w:val="Normal"/>
    <w:qFormat/>
    <w:rsid w:val="003A6119"/>
    <w:pPr>
      <w:keepNext/>
      <w:keepLines/>
      <w:spacing w:before="0" w:after="0"/>
    </w:pPr>
    <w:rPr>
      <w:rFonts w:eastAsia="Times New Roman" w:cs="Times New Roman"/>
      <w:sz w:val="16"/>
    </w:rPr>
  </w:style>
  <w:style w:type="character" w:styleId="EndnoteReference">
    <w:name w:val="endnote reference"/>
    <w:basedOn w:val="DefaultParagraphFont"/>
    <w:uiPriority w:val="99"/>
    <w:semiHidden/>
    <w:unhideWhenUsed/>
    <w:rsid w:val="003A61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443371">
      <w:bodyDiv w:val="1"/>
      <w:marLeft w:val="0"/>
      <w:marRight w:val="0"/>
      <w:marTop w:val="0"/>
      <w:marBottom w:val="0"/>
      <w:divBdr>
        <w:top w:val="none" w:sz="0" w:space="0" w:color="auto"/>
        <w:left w:val="none" w:sz="0" w:space="0" w:color="auto"/>
        <w:bottom w:val="none" w:sz="0" w:space="0" w:color="auto"/>
        <w:right w:val="none" w:sz="0" w:space="0" w:color="auto"/>
      </w:divBdr>
    </w:div>
    <w:div w:id="420221727">
      <w:bodyDiv w:val="1"/>
      <w:marLeft w:val="0"/>
      <w:marRight w:val="0"/>
      <w:marTop w:val="0"/>
      <w:marBottom w:val="0"/>
      <w:divBdr>
        <w:top w:val="none" w:sz="0" w:space="0" w:color="auto"/>
        <w:left w:val="none" w:sz="0" w:space="0" w:color="auto"/>
        <w:bottom w:val="none" w:sz="0" w:space="0" w:color="auto"/>
        <w:right w:val="none" w:sz="0" w:space="0" w:color="auto"/>
      </w:divBdr>
    </w:div>
    <w:div w:id="474571544">
      <w:bodyDiv w:val="1"/>
      <w:marLeft w:val="0"/>
      <w:marRight w:val="0"/>
      <w:marTop w:val="0"/>
      <w:marBottom w:val="0"/>
      <w:divBdr>
        <w:top w:val="none" w:sz="0" w:space="0" w:color="auto"/>
        <w:left w:val="none" w:sz="0" w:space="0" w:color="auto"/>
        <w:bottom w:val="none" w:sz="0" w:space="0" w:color="auto"/>
        <w:right w:val="none" w:sz="0" w:space="0" w:color="auto"/>
      </w:divBdr>
    </w:div>
    <w:div w:id="1126121108">
      <w:bodyDiv w:val="1"/>
      <w:marLeft w:val="0"/>
      <w:marRight w:val="0"/>
      <w:marTop w:val="0"/>
      <w:marBottom w:val="0"/>
      <w:divBdr>
        <w:top w:val="none" w:sz="0" w:space="0" w:color="auto"/>
        <w:left w:val="none" w:sz="0" w:space="0" w:color="auto"/>
        <w:bottom w:val="none" w:sz="0" w:space="0" w:color="auto"/>
        <w:right w:val="none" w:sz="0" w:space="0" w:color="auto"/>
      </w:divBdr>
    </w:div>
    <w:div w:id="1595818518">
      <w:bodyDiv w:val="1"/>
      <w:marLeft w:val="0"/>
      <w:marRight w:val="0"/>
      <w:marTop w:val="0"/>
      <w:marBottom w:val="0"/>
      <w:divBdr>
        <w:top w:val="none" w:sz="0" w:space="0" w:color="auto"/>
        <w:left w:val="none" w:sz="0" w:space="0" w:color="auto"/>
        <w:bottom w:val="none" w:sz="0" w:space="0" w:color="auto"/>
        <w:right w:val="none" w:sz="0" w:space="0" w:color="auto"/>
      </w:divBdr>
      <w:divsChild>
        <w:div w:id="486021074">
          <w:marLeft w:val="0"/>
          <w:marRight w:val="0"/>
          <w:marTop w:val="0"/>
          <w:marBottom w:val="0"/>
          <w:divBdr>
            <w:top w:val="none" w:sz="0" w:space="0" w:color="auto"/>
            <w:left w:val="none" w:sz="0" w:space="0" w:color="auto"/>
            <w:bottom w:val="none" w:sz="0" w:space="0" w:color="auto"/>
            <w:right w:val="none" w:sz="0" w:space="0" w:color="auto"/>
          </w:divBdr>
        </w:div>
      </w:divsChild>
    </w:div>
    <w:div w:id="1832064456">
      <w:bodyDiv w:val="1"/>
      <w:marLeft w:val="0"/>
      <w:marRight w:val="0"/>
      <w:marTop w:val="0"/>
      <w:marBottom w:val="0"/>
      <w:divBdr>
        <w:top w:val="none" w:sz="0" w:space="0" w:color="auto"/>
        <w:left w:val="none" w:sz="0" w:space="0" w:color="auto"/>
        <w:bottom w:val="none" w:sz="0" w:space="0" w:color="auto"/>
        <w:right w:val="none" w:sz="0" w:space="0" w:color="auto"/>
      </w:divBdr>
    </w:div>
    <w:div w:id="190679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emf"/><Relationship Id="rId21" Type="http://schemas.openxmlformats.org/officeDocument/2006/relationships/header" Target="header3.xml"/><Relationship Id="rId63" Type="http://schemas.openxmlformats.org/officeDocument/2006/relationships/footer" Target="footer7.xml"/><Relationship Id="rId159" Type="http://schemas.openxmlformats.org/officeDocument/2006/relationships/image" Target="media/image101.png"/><Relationship Id="rId170" Type="http://schemas.openxmlformats.org/officeDocument/2006/relationships/footer" Target="footer26.xml"/><Relationship Id="rId226" Type="http://schemas.openxmlformats.org/officeDocument/2006/relationships/image" Target="media/image107.png"/><Relationship Id="rId268" Type="http://schemas.openxmlformats.org/officeDocument/2006/relationships/footer" Target="footer38.xml"/><Relationship Id="rId11" Type="http://schemas.openxmlformats.org/officeDocument/2006/relationships/header" Target="header1.xml"/><Relationship Id="rId32" Type="http://schemas.openxmlformats.org/officeDocument/2006/relationships/image" Target="media/image9.png"/><Relationship Id="rId53" Type="http://schemas.openxmlformats.org/officeDocument/2006/relationships/image" Target="media/image30.png"/><Relationship Id="rId74" Type="http://schemas.openxmlformats.org/officeDocument/2006/relationships/image" Target="media/image45.svg"/><Relationship Id="rId128" Type="http://schemas.openxmlformats.org/officeDocument/2006/relationships/image" Target="media/image76.png"/><Relationship Id="rId149" Type="http://schemas.openxmlformats.org/officeDocument/2006/relationships/image" Target="media/image91.svg"/><Relationship Id="rId5" Type="http://schemas.openxmlformats.org/officeDocument/2006/relationships/webSettings" Target="webSettings.xml"/><Relationship Id="rId95" Type="http://schemas.openxmlformats.org/officeDocument/2006/relationships/footer" Target="footer12.xml"/><Relationship Id="rId160" Type="http://schemas.openxmlformats.org/officeDocument/2006/relationships/image" Target="media/image102.svg"/><Relationship Id="rId181" Type="http://schemas.openxmlformats.org/officeDocument/2006/relationships/hyperlink" Target="https://www.hesa.ac.uk/data-and-analysis/publications/students-2009-10" TargetMode="External"/><Relationship Id="rId216" Type="http://schemas.openxmlformats.org/officeDocument/2006/relationships/hyperlink" Target="https://www.gov.uk/government/uploads/system/uploads/attachment_data/file/229498/bis-13-899-the-impact-of-university-degrees-on-the-lifecycle-of-earnings-further-analysis.pdf" TargetMode="External"/><Relationship Id="rId237" Type="http://schemas.openxmlformats.org/officeDocument/2006/relationships/image" Target="media/image118.svg"/><Relationship Id="rId258" Type="http://schemas.openxmlformats.org/officeDocument/2006/relationships/footer" Target="footer35.xml"/><Relationship Id="rId22" Type="http://schemas.openxmlformats.org/officeDocument/2006/relationships/footer" Target="footer1.xml"/><Relationship Id="rId43" Type="http://schemas.openxmlformats.org/officeDocument/2006/relationships/image" Target="media/image20.svg"/><Relationship Id="rId64" Type="http://schemas.openxmlformats.org/officeDocument/2006/relationships/footer" Target="footer8.xml"/><Relationship Id="rId118" Type="http://schemas.openxmlformats.org/officeDocument/2006/relationships/image" Target="media/image74.emf"/><Relationship Id="rId139" Type="http://schemas.openxmlformats.org/officeDocument/2006/relationships/image" Target="media/image87.svg"/><Relationship Id="rId85" Type="http://schemas.openxmlformats.org/officeDocument/2006/relationships/image" Target="media/image56.emf"/><Relationship Id="rId150" Type="http://schemas.openxmlformats.org/officeDocument/2006/relationships/image" Target="media/image92.emf"/><Relationship Id="rId171" Type="http://schemas.openxmlformats.org/officeDocument/2006/relationships/hyperlink" Target="http://webarchive.nationalarchives.gov.uk/20s140108090250/http://www.ukces.org.uk/assets/ukces/docs/publications/evidence-report-36-impact-of-he-for-pt-students.pdf" TargetMode="External"/><Relationship Id="rId192" Type="http://schemas.openxmlformats.org/officeDocument/2006/relationships/hyperlink" Target="https://www.hesa.ac.uk/data-and-analysis/estates/table-3" TargetMode="External"/><Relationship Id="rId206" Type="http://schemas.openxmlformats.org/officeDocument/2006/relationships/hyperlink" Target="https://obr.uk/efo/economic-and-fiscal-outlook-march-2023/" TargetMode="External"/><Relationship Id="rId227" Type="http://schemas.openxmlformats.org/officeDocument/2006/relationships/image" Target="media/image108.svg"/><Relationship Id="rId248" Type="http://schemas.openxmlformats.org/officeDocument/2006/relationships/header" Target="header34.xml"/><Relationship Id="rId269" Type="http://schemas.openxmlformats.org/officeDocument/2006/relationships/fontTable" Target="fontTable.xml"/><Relationship Id="rId12" Type="http://schemas.openxmlformats.org/officeDocument/2006/relationships/image" Target="media/image4.png"/><Relationship Id="rId33" Type="http://schemas.openxmlformats.org/officeDocument/2006/relationships/image" Target="media/image10.svg"/><Relationship Id="rId108" Type="http://schemas.openxmlformats.org/officeDocument/2006/relationships/image" Target="media/image67.png"/><Relationship Id="rId129" Type="http://schemas.openxmlformats.org/officeDocument/2006/relationships/image" Target="media/image77.svg"/><Relationship Id="rId54" Type="http://schemas.openxmlformats.org/officeDocument/2006/relationships/image" Target="media/image31.svg"/><Relationship Id="rId75" Type="http://schemas.openxmlformats.org/officeDocument/2006/relationships/image" Target="media/image46.png"/><Relationship Id="rId96" Type="http://schemas.openxmlformats.org/officeDocument/2006/relationships/image" Target="media/image61.png"/><Relationship Id="rId140" Type="http://schemas.openxmlformats.org/officeDocument/2006/relationships/header" Target="header24.xml"/><Relationship Id="rId161" Type="http://schemas.openxmlformats.org/officeDocument/2006/relationships/image" Target="media/image103.png"/><Relationship Id="rId182" Type="http://schemas.openxmlformats.org/officeDocument/2006/relationships/hyperlink" Target="https://www.hesa.ac.uk/data-and-analysis/publications/students-2010-11" TargetMode="External"/><Relationship Id="rId217" Type="http://schemas.openxmlformats.org/officeDocument/2006/relationships/hyperlink" Target="https://www.visitbritain.org/research-insights/inbound-visits-and-spend-annual-regional" TargetMode="External"/><Relationship Id="rId6" Type="http://schemas.openxmlformats.org/officeDocument/2006/relationships/footnotes" Target="footnotes.xml"/><Relationship Id="rId238" Type="http://schemas.openxmlformats.org/officeDocument/2006/relationships/image" Target="media/image119.png"/><Relationship Id="rId259" Type="http://schemas.openxmlformats.org/officeDocument/2006/relationships/hyperlink" Target="mailto:info@londoneconomics.co.uk" TargetMode="External"/><Relationship Id="rId23" Type="http://schemas.openxmlformats.org/officeDocument/2006/relationships/footer" Target="footer2.xml"/><Relationship Id="rId119" Type="http://schemas.openxmlformats.org/officeDocument/2006/relationships/header" Target="header19.xml"/><Relationship Id="rId270" Type="http://schemas.openxmlformats.org/officeDocument/2006/relationships/theme" Target="theme/theme1.xml"/><Relationship Id="rId44" Type="http://schemas.openxmlformats.org/officeDocument/2006/relationships/image" Target="media/image21.png"/><Relationship Id="rId65" Type="http://schemas.openxmlformats.org/officeDocument/2006/relationships/header" Target="header10.xml"/><Relationship Id="rId86" Type="http://schemas.openxmlformats.org/officeDocument/2006/relationships/image" Target="media/image57.emf"/><Relationship Id="rId130" Type="http://schemas.openxmlformats.org/officeDocument/2006/relationships/image" Target="media/image78.png"/><Relationship Id="rId151" Type="http://schemas.openxmlformats.org/officeDocument/2006/relationships/image" Target="media/image93.emf"/><Relationship Id="rId172" Type="http://schemas.openxmlformats.org/officeDocument/2006/relationships/hyperlink" Target="https://www.gov.uk/government/uploads/system/uploads/attachment_data/file/32419/11-973-returns-to-higher-education-qualifications.pdf" TargetMode="External"/><Relationship Id="rId193" Type="http://schemas.openxmlformats.org/officeDocument/2006/relationships/hyperlink" Target="https://www.hesa.ac.uk/data-and-analysis/providers/business-community/table-5" TargetMode="External"/><Relationship Id="rId207" Type="http://schemas.openxmlformats.org/officeDocument/2006/relationships/hyperlink" Target="https://www.ons.gov.uk/methodology/classificationsandstandards/ukstandardindustrialclassificationofeconomicactivities/uksic2007" TargetMode="External"/><Relationship Id="rId228" Type="http://schemas.openxmlformats.org/officeDocument/2006/relationships/image" Target="media/image109.png"/><Relationship Id="rId249" Type="http://schemas.openxmlformats.org/officeDocument/2006/relationships/footer" Target="footer30.xml"/><Relationship Id="rId13" Type="http://schemas.openxmlformats.org/officeDocument/2006/relationships/hyperlink" Target="mailto:jcannings@londecon.co.uk" TargetMode="External"/><Relationship Id="rId109" Type="http://schemas.openxmlformats.org/officeDocument/2006/relationships/image" Target="media/image68.png"/><Relationship Id="rId260" Type="http://schemas.openxmlformats.org/officeDocument/2006/relationships/hyperlink" Target="https://twitter.com/LE_Education" TargetMode="External"/><Relationship Id="rId34" Type="http://schemas.openxmlformats.org/officeDocument/2006/relationships/image" Target="media/image11.png"/><Relationship Id="rId55" Type="http://schemas.openxmlformats.org/officeDocument/2006/relationships/image" Target="media/image32.png"/><Relationship Id="rId76" Type="http://schemas.openxmlformats.org/officeDocument/2006/relationships/image" Target="media/image47.svg"/><Relationship Id="rId97" Type="http://schemas.openxmlformats.org/officeDocument/2006/relationships/header" Target="header14.xml"/><Relationship Id="rId120" Type="http://schemas.openxmlformats.org/officeDocument/2006/relationships/header" Target="header20.xml"/><Relationship Id="rId141" Type="http://schemas.openxmlformats.org/officeDocument/2006/relationships/header" Target="header25.xml"/><Relationship Id="rId7" Type="http://schemas.openxmlformats.org/officeDocument/2006/relationships/endnotes" Target="endnotes.xml"/><Relationship Id="rId162" Type="http://schemas.openxmlformats.org/officeDocument/2006/relationships/image" Target="media/image104.svg"/><Relationship Id="rId183" Type="http://schemas.openxmlformats.org/officeDocument/2006/relationships/hyperlink" Target="https://www.hesa.ac.uk/data-and-analysis/publications/students-2011-12" TargetMode="External"/><Relationship Id="rId218" Type="http://schemas.openxmlformats.org/officeDocument/2006/relationships/hyperlink" Target="https://www.visitbritain.org/research-insights/inbound-visits-and-spend-trends-uk-town" TargetMode="External"/><Relationship Id="rId239" Type="http://schemas.openxmlformats.org/officeDocument/2006/relationships/image" Target="media/image120.svg"/><Relationship Id="rId250" Type="http://schemas.openxmlformats.org/officeDocument/2006/relationships/footer" Target="footer31.xml"/><Relationship Id="rId24" Type="http://schemas.openxmlformats.org/officeDocument/2006/relationships/header" Target="header4.xml"/><Relationship Id="rId45" Type="http://schemas.openxmlformats.org/officeDocument/2006/relationships/image" Target="media/image22.svg"/><Relationship Id="rId66" Type="http://schemas.openxmlformats.org/officeDocument/2006/relationships/footer" Target="footer9.xml"/><Relationship Id="rId87" Type="http://schemas.openxmlformats.org/officeDocument/2006/relationships/image" Target="media/image58.emf"/><Relationship Id="rId110" Type="http://schemas.openxmlformats.org/officeDocument/2006/relationships/header" Target="header17.xml"/><Relationship Id="rId131" Type="http://schemas.openxmlformats.org/officeDocument/2006/relationships/image" Target="media/image79.svg"/><Relationship Id="rId152" Type="http://schemas.openxmlformats.org/officeDocument/2006/relationships/image" Target="media/image94.png"/><Relationship Id="rId173" Type="http://schemas.openxmlformats.org/officeDocument/2006/relationships/hyperlink" Target="http://www.bis.gov.uk/assets/biscore/higher-education/docs/e/11-980-estimating-value-of-education-exports.pdf" TargetMode="External"/><Relationship Id="rId194" Type="http://schemas.openxmlformats.org/officeDocument/2006/relationships/hyperlink" Target="https://www.hesa.ac.uk/data-and-analysis/finances/table-9" TargetMode="External"/><Relationship Id="rId208" Type="http://schemas.openxmlformats.org/officeDocument/2006/relationships/hyperlink" Target="https://www.ons.gov.uk/economy/nationalaccounts/supplyandusetables/datasets/ukinputoutputanalyticaltablesindustrybyindustry" TargetMode="External"/><Relationship Id="rId229" Type="http://schemas.openxmlformats.org/officeDocument/2006/relationships/image" Target="media/image110.svg"/><Relationship Id="rId240" Type="http://schemas.openxmlformats.org/officeDocument/2006/relationships/image" Target="media/image121.png"/><Relationship Id="rId261" Type="http://schemas.openxmlformats.org/officeDocument/2006/relationships/hyperlink" Target="mailto:info@londoneconomics.co.uk" TargetMode="External"/><Relationship Id="rId14" Type="http://schemas.openxmlformats.org/officeDocument/2006/relationships/hyperlink" Target="mailto:kknuth@londecon.co.uk" TargetMode="External"/><Relationship Id="rId35" Type="http://schemas.openxmlformats.org/officeDocument/2006/relationships/image" Target="media/image12.svg"/><Relationship Id="rId56" Type="http://schemas.openxmlformats.org/officeDocument/2006/relationships/image" Target="media/image33.svg"/><Relationship Id="rId77" Type="http://schemas.openxmlformats.org/officeDocument/2006/relationships/image" Target="media/image48.emf"/><Relationship Id="rId100" Type="http://schemas.openxmlformats.org/officeDocument/2006/relationships/footer" Target="footer14.xml"/><Relationship Id="rId8" Type="http://schemas.openxmlformats.org/officeDocument/2006/relationships/image" Target="media/image1.png"/><Relationship Id="rId98" Type="http://schemas.openxmlformats.org/officeDocument/2006/relationships/header" Target="header15.xml"/><Relationship Id="rId121" Type="http://schemas.openxmlformats.org/officeDocument/2006/relationships/footer" Target="footer17.xml"/><Relationship Id="rId142" Type="http://schemas.openxmlformats.org/officeDocument/2006/relationships/footer" Target="footer21.xml"/><Relationship Id="rId163" Type="http://schemas.openxmlformats.org/officeDocument/2006/relationships/image" Target="media/image105.png"/><Relationship Id="rId184" Type="http://schemas.openxmlformats.org/officeDocument/2006/relationships/hyperlink" Target="https://www.hesa.ac.uk/data-and-analysis/publications/students-2012-13" TargetMode="External"/><Relationship Id="rId219" Type="http://schemas.openxmlformats.org/officeDocument/2006/relationships/hyperlink" Target="https://www.ons.gov.uk/economy/grossvalueaddedgva/datasets/nominalregionalgrossvalueaddedbalancedperheadandincomecomponents" TargetMode="External"/><Relationship Id="rId230" Type="http://schemas.openxmlformats.org/officeDocument/2006/relationships/image" Target="media/image111.png"/><Relationship Id="rId251" Type="http://schemas.openxmlformats.org/officeDocument/2006/relationships/header" Target="header35.xml"/><Relationship Id="rId25" Type="http://schemas.openxmlformats.org/officeDocument/2006/relationships/footer" Target="footer3.xml"/><Relationship Id="rId46" Type="http://schemas.openxmlformats.org/officeDocument/2006/relationships/image" Target="media/image23.png"/><Relationship Id="rId67" Type="http://schemas.openxmlformats.org/officeDocument/2006/relationships/image" Target="media/image38.png"/><Relationship Id="rId88" Type="http://schemas.openxmlformats.org/officeDocument/2006/relationships/image" Target="media/image59.emf"/><Relationship Id="rId111" Type="http://schemas.openxmlformats.org/officeDocument/2006/relationships/header" Target="header18.xml"/><Relationship Id="rId132" Type="http://schemas.openxmlformats.org/officeDocument/2006/relationships/image" Target="media/image80.png"/><Relationship Id="rId153" Type="http://schemas.openxmlformats.org/officeDocument/2006/relationships/image" Target="media/image95.svg"/><Relationship Id="rId174" Type="http://schemas.openxmlformats.org/officeDocument/2006/relationships/hyperlink" Target="https://assets.publishing.service.gov.uk/government/uploads/system/uploads/attachment_data/file/333006/bis-14-990-rates-of-return-to-investment-in-science-and-innovation-revised-final-report.pdf" TargetMode="External"/><Relationship Id="rId195" Type="http://schemas.openxmlformats.org/officeDocument/2006/relationships/hyperlink" Target="https://www.hesa.ac.uk/data-and-analysis/students/table-49" TargetMode="External"/><Relationship Id="rId209" Type="http://schemas.openxmlformats.org/officeDocument/2006/relationships/hyperlink" Target="https://www.ons.gov.uk/economy/inflationandpriceindices/timeseries/d7bt/mm23" TargetMode="External"/><Relationship Id="rId220" Type="http://schemas.openxmlformats.org/officeDocument/2006/relationships/hyperlink" Target="https://www.ons.gov.uk/employmentandlabourmarket/peopleinwork/employmentandemployeetypes/datasets/regionbybroadindustrygroupsicbusinessregisterandemploymentsurveybrestable4" TargetMode="External"/><Relationship Id="rId241" Type="http://schemas.openxmlformats.org/officeDocument/2006/relationships/header" Target="header30.xml"/><Relationship Id="rId15" Type="http://schemas.openxmlformats.org/officeDocument/2006/relationships/hyperlink" Target="mailto:jbooth@londecon.co.uk" TargetMode="External"/><Relationship Id="rId36" Type="http://schemas.openxmlformats.org/officeDocument/2006/relationships/image" Target="media/image13.png"/><Relationship Id="rId57" Type="http://schemas.openxmlformats.org/officeDocument/2006/relationships/image" Target="media/image34.png"/><Relationship Id="rId262" Type="http://schemas.openxmlformats.org/officeDocument/2006/relationships/hyperlink" Target="https://twitter.com/LE_Education" TargetMode="External"/><Relationship Id="rId78" Type="http://schemas.openxmlformats.org/officeDocument/2006/relationships/image" Target="media/image49.emf"/><Relationship Id="rId99" Type="http://schemas.openxmlformats.org/officeDocument/2006/relationships/footer" Target="footer13.xml"/><Relationship Id="rId101" Type="http://schemas.openxmlformats.org/officeDocument/2006/relationships/header" Target="header16.xml"/><Relationship Id="rId122" Type="http://schemas.openxmlformats.org/officeDocument/2006/relationships/footer" Target="footer18.xml"/><Relationship Id="rId143" Type="http://schemas.openxmlformats.org/officeDocument/2006/relationships/footer" Target="footer22.xml"/><Relationship Id="rId164" Type="http://schemas.openxmlformats.org/officeDocument/2006/relationships/image" Target="media/image106.svg"/><Relationship Id="rId185" Type="http://schemas.openxmlformats.org/officeDocument/2006/relationships/hyperlink" Target="https://www.hesa.ac.uk/data-and-analysis/publications/students-2013-14" TargetMode="External"/><Relationship Id="rId9" Type="http://schemas.openxmlformats.org/officeDocument/2006/relationships/image" Target="media/image2.png"/><Relationship Id="rId210" Type="http://schemas.openxmlformats.org/officeDocument/2006/relationships/hyperlink" Target="https://www.oxfordeconomics.com/resource/the-economic-impact-of-universities-in-2014-15/" TargetMode="External"/><Relationship Id="rId26" Type="http://schemas.openxmlformats.org/officeDocument/2006/relationships/header" Target="header5.xml"/><Relationship Id="rId231" Type="http://schemas.openxmlformats.org/officeDocument/2006/relationships/image" Target="media/image112.svg"/><Relationship Id="rId252" Type="http://schemas.openxmlformats.org/officeDocument/2006/relationships/footer" Target="footer32.xml"/><Relationship Id="rId47" Type="http://schemas.openxmlformats.org/officeDocument/2006/relationships/image" Target="media/image24.svg"/><Relationship Id="rId68" Type="http://schemas.openxmlformats.org/officeDocument/2006/relationships/image" Target="media/image39.svg"/><Relationship Id="rId89" Type="http://schemas.openxmlformats.org/officeDocument/2006/relationships/image" Target="media/image60.emf"/><Relationship Id="rId112" Type="http://schemas.openxmlformats.org/officeDocument/2006/relationships/footer" Target="footer16.xml"/><Relationship Id="rId133" Type="http://schemas.openxmlformats.org/officeDocument/2006/relationships/image" Target="media/image81.svg"/><Relationship Id="rId154" Type="http://schemas.openxmlformats.org/officeDocument/2006/relationships/image" Target="media/image96.emf"/><Relationship Id="rId175" Type="http://schemas.openxmlformats.org/officeDocument/2006/relationships/hyperlink" Target="https://assets.publishing.service.gov.uk/government/uploads/system/uploads/attachment_data/file/1123697/Eligibility_rules_for_home_fee_status_and_student_finance_from_the_2021_to_2022_academic%20_year.pdf" TargetMode="External"/><Relationship Id="rId196" Type="http://schemas.openxmlformats.org/officeDocument/2006/relationships/hyperlink" Target="https://assets.publishing.service.gov.uk/government/uploads/system/uploads/attachment_data/file/685903/The_Green_Book.pdf" TargetMode="External"/><Relationship Id="rId200" Type="http://schemas.openxmlformats.org/officeDocument/2006/relationships/hyperlink" Target="https://londoneconomics.co.uk/wp-content/uploads/2018/08/Go8_London-Economics-Report.pdf" TargetMode="External"/><Relationship Id="rId16" Type="http://schemas.openxmlformats.org/officeDocument/2006/relationships/hyperlink" Target="mailto:phagelberg@londecon.co.uk" TargetMode="External"/><Relationship Id="rId221" Type="http://schemas.openxmlformats.org/officeDocument/2006/relationships/hyperlink" Target="https://www.ons.gov.uk/economy/regionalaccounts/grossdisposablehouseholdincome/bulletins/regionalgrossdisposablehouseholdincomegdhi/1997to2020" TargetMode="External"/><Relationship Id="rId242" Type="http://schemas.openxmlformats.org/officeDocument/2006/relationships/header" Target="header31.xml"/><Relationship Id="rId263" Type="http://schemas.openxmlformats.org/officeDocument/2006/relationships/header" Target="header39.xml"/><Relationship Id="rId37" Type="http://schemas.openxmlformats.org/officeDocument/2006/relationships/image" Target="media/image14.svg"/><Relationship Id="rId58" Type="http://schemas.openxmlformats.org/officeDocument/2006/relationships/image" Target="media/image35.svg"/><Relationship Id="rId79" Type="http://schemas.openxmlformats.org/officeDocument/2006/relationships/image" Target="media/image50.emf"/><Relationship Id="rId102" Type="http://schemas.openxmlformats.org/officeDocument/2006/relationships/footer" Target="footer15.xml"/><Relationship Id="rId123" Type="http://schemas.openxmlformats.org/officeDocument/2006/relationships/header" Target="header21.xml"/><Relationship Id="rId144" Type="http://schemas.openxmlformats.org/officeDocument/2006/relationships/header" Target="header26.xml"/><Relationship Id="rId90" Type="http://schemas.openxmlformats.org/officeDocument/2006/relationships/header" Target="header11.xml"/><Relationship Id="rId165" Type="http://schemas.openxmlformats.org/officeDocument/2006/relationships/header" Target="header27.xml"/><Relationship Id="rId186" Type="http://schemas.openxmlformats.org/officeDocument/2006/relationships/hyperlink" Target="https://www.hesa.ac.uk/data-and-analysis/finances/table-8" TargetMode="External"/><Relationship Id="rId211" Type="http://schemas.openxmlformats.org/officeDocument/2006/relationships/hyperlink" Target="https://www.saas.gov.uk/files/400/saas-statistics-2018-19.pdf" TargetMode="External"/><Relationship Id="rId232" Type="http://schemas.openxmlformats.org/officeDocument/2006/relationships/image" Target="media/image113.png"/><Relationship Id="rId253" Type="http://schemas.openxmlformats.org/officeDocument/2006/relationships/header" Target="header36.xml"/><Relationship Id="rId27" Type="http://schemas.openxmlformats.org/officeDocument/2006/relationships/header" Target="header6.xml"/><Relationship Id="rId48" Type="http://schemas.openxmlformats.org/officeDocument/2006/relationships/image" Target="media/image25.png"/><Relationship Id="rId69" Type="http://schemas.openxmlformats.org/officeDocument/2006/relationships/image" Target="media/image40.png"/><Relationship Id="rId113" Type="http://schemas.openxmlformats.org/officeDocument/2006/relationships/image" Target="media/image69.emf"/><Relationship Id="rId134" Type="http://schemas.openxmlformats.org/officeDocument/2006/relationships/image" Target="media/image82.png"/><Relationship Id="rId80" Type="http://schemas.openxmlformats.org/officeDocument/2006/relationships/image" Target="media/image51.png"/><Relationship Id="rId155" Type="http://schemas.openxmlformats.org/officeDocument/2006/relationships/image" Target="media/image97.png"/><Relationship Id="rId176" Type="http://schemas.openxmlformats.org/officeDocument/2006/relationships/hyperlink" Target="https://explore-education-statistics.service.gov.uk/find-statistics/student-loan-forecasts-for-england" TargetMode="External"/><Relationship Id="rId197" Type="http://schemas.openxmlformats.org/officeDocument/2006/relationships/hyperlink" Target="http://www3.imperial.ac.uk/newsandeventspggrp/imperialcollege/newssummary/news_16-3-2010-13-6-57" TargetMode="External"/><Relationship Id="rId201" Type="http://schemas.openxmlformats.org/officeDocument/2006/relationships/hyperlink" Target="https://londoneconomics.co.uk/blog/publication/the-benefits-and-costs-of-international-higher-education-students-to-the-uk-economy-analysis-for-the-2021-22-cohort-may-2023/" TargetMode="External"/><Relationship Id="rId222" Type="http://schemas.openxmlformats.org/officeDocument/2006/relationships/hyperlink" Target="https://www.ons.gov.uk/peoplepopulationandcommunity/populationandmigration/populationestimates/datasets/populationestimatesforukenglandandwalesscotlandandnorthernireland" TargetMode="External"/><Relationship Id="rId243" Type="http://schemas.openxmlformats.org/officeDocument/2006/relationships/footer" Target="footer27.xml"/><Relationship Id="rId264" Type="http://schemas.openxmlformats.org/officeDocument/2006/relationships/header" Target="header40.xml"/><Relationship Id="rId17" Type="http://schemas.openxmlformats.org/officeDocument/2006/relationships/hyperlink" Target="mailto:gconlon@londecon.co.uk" TargetMode="External"/><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media/image62.emf"/><Relationship Id="rId124" Type="http://schemas.openxmlformats.org/officeDocument/2006/relationships/footer" Target="footer19.xml"/><Relationship Id="rId70" Type="http://schemas.openxmlformats.org/officeDocument/2006/relationships/image" Target="media/image41.svg"/><Relationship Id="rId91" Type="http://schemas.openxmlformats.org/officeDocument/2006/relationships/header" Target="header12.xml"/><Relationship Id="rId145" Type="http://schemas.openxmlformats.org/officeDocument/2006/relationships/footer" Target="footer23.xml"/><Relationship Id="rId166" Type="http://schemas.openxmlformats.org/officeDocument/2006/relationships/header" Target="header28.xml"/><Relationship Id="rId187" Type="http://schemas.openxmlformats.org/officeDocument/2006/relationships/hyperlink" Target="https://www.hesa.ac.uk/data-and-analysis/finances/table-7c" TargetMode="External"/><Relationship Id="rId1" Type="http://schemas.openxmlformats.org/officeDocument/2006/relationships/customXml" Target="../customXml/item1.xml"/><Relationship Id="rId212" Type="http://schemas.openxmlformats.org/officeDocument/2006/relationships/hyperlink" Target="https://www.gov.uk/government/statistics/student-support-for-higher-education-in-england-2022" TargetMode="External"/><Relationship Id="rId233" Type="http://schemas.openxmlformats.org/officeDocument/2006/relationships/image" Target="media/image114.svg"/><Relationship Id="rId254" Type="http://schemas.openxmlformats.org/officeDocument/2006/relationships/header" Target="header37.xml"/><Relationship Id="rId28" Type="http://schemas.openxmlformats.org/officeDocument/2006/relationships/footer" Target="footer4.xml"/><Relationship Id="rId49" Type="http://schemas.openxmlformats.org/officeDocument/2006/relationships/image" Target="media/image26.svg"/><Relationship Id="rId114" Type="http://schemas.openxmlformats.org/officeDocument/2006/relationships/image" Target="media/image70.emf"/><Relationship Id="rId60" Type="http://schemas.openxmlformats.org/officeDocument/2006/relationships/image" Target="media/image37.svg"/><Relationship Id="rId81" Type="http://schemas.openxmlformats.org/officeDocument/2006/relationships/image" Target="media/image52.emf"/><Relationship Id="rId135" Type="http://schemas.openxmlformats.org/officeDocument/2006/relationships/image" Target="media/image83.svg"/><Relationship Id="rId156" Type="http://schemas.openxmlformats.org/officeDocument/2006/relationships/image" Target="media/image98.svg"/><Relationship Id="rId177" Type="http://schemas.openxmlformats.org/officeDocument/2006/relationships/hyperlink" Target="https://coventry21evaluation.info/wp-content/uploads/2023/09/Coventry-STEAM-Web-Presentation-2022.pdf" TargetMode="External"/><Relationship Id="rId198" Type="http://schemas.openxmlformats.org/officeDocument/2006/relationships/hyperlink" Target="https://www.gov.uk/government/publications/student-income-and-expenditure-survey-2021-to-2022" TargetMode="External"/><Relationship Id="rId202" Type="http://schemas.openxmlformats.org/officeDocument/2006/relationships/hyperlink" Target="https://londoneconomics.co.uk/blog/publication/general-election-briefings-examination-of-higher-education-fees-and-funding-across-the-uk/" TargetMode="External"/><Relationship Id="rId223" Type="http://schemas.openxmlformats.org/officeDocument/2006/relationships/hyperlink" Target="https://www.ons.gov.uk/employmentandlabourmarket/peopleinwork/earningsandworkinghours/datasets/industry2digitsicashetable4" TargetMode="External"/><Relationship Id="rId244" Type="http://schemas.openxmlformats.org/officeDocument/2006/relationships/footer" Target="footer28.xml"/><Relationship Id="rId18" Type="http://schemas.openxmlformats.org/officeDocument/2006/relationships/hyperlink" Target="mailto:abattiston@londecon.co.uk" TargetMode="External"/><Relationship Id="rId39" Type="http://schemas.openxmlformats.org/officeDocument/2006/relationships/image" Target="media/image16.svg"/><Relationship Id="rId265" Type="http://schemas.openxmlformats.org/officeDocument/2006/relationships/footer" Target="footer36.xml"/><Relationship Id="rId50" Type="http://schemas.openxmlformats.org/officeDocument/2006/relationships/image" Target="media/image27.png"/><Relationship Id="rId104" Type="http://schemas.openxmlformats.org/officeDocument/2006/relationships/image" Target="media/image63.emf"/><Relationship Id="rId125" Type="http://schemas.openxmlformats.org/officeDocument/2006/relationships/header" Target="header22.xml"/><Relationship Id="rId146" Type="http://schemas.openxmlformats.org/officeDocument/2006/relationships/image" Target="media/image88.png"/><Relationship Id="rId167" Type="http://schemas.openxmlformats.org/officeDocument/2006/relationships/footer" Target="footer24.xml"/><Relationship Id="rId188" Type="http://schemas.openxmlformats.org/officeDocument/2006/relationships/hyperlink" Target="https://www.hesa.ac.uk/data-and-analysis/business-community" TargetMode="External"/><Relationship Id="rId71" Type="http://schemas.openxmlformats.org/officeDocument/2006/relationships/image" Target="media/image42.png"/><Relationship Id="rId92" Type="http://schemas.openxmlformats.org/officeDocument/2006/relationships/footer" Target="footer10.xml"/><Relationship Id="rId213" Type="http://schemas.openxmlformats.org/officeDocument/2006/relationships/hyperlink" Target="https://www.gov.uk/government/statistics/student-support-for-higher-education-in-wales-2022" TargetMode="External"/><Relationship Id="rId234" Type="http://schemas.openxmlformats.org/officeDocument/2006/relationships/image" Target="media/image115.png"/><Relationship Id="rId2" Type="http://schemas.openxmlformats.org/officeDocument/2006/relationships/numbering" Target="numbering.xml"/><Relationship Id="rId29" Type="http://schemas.openxmlformats.org/officeDocument/2006/relationships/footer" Target="footer5.xml"/><Relationship Id="rId255" Type="http://schemas.openxmlformats.org/officeDocument/2006/relationships/footer" Target="footer33.xml"/><Relationship Id="rId40" Type="http://schemas.openxmlformats.org/officeDocument/2006/relationships/image" Target="media/image17.png"/><Relationship Id="rId115" Type="http://schemas.openxmlformats.org/officeDocument/2006/relationships/image" Target="media/image71.emf"/><Relationship Id="rId136" Type="http://schemas.openxmlformats.org/officeDocument/2006/relationships/image" Target="media/image84.png"/><Relationship Id="rId157" Type="http://schemas.openxmlformats.org/officeDocument/2006/relationships/image" Target="media/image99.emf"/><Relationship Id="rId178" Type="http://schemas.openxmlformats.org/officeDocument/2006/relationships/hyperlink" Target="https://www.researchgate.net/profile/Kevin-J-Fox/publication/316568973_The_contribution_of_research_and_innovation_to_productivity/links/5a78246945851541ce5aa7d3/The-contribution-of-research-and-innovation-to-productivity.pdf" TargetMode="External"/><Relationship Id="rId61" Type="http://schemas.openxmlformats.org/officeDocument/2006/relationships/header" Target="header8.xml"/><Relationship Id="rId82" Type="http://schemas.openxmlformats.org/officeDocument/2006/relationships/image" Target="media/image53.png"/><Relationship Id="rId199" Type="http://schemas.openxmlformats.org/officeDocument/2006/relationships/hyperlink" Target="https://www.birmingham.ac.uk/Documents/university/economic-impact-brochure-summary.pdf" TargetMode="External"/><Relationship Id="rId203" Type="http://schemas.openxmlformats.org/officeDocument/2006/relationships/hyperlink" Target="https://www.nomisweb.co.uk/query/construct/summary.asp?mode=construct&amp;version=0&amp;dataset=31" TargetMode="External"/><Relationship Id="rId19" Type="http://schemas.openxmlformats.org/officeDocument/2006/relationships/hyperlink" Target="mailto:mhalterbeck@londecon.co.uk" TargetMode="External"/><Relationship Id="rId224" Type="http://schemas.openxmlformats.org/officeDocument/2006/relationships/hyperlink" Target="https://www.nomisweb.co.uk/census/2011/wu02uk" TargetMode="External"/><Relationship Id="rId245" Type="http://schemas.openxmlformats.org/officeDocument/2006/relationships/header" Target="header32.xml"/><Relationship Id="rId266" Type="http://schemas.openxmlformats.org/officeDocument/2006/relationships/footer" Target="footer37.xml"/><Relationship Id="rId30" Type="http://schemas.openxmlformats.org/officeDocument/2006/relationships/header" Target="header7.xml"/><Relationship Id="rId105" Type="http://schemas.openxmlformats.org/officeDocument/2006/relationships/image" Target="media/image64.emf"/><Relationship Id="rId126" Type="http://schemas.openxmlformats.org/officeDocument/2006/relationships/header" Target="header23.xml"/><Relationship Id="rId147" Type="http://schemas.openxmlformats.org/officeDocument/2006/relationships/image" Target="media/image89.svg"/><Relationship Id="rId168" Type="http://schemas.openxmlformats.org/officeDocument/2006/relationships/footer" Target="footer25.xml"/><Relationship Id="rId51" Type="http://schemas.openxmlformats.org/officeDocument/2006/relationships/image" Target="media/image28.svg"/><Relationship Id="rId72" Type="http://schemas.openxmlformats.org/officeDocument/2006/relationships/image" Target="media/image43.svg"/><Relationship Id="rId93" Type="http://schemas.openxmlformats.org/officeDocument/2006/relationships/footer" Target="footer11.xml"/><Relationship Id="rId189" Type="http://schemas.openxmlformats.org/officeDocument/2006/relationships/hyperlink" Target="https://www.hesa.ac.uk/data-and-analysis/finances" TargetMode="External"/><Relationship Id="rId3" Type="http://schemas.openxmlformats.org/officeDocument/2006/relationships/styles" Target="styles.xml"/><Relationship Id="rId214" Type="http://schemas.openxmlformats.org/officeDocument/2006/relationships/hyperlink" Target="https://www.gov.uk/government/statistics/student-support-for-higher-education-in-northern-ireland-2022" TargetMode="External"/><Relationship Id="rId235" Type="http://schemas.openxmlformats.org/officeDocument/2006/relationships/image" Target="media/image116.svg"/><Relationship Id="rId256" Type="http://schemas.openxmlformats.org/officeDocument/2006/relationships/footer" Target="footer34.xml"/><Relationship Id="rId116" Type="http://schemas.openxmlformats.org/officeDocument/2006/relationships/image" Target="media/image72.emf"/><Relationship Id="rId137" Type="http://schemas.openxmlformats.org/officeDocument/2006/relationships/image" Target="media/image85.svg"/><Relationship Id="rId158" Type="http://schemas.openxmlformats.org/officeDocument/2006/relationships/image" Target="media/image100.png"/><Relationship Id="rId20" Type="http://schemas.openxmlformats.org/officeDocument/2006/relationships/header" Target="header2.xml"/><Relationship Id="rId41" Type="http://schemas.openxmlformats.org/officeDocument/2006/relationships/image" Target="media/image18.svg"/><Relationship Id="rId62" Type="http://schemas.openxmlformats.org/officeDocument/2006/relationships/header" Target="header9.xml"/><Relationship Id="rId83" Type="http://schemas.openxmlformats.org/officeDocument/2006/relationships/image" Target="media/image54.emf"/><Relationship Id="rId179" Type="http://schemas.openxmlformats.org/officeDocument/2006/relationships/hyperlink" Target="https://docs.iza.org/dp4772.pdf" TargetMode="External"/><Relationship Id="rId190" Type="http://schemas.openxmlformats.org/officeDocument/2006/relationships/hyperlink" Target="https://www.hesa.ac.uk/collection/c21051/a/domicile" TargetMode="External"/><Relationship Id="rId204" Type="http://schemas.openxmlformats.org/officeDocument/2006/relationships/hyperlink" Target="http://obr.uk/forecasts-in-depth/tax-by-tax-spend-by-spend/vat/" TargetMode="External"/><Relationship Id="rId225" Type="http://schemas.openxmlformats.org/officeDocument/2006/relationships/hyperlink" Target="https://www.uktradeinfo.com/trade-data/regional/2021/uk-regional-trade-in-goods-statistics-first-quarter-2021" TargetMode="External"/><Relationship Id="rId246" Type="http://schemas.openxmlformats.org/officeDocument/2006/relationships/footer" Target="footer29.xml"/><Relationship Id="rId267" Type="http://schemas.openxmlformats.org/officeDocument/2006/relationships/header" Target="header41.xml"/><Relationship Id="rId106" Type="http://schemas.openxmlformats.org/officeDocument/2006/relationships/image" Target="media/image65.emf"/><Relationship Id="rId127" Type="http://schemas.openxmlformats.org/officeDocument/2006/relationships/footer" Target="footer20.xml"/><Relationship Id="rId10" Type="http://schemas.openxmlformats.org/officeDocument/2006/relationships/image" Target="media/image3.jpeg"/><Relationship Id="rId31" Type="http://schemas.openxmlformats.org/officeDocument/2006/relationships/footer" Target="footer6.xml"/><Relationship Id="rId52" Type="http://schemas.openxmlformats.org/officeDocument/2006/relationships/image" Target="media/image29.emf"/><Relationship Id="rId73" Type="http://schemas.openxmlformats.org/officeDocument/2006/relationships/image" Target="media/image44.png"/><Relationship Id="rId94" Type="http://schemas.openxmlformats.org/officeDocument/2006/relationships/header" Target="header13.xml"/><Relationship Id="rId148" Type="http://schemas.openxmlformats.org/officeDocument/2006/relationships/image" Target="media/image90.png"/><Relationship Id="rId169" Type="http://schemas.openxmlformats.org/officeDocument/2006/relationships/header" Target="header29.xml"/><Relationship Id="rId4" Type="http://schemas.openxmlformats.org/officeDocument/2006/relationships/settings" Target="settings.xml"/><Relationship Id="rId180" Type="http://schemas.openxmlformats.org/officeDocument/2006/relationships/hyperlink" Target="https://spiral.imperial.ac.uk/bitstream/10044/1/13751/2/Haskel%202014-04.pdf" TargetMode="External"/><Relationship Id="rId215" Type="http://schemas.openxmlformats.org/officeDocument/2006/relationships/hyperlink" Target="https://www.birmingham.ac.uk/documents/finance/uob-annual-report-and-accounts-2021-22-accessible.pdf" TargetMode="External"/><Relationship Id="rId236" Type="http://schemas.openxmlformats.org/officeDocument/2006/relationships/image" Target="media/image117.png"/><Relationship Id="rId257" Type="http://schemas.openxmlformats.org/officeDocument/2006/relationships/header" Target="header38.xml"/><Relationship Id="rId42" Type="http://schemas.openxmlformats.org/officeDocument/2006/relationships/image" Target="media/image19.png"/><Relationship Id="rId84" Type="http://schemas.openxmlformats.org/officeDocument/2006/relationships/image" Target="media/image55.emf"/><Relationship Id="rId138" Type="http://schemas.openxmlformats.org/officeDocument/2006/relationships/image" Target="media/image86.png"/><Relationship Id="rId191" Type="http://schemas.openxmlformats.org/officeDocument/2006/relationships/hyperlink" Target="https://www.hesa.ac.uk/data-and-analysis/estates/table-1" TargetMode="External"/><Relationship Id="rId205" Type="http://schemas.openxmlformats.org/officeDocument/2006/relationships/hyperlink" Target="https://obr.uk/efo/economic-and-fiscal-outlook-november-2023/" TargetMode="External"/><Relationship Id="rId247" Type="http://schemas.openxmlformats.org/officeDocument/2006/relationships/header" Target="header33.xml"/><Relationship Id="rId107" Type="http://schemas.openxmlformats.org/officeDocument/2006/relationships/image" Target="media/image66.emf"/></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5.jpeg"/></Relationships>
</file>

<file path=word/_rels/footer20.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5.png"/></Relationships>
</file>

<file path=word/_rels/footer2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5.pn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png"/></Relationships>
</file>

<file path=word/_rels/footer36.xml.rels><?xml version="1.0" encoding="UTF-8" standalone="yes"?>
<Relationships xmlns="http://schemas.openxmlformats.org/package/2006/relationships"><Relationship Id="rId2" Type="http://schemas.openxmlformats.org/officeDocument/2006/relationships/image" Target="media/image123.png"/><Relationship Id="rId1" Type="http://schemas.openxmlformats.org/officeDocument/2006/relationships/image" Target="media/image1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LE%20Report.dotm" TargetMode="External"/></Relationships>
</file>

<file path=word/theme/theme1.xml><?xml version="1.0" encoding="utf-8"?>
<a:theme xmlns:a="http://schemas.openxmlformats.org/drawingml/2006/main" name="Office Theme">
  <a:themeElements>
    <a:clrScheme name="LondonEconomics">
      <a:dk1>
        <a:sysClr val="windowText" lastClr="000000"/>
      </a:dk1>
      <a:lt1>
        <a:sysClr val="window" lastClr="FFFFFF"/>
      </a:lt1>
      <a:dk2>
        <a:srgbClr val="06357A"/>
      </a:dk2>
      <a:lt2>
        <a:srgbClr val="A6A6A6"/>
      </a:lt2>
      <a:accent1>
        <a:srgbClr val="06357A"/>
      </a:accent1>
      <a:accent2>
        <a:srgbClr val="0B5ED7"/>
      </a:accent2>
      <a:accent3>
        <a:srgbClr val="5093F6"/>
      </a:accent3>
      <a:accent4>
        <a:srgbClr val="A6A6A6"/>
      </a:accent4>
      <a:accent5>
        <a:srgbClr val="6F6F6F"/>
      </a:accent5>
      <a:accent6>
        <a:srgbClr val="343434"/>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B79D7-2F71-411E-83A7-51057381C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Files\Microsoft Office\root\Templates\LE Report.dotm</Template>
  <TotalTime>2</TotalTime>
  <Pages>1</Pages>
  <Words>37021</Words>
  <Characters>211022</Characters>
  <Application>Microsoft Office Word</Application>
  <DocSecurity>10</DocSecurity>
  <Lines>1758</Lines>
  <Paragraphs>495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Cannings</dc:creator>
  <cp:lastModifiedBy>Andy Tootell (Campaigns and Reputation)</cp:lastModifiedBy>
  <cp:revision>3</cp:revision>
  <cp:lastPrinted>2024-06-07T10:29:00Z</cp:lastPrinted>
  <dcterms:created xsi:type="dcterms:W3CDTF">2024-06-21T10:53:00Z</dcterms:created>
  <dcterms:modified xsi:type="dcterms:W3CDTF">2024-06-21T10:53:00Z</dcterms:modified>
</cp:coreProperties>
</file>