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BD1F0" w14:textId="77777777" w:rsidR="00145BD9" w:rsidRPr="002C334A" w:rsidRDefault="001C6C95" w:rsidP="002C334A">
      <w:pPr>
        <w:rPr>
          <w:rFonts w:ascii="Times New Roman" w:hAnsi="Times New Roman" w:cs="Times New Roman"/>
          <w:sz w:val="28"/>
          <w:szCs w:val="28"/>
        </w:rPr>
      </w:pPr>
      <w:proofErr w:type="spellStart"/>
      <w:r w:rsidRPr="002C334A">
        <w:rPr>
          <w:rFonts w:ascii="Times New Roman" w:hAnsi="Times New Roman" w:cs="Times New Roman"/>
          <w:b/>
          <w:sz w:val="28"/>
          <w:szCs w:val="28"/>
        </w:rPr>
        <w:t>UoB</w:t>
      </w:r>
      <w:proofErr w:type="spellEnd"/>
      <w:r w:rsidRPr="002C334A">
        <w:rPr>
          <w:rFonts w:ascii="Times New Roman" w:hAnsi="Times New Roman" w:cs="Times New Roman"/>
          <w:b/>
          <w:sz w:val="28"/>
          <w:szCs w:val="28"/>
        </w:rPr>
        <w:t xml:space="preserve"> Brexit transition g</w:t>
      </w:r>
      <w:r w:rsidR="00145BD9" w:rsidRPr="002C334A">
        <w:rPr>
          <w:rFonts w:ascii="Times New Roman" w:hAnsi="Times New Roman" w:cs="Times New Roman"/>
          <w:b/>
          <w:sz w:val="28"/>
          <w:szCs w:val="28"/>
        </w:rPr>
        <w:t>uidance</w:t>
      </w:r>
      <w:r w:rsidRPr="002C334A">
        <w:rPr>
          <w:rFonts w:ascii="Times New Roman" w:hAnsi="Times New Roman" w:cs="Times New Roman"/>
          <w:b/>
          <w:sz w:val="28"/>
          <w:szCs w:val="28"/>
        </w:rPr>
        <w:t xml:space="preserve"> for clinical research</w:t>
      </w:r>
    </w:p>
    <w:p w14:paraId="24ABBDC3" w14:textId="77777777" w:rsidR="002C334A" w:rsidRPr="002C334A" w:rsidRDefault="002C334A" w:rsidP="00145BD9">
      <w:pPr>
        <w:rPr>
          <w:rFonts w:ascii="Arial" w:hAnsi="Arial" w:cs="Arial"/>
          <w:b/>
        </w:rPr>
      </w:pPr>
    </w:p>
    <w:p w14:paraId="7AFFC59A" w14:textId="48C76648" w:rsidR="00A24C54" w:rsidRPr="002C334A" w:rsidRDefault="00145BD9" w:rsidP="00145BD9">
      <w:pPr>
        <w:rPr>
          <w:rFonts w:ascii="Arial" w:hAnsi="Arial" w:cs="Arial"/>
          <w:b/>
        </w:rPr>
      </w:pPr>
      <w:r w:rsidRPr="002C334A">
        <w:rPr>
          <w:rFonts w:ascii="Arial" w:hAnsi="Arial" w:cs="Arial"/>
          <w:b/>
        </w:rPr>
        <w:t>Background</w:t>
      </w:r>
    </w:p>
    <w:p w14:paraId="759F9DEF" w14:textId="5650F625" w:rsidR="001C6C95" w:rsidRPr="002C334A" w:rsidRDefault="00145BD9" w:rsidP="00145BD9">
      <w:pPr>
        <w:rPr>
          <w:rFonts w:ascii="Arial" w:hAnsi="Arial" w:cs="Arial"/>
        </w:rPr>
      </w:pPr>
      <w:r w:rsidRPr="002C334A">
        <w:rPr>
          <w:rFonts w:ascii="Arial" w:hAnsi="Arial" w:cs="Arial"/>
        </w:rPr>
        <w:t>The UK has left the EU, and the transition period after Brexit comes to an end on the 31.12.20.</w:t>
      </w:r>
    </w:p>
    <w:p w14:paraId="077ACFD7" w14:textId="77777777" w:rsidR="001C6C95" w:rsidRPr="002C334A" w:rsidRDefault="001C6C95" w:rsidP="001C6C95">
      <w:pPr>
        <w:spacing w:after="0"/>
        <w:rPr>
          <w:rFonts w:ascii="Arial" w:hAnsi="Arial" w:cs="Arial"/>
        </w:rPr>
      </w:pPr>
      <w:r w:rsidRPr="002C334A">
        <w:rPr>
          <w:rFonts w:ascii="Arial" w:hAnsi="Arial" w:cs="Arial"/>
        </w:rPr>
        <w:t xml:space="preserve">General </w:t>
      </w:r>
      <w:proofErr w:type="spellStart"/>
      <w:r w:rsidRPr="002C334A">
        <w:rPr>
          <w:rFonts w:ascii="Arial" w:hAnsi="Arial" w:cs="Arial"/>
        </w:rPr>
        <w:t>UoB</w:t>
      </w:r>
      <w:proofErr w:type="spellEnd"/>
      <w:r w:rsidRPr="002C334A">
        <w:rPr>
          <w:rFonts w:ascii="Arial" w:hAnsi="Arial" w:cs="Arial"/>
        </w:rPr>
        <w:t xml:space="preserve"> Brexit guidance is available on the </w:t>
      </w:r>
      <w:proofErr w:type="spellStart"/>
      <w:r w:rsidRPr="002C334A">
        <w:rPr>
          <w:rFonts w:ascii="Arial" w:hAnsi="Arial" w:cs="Arial"/>
        </w:rPr>
        <w:t>UoB</w:t>
      </w:r>
      <w:proofErr w:type="spellEnd"/>
      <w:r w:rsidRPr="002C334A">
        <w:rPr>
          <w:rFonts w:ascii="Arial" w:hAnsi="Arial" w:cs="Arial"/>
        </w:rPr>
        <w:t xml:space="preserve"> website</w:t>
      </w:r>
    </w:p>
    <w:p w14:paraId="0D8421E2" w14:textId="77777777" w:rsidR="001C6C95" w:rsidRPr="002C334A" w:rsidRDefault="00000000" w:rsidP="00145BD9">
      <w:pPr>
        <w:rPr>
          <w:rFonts w:ascii="Arial" w:hAnsi="Arial" w:cs="Arial"/>
        </w:rPr>
      </w:pPr>
      <w:hyperlink r:id="rId7" w:history="1">
        <w:r w:rsidR="001C6C95" w:rsidRPr="002C334A">
          <w:rPr>
            <w:rStyle w:val="Hyperlink"/>
            <w:rFonts w:ascii="Arial" w:hAnsi="Arial" w:cs="Arial"/>
          </w:rPr>
          <w:t>https://www.birmingham.ac.uk/international/eu-referendum/index.aspx</w:t>
        </w:r>
      </w:hyperlink>
      <w:r w:rsidR="001C6C95" w:rsidRPr="002C334A">
        <w:rPr>
          <w:rFonts w:ascii="Arial" w:hAnsi="Arial" w:cs="Arial"/>
        </w:rPr>
        <w:t xml:space="preserve"> </w:t>
      </w:r>
    </w:p>
    <w:p w14:paraId="2114861D" w14:textId="66026D38" w:rsidR="00145BD9" w:rsidRPr="002C334A" w:rsidRDefault="001C6C95">
      <w:pPr>
        <w:rPr>
          <w:rFonts w:ascii="Arial" w:hAnsi="Arial" w:cs="Arial"/>
        </w:rPr>
      </w:pPr>
      <w:r w:rsidRPr="002C334A">
        <w:rPr>
          <w:rFonts w:ascii="Arial" w:hAnsi="Arial" w:cs="Arial"/>
        </w:rPr>
        <w:t xml:space="preserve">This guidance provides information about the transition arrangements and processes for clinical research </w:t>
      </w:r>
      <w:r w:rsidR="00145BD9" w:rsidRPr="002C334A">
        <w:rPr>
          <w:rFonts w:ascii="Arial" w:hAnsi="Arial" w:cs="Arial"/>
        </w:rPr>
        <w:t xml:space="preserve">from 1 January 2021. </w:t>
      </w:r>
    </w:p>
    <w:p w14:paraId="2B69C40E" w14:textId="277B5FC5" w:rsidR="004633A3" w:rsidRPr="002C334A" w:rsidRDefault="004633A3">
      <w:pPr>
        <w:rPr>
          <w:rFonts w:ascii="Arial" w:hAnsi="Arial" w:cs="Arial"/>
        </w:rPr>
      </w:pPr>
      <w:r w:rsidRPr="002C334A">
        <w:rPr>
          <w:rFonts w:ascii="Arial" w:hAnsi="Arial" w:cs="Arial"/>
        </w:rPr>
        <w:t xml:space="preserve">Currently all </w:t>
      </w:r>
      <w:proofErr w:type="spellStart"/>
      <w:r w:rsidRPr="002C334A">
        <w:rPr>
          <w:rFonts w:ascii="Arial" w:hAnsi="Arial" w:cs="Arial"/>
        </w:rPr>
        <w:t>UoB</w:t>
      </w:r>
      <w:proofErr w:type="spellEnd"/>
      <w:r w:rsidR="00A961D7" w:rsidRPr="002C334A">
        <w:rPr>
          <w:rFonts w:ascii="Arial" w:hAnsi="Arial" w:cs="Arial"/>
        </w:rPr>
        <w:t>-</w:t>
      </w:r>
      <w:r w:rsidRPr="002C334A">
        <w:rPr>
          <w:rFonts w:ascii="Arial" w:hAnsi="Arial" w:cs="Arial"/>
        </w:rPr>
        <w:t>led CTIMPs are supported by one of the Clinical Trial Units</w:t>
      </w:r>
      <w:r w:rsidR="007500F9" w:rsidRPr="002C334A">
        <w:rPr>
          <w:rFonts w:ascii="Arial" w:hAnsi="Arial" w:cs="Arial"/>
        </w:rPr>
        <w:t xml:space="preserve"> (CTU). CTU colleagues have worked in close collaboration with </w:t>
      </w:r>
      <w:r w:rsidR="00FA4C77" w:rsidRPr="002C334A">
        <w:rPr>
          <w:rFonts w:ascii="Arial" w:hAnsi="Arial" w:cs="Arial"/>
        </w:rPr>
        <w:t xml:space="preserve">colleagues from </w:t>
      </w:r>
      <w:r w:rsidR="007500F9" w:rsidRPr="002C334A">
        <w:rPr>
          <w:rFonts w:ascii="Arial" w:hAnsi="Arial" w:cs="Arial"/>
        </w:rPr>
        <w:t xml:space="preserve">Legal Services, the Sponsor </w:t>
      </w:r>
      <w:r w:rsidR="002C4742" w:rsidRPr="002C334A">
        <w:rPr>
          <w:rFonts w:ascii="Arial" w:hAnsi="Arial" w:cs="Arial"/>
        </w:rPr>
        <w:t>R</w:t>
      </w:r>
      <w:r w:rsidR="007500F9" w:rsidRPr="002C334A">
        <w:rPr>
          <w:rFonts w:ascii="Arial" w:hAnsi="Arial" w:cs="Arial"/>
        </w:rPr>
        <w:t xml:space="preserve">epresentative, </w:t>
      </w:r>
      <w:r w:rsidR="00B07829" w:rsidRPr="002C334A">
        <w:rPr>
          <w:rFonts w:ascii="Arial" w:hAnsi="Arial" w:cs="Arial"/>
        </w:rPr>
        <w:t>the Department of Health</w:t>
      </w:r>
      <w:r w:rsidR="00D85A6D" w:rsidRPr="002C334A">
        <w:rPr>
          <w:rFonts w:ascii="Arial" w:hAnsi="Arial" w:cs="Arial"/>
        </w:rPr>
        <w:t xml:space="preserve"> and Social Care (DHSC)</w:t>
      </w:r>
      <w:r w:rsidR="00B07829" w:rsidRPr="002C334A">
        <w:rPr>
          <w:rFonts w:ascii="Arial" w:hAnsi="Arial" w:cs="Arial"/>
        </w:rPr>
        <w:t xml:space="preserve">, </w:t>
      </w:r>
      <w:r w:rsidR="007500F9" w:rsidRPr="002C334A">
        <w:rPr>
          <w:rFonts w:ascii="Arial" w:hAnsi="Arial" w:cs="Arial"/>
        </w:rPr>
        <w:t xml:space="preserve">international Co-ordinating Centres and </w:t>
      </w:r>
      <w:r w:rsidR="00E00C4F" w:rsidRPr="002C334A">
        <w:rPr>
          <w:rFonts w:ascii="Arial" w:hAnsi="Arial" w:cs="Arial"/>
        </w:rPr>
        <w:t>UK/</w:t>
      </w:r>
      <w:r w:rsidR="007500F9" w:rsidRPr="002C334A">
        <w:rPr>
          <w:rFonts w:ascii="Arial" w:hAnsi="Arial" w:cs="Arial"/>
        </w:rPr>
        <w:t xml:space="preserve">EU regulators to put into place </w:t>
      </w:r>
      <w:r w:rsidR="00D85A6D" w:rsidRPr="002C334A">
        <w:rPr>
          <w:rFonts w:ascii="Arial" w:hAnsi="Arial" w:cs="Arial"/>
        </w:rPr>
        <w:t xml:space="preserve">transition and </w:t>
      </w:r>
      <w:r w:rsidR="007500F9" w:rsidRPr="002C334A">
        <w:rPr>
          <w:rFonts w:ascii="Arial" w:hAnsi="Arial" w:cs="Arial"/>
        </w:rPr>
        <w:t>post</w:t>
      </w:r>
      <w:r w:rsidR="00A961D7" w:rsidRPr="002C334A">
        <w:rPr>
          <w:rFonts w:ascii="Arial" w:hAnsi="Arial" w:cs="Arial"/>
        </w:rPr>
        <w:t>-</w:t>
      </w:r>
      <w:r w:rsidR="007500F9" w:rsidRPr="002C334A">
        <w:rPr>
          <w:rFonts w:ascii="Arial" w:hAnsi="Arial" w:cs="Arial"/>
        </w:rPr>
        <w:t xml:space="preserve">Brexit arrangements. </w:t>
      </w:r>
      <w:r w:rsidR="003A324F" w:rsidRPr="002C334A">
        <w:rPr>
          <w:rFonts w:ascii="Arial" w:hAnsi="Arial" w:cs="Arial"/>
        </w:rPr>
        <w:t xml:space="preserve">A Brexit risk assessment is in place and is reviewed regularly. </w:t>
      </w:r>
      <w:r w:rsidR="007500F9" w:rsidRPr="002C334A">
        <w:rPr>
          <w:rFonts w:ascii="Arial" w:hAnsi="Arial" w:cs="Arial"/>
        </w:rPr>
        <w:t>R</w:t>
      </w:r>
      <w:r w:rsidRPr="002C334A">
        <w:rPr>
          <w:rFonts w:ascii="Arial" w:hAnsi="Arial" w:cs="Arial"/>
        </w:rPr>
        <w:t xml:space="preserve">esearchers </w:t>
      </w:r>
      <w:r w:rsidR="007500F9" w:rsidRPr="002C334A">
        <w:rPr>
          <w:rFonts w:ascii="Arial" w:hAnsi="Arial" w:cs="Arial"/>
        </w:rPr>
        <w:t xml:space="preserve">should </w:t>
      </w:r>
      <w:r w:rsidR="00FA4C77" w:rsidRPr="002C334A">
        <w:rPr>
          <w:rFonts w:ascii="Arial" w:hAnsi="Arial" w:cs="Arial"/>
        </w:rPr>
        <w:t xml:space="preserve">continue to </w:t>
      </w:r>
      <w:r w:rsidR="007500F9" w:rsidRPr="002C334A">
        <w:rPr>
          <w:rFonts w:ascii="Arial" w:hAnsi="Arial" w:cs="Arial"/>
        </w:rPr>
        <w:t xml:space="preserve">work </w:t>
      </w:r>
      <w:r w:rsidRPr="002C334A">
        <w:rPr>
          <w:rFonts w:ascii="Arial" w:hAnsi="Arial" w:cs="Arial"/>
        </w:rPr>
        <w:t xml:space="preserve">with CTU colleagues in the usual way. </w:t>
      </w:r>
    </w:p>
    <w:p w14:paraId="07E03360" w14:textId="6A6B7265" w:rsidR="00E00C4F" w:rsidRPr="002C334A" w:rsidRDefault="004633A3">
      <w:pPr>
        <w:rPr>
          <w:rFonts w:ascii="Arial" w:hAnsi="Arial" w:cs="Arial"/>
        </w:rPr>
      </w:pPr>
      <w:r w:rsidRPr="002C334A">
        <w:rPr>
          <w:rFonts w:ascii="Arial" w:hAnsi="Arial" w:cs="Arial"/>
        </w:rPr>
        <w:t xml:space="preserve">In addition, members of the Research Governance Team can be contacted for guidance via </w:t>
      </w:r>
      <w:hyperlink r:id="rId8" w:history="1">
        <w:r w:rsidRPr="002C334A">
          <w:rPr>
            <w:rStyle w:val="Hyperlink"/>
            <w:rFonts w:ascii="Arial" w:hAnsi="Arial" w:cs="Arial"/>
          </w:rPr>
          <w:t>researchgovernance@contacts.bham.ac.uk</w:t>
        </w:r>
      </w:hyperlink>
      <w:r w:rsidRPr="002C334A">
        <w:rPr>
          <w:rFonts w:ascii="Arial" w:hAnsi="Arial" w:cs="Arial"/>
        </w:rPr>
        <w:t xml:space="preserve"> </w:t>
      </w:r>
      <w:r w:rsidR="002C334A">
        <w:rPr>
          <w:rFonts w:ascii="Arial" w:hAnsi="Arial" w:cs="Arial"/>
        </w:rPr>
        <w:br/>
      </w:r>
    </w:p>
    <w:p w14:paraId="76FB30D4" w14:textId="77777777" w:rsidR="00BF551D" w:rsidRPr="002C334A" w:rsidRDefault="009D01DE">
      <w:pPr>
        <w:rPr>
          <w:rFonts w:ascii="Arial" w:hAnsi="Arial" w:cs="Arial"/>
          <w:b/>
        </w:rPr>
      </w:pPr>
      <w:r w:rsidRPr="002C334A">
        <w:rPr>
          <w:rFonts w:ascii="Arial" w:hAnsi="Arial" w:cs="Arial"/>
          <w:b/>
        </w:rPr>
        <w:t xml:space="preserve">Key changes </w:t>
      </w:r>
      <w:r w:rsidR="00145BD9" w:rsidRPr="002C334A">
        <w:rPr>
          <w:rFonts w:ascii="Arial" w:hAnsi="Arial" w:cs="Arial"/>
          <w:b/>
        </w:rPr>
        <w:t xml:space="preserve">for the set-up and conduct of CTIMPs </w:t>
      </w:r>
    </w:p>
    <w:p w14:paraId="1D8D1B98" w14:textId="6BE63D08" w:rsidR="001C6C95" w:rsidRPr="002C334A" w:rsidRDefault="001C6C95">
      <w:pPr>
        <w:rPr>
          <w:rFonts w:ascii="Arial" w:hAnsi="Arial" w:cs="Arial"/>
        </w:rPr>
      </w:pPr>
      <w:r w:rsidRPr="002C334A">
        <w:rPr>
          <w:rFonts w:ascii="Arial" w:hAnsi="Arial" w:cs="Arial"/>
        </w:rPr>
        <w:t xml:space="preserve">UK researchers should note </w:t>
      </w:r>
      <w:r w:rsidR="00325C55" w:rsidRPr="002C334A">
        <w:rPr>
          <w:rFonts w:ascii="Arial" w:hAnsi="Arial" w:cs="Arial"/>
        </w:rPr>
        <w:t xml:space="preserve">that there are some </w:t>
      </w:r>
      <w:r w:rsidRPr="002C334A">
        <w:rPr>
          <w:rFonts w:ascii="Arial" w:hAnsi="Arial" w:cs="Arial"/>
        </w:rPr>
        <w:t xml:space="preserve">changes to processes and systems currently in use.  </w:t>
      </w:r>
    </w:p>
    <w:p w14:paraId="49686352" w14:textId="77777777" w:rsidR="00035150" w:rsidRPr="002C334A" w:rsidRDefault="00035150">
      <w:pPr>
        <w:rPr>
          <w:rFonts w:ascii="Arial" w:hAnsi="Arial" w:cs="Arial"/>
          <w:i/>
        </w:rPr>
      </w:pPr>
      <w:r w:rsidRPr="002C334A">
        <w:rPr>
          <w:rFonts w:ascii="Arial" w:hAnsi="Arial" w:cs="Arial"/>
          <w:i/>
        </w:rPr>
        <w:t>Submitting for HRA Approval</w:t>
      </w:r>
    </w:p>
    <w:p w14:paraId="44B7171B" w14:textId="13E9C288" w:rsidR="00035150" w:rsidRPr="002C334A" w:rsidRDefault="00035150" w:rsidP="00035150">
      <w:pPr>
        <w:spacing w:before="240" w:after="0"/>
        <w:rPr>
          <w:rFonts w:ascii="Arial" w:hAnsi="Arial" w:cs="Arial"/>
          <w:lang w:val="en"/>
        </w:rPr>
      </w:pPr>
      <w:r w:rsidRPr="002C334A">
        <w:rPr>
          <w:rFonts w:ascii="Arial" w:hAnsi="Arial" w:cs="Arial"/>
          <w:lang w:val="en"/>
        </w:rPr>
        <w:t xml:space="preserve">The process for HRA </w:t>
      </w:r>
      <w:r w:rsidR="00E00C4F" w:rsidRPr="002C334A">
        <w:rPr>
          <w:rFonts w:ascii="Arial" w:hAnsi="Arial" w:cs="Arial"/>
          <w:lang w:val="en"/>
        </w:rPr>
        <w:t>Approval has not changed and researchers</w:t>
      </w:r>
      <w:r w:rsidRPr="002C334A">
        <w:rPr>
          <w:rFonts w:ascii="Arial" w:hAnsi="Arial" w:cs="Arial"/>
          <w:lang w:val="en"/>
        </w:rPr>
        <w:t xml:space="preserve"> should continue to prepare the application using the Integrated Res</w:t>
      </w:r>
      <w:r w:rsidR="00E00C4F" w:rsidRPr="002C334A">
        <w:rPr>
          <w:rFonts w:ascii="Arial" w:hAnsi="Arial" w:cs="Arial"/>
          <w:lang w:val="en"/>
        </w:rPr>
        <w:t>earch Application System (IRAS).</w:t>
      </w:r>
    </w:p>
    <w:p w14:paraId="3EFE4A3D" w14:textId="77777777" w:rsidR="00035150" w:rsidRPr="002C334A" w:rsidRDefault="00000000">
      <w:pPr>
        <w:rPr>
          <w:rFonts w:ascii="Arial" w:hAnsi="Arial" w:cs="Arial"/>
          <w:i/>
        </w:rPr>
      </w:pPr>
      <w:hyperlink r:id="rId9" w:history="1">
        <w:r w:rsidR="00035150" w:rsidRPr="002C334A">
          <w:rPr>
            <w:rStyle w:val="Hyperlink"/>
            <w:rFonts w:ascii="Arial" w:hAnsi="Arial" w:cs="Arial"/>
            <w:i/>
          </w:rPr>
          <w:t>https://www.hra.nhs.uk/approvals-amendments/what-approvals-do-i-need/hra-approval/</w:t>
        </w:r>
      </w:hyperlink>
      <w:r w:rsidR="00035150" w:rsidRPr="002C334A">
        <w:rPr>
          <w:rFonts w:ascii="Arial" w:hAnsi="Arial" w:cs="Arial"/>
          <w:i/>
        </w:rPr>
        <w:t xml:space="preserve"> </w:t>
      </w:r>
    </w:p>
    <w:p w14:paraId="3C72E16C" w14:textId="77777777" w:rsidR="00AF159F" w:rsidRPr="002C334A" w:rsidRDefault="00B47BC5">
      <w:pPr>
        <w:rPr>
          <w:rFonts w:ascii="Arial" w:hAnsi="Arial" w:cs="Arial"/>
          <w:i/>
        </w:rPr>
      </w:pPr>
      <w:r w:rsidRPr="002C334A">
        <w:rPr>
          <w:rFonts w:ascii="Arial" w:hAnsi="Arial" w:cs="Arial"/>
          <w:i/>
        </w:rPr>
        <w:t xml:space="preserve">Submitting information </w:t>
      </w:r>
      <w:r w:rsidR="00AF159F" w:rsidRPr="002C334A">
        <w:rPr>
          <w:rFonts w:ascii="Arial" w:hAnsi="Arial" w:cs="Arial"/>
          <w:i/>
        </w:rPr>
        <w:t xml:space="preserve">via the MHRA Submissions Portal </w:t>
      </w:r>
    </w:p>
    <w:p w14:paraId="1E3ECF38" w14:textId="77777777" w:rsidR="00BF551D" w:rsidRPr="002C334A" w:rsidRDefault="00BF551D">
      <w:pPr>
        <w:rPr>
          <w:rFonts w:ascii="Arial" w:hAnsi="Arial" w:cs="Arial"/>
        </w:rPr>
      </w:pPr>
      <w:r w:rsidRPr="002C334A">
        <w:rPr>
          <w:rFonts w:ascii="Arial" w:hAnsi="Arial" w:cs="Arial"/>
        </w:rPr>
        <w:t xml:space="preserve">From 1 January 2021, the Medicines and Healthcare products Regulatory Agency (MHRA) will be the UK’s standalone medicines and medical devices regulator. </w:t>
      </w:r>
    </w:p>
    <w:p w14:paraId="6AA048CB" w14:textId="77777777" w:rsidR="00AF159F" w:rsidRPr="002C334A" w:rsidRDefault="00AF159F">
      <w:pPr>
        <w:rPr>
          <w:rFonts w:ascii="Arial" w:hAnsi="Arial" w:cs="Arial"/>
        </w:rPr>
      </w:pPr>
      <w:r w:rsidRPr="002C334A">
        <w:rPr>
          <w:rFonts w:ascii="Arial" w:hAnsi="Arial" w:cs="Arial"/>
        </w:rPr>
        <w:t xml:space="preserve">The MHRA </w:t>
      </w:r>
      <w:r w:rsidR="00B47BC5" w:rsidRPr="002C334A">
        <w:rPr>
          <w:rFonts w:ascii="Arial" w:hAnsi="Arial" w:cs="Arial"/>
        </w:rPr>
        <w:t>Submissions</w:t>
      </w:r>
      <w:r w:rsidR="00C844D6" w:rsidRPr="002C334A">
        <w:rPr>
          <w:rFonts w:ascii="Arial" w:hAnsi="Arial" w:cs="Arial"/>
        </w:rPr>
        <w:t xml:space="preserve"> p</w:t>
      </w:r>
      <w:r w:rsidRPr="002C334A">
        <w:rPr>
          <w:rFonts w:ascii="Arial" w:hAnsi="Arial" w:cs="Arial"/>
        </w:rPr>
        <w:t>ortal was put into place by the MHRA to facilitate any submissions that are currently made via the Common European Submission Portal (CESP). Clinical Trial Authorisation (CTA) applications</w:t>
      </w:r>
      <w:r w:rsidR="00B47BC5" w:rsidRPr="002C334A">
        <w:rPr>
          <w:rFonts w:ascii="Arial" w:hAnsi="Arial" w:cs="Arial"/>
        </w:rPr>
        <w:t xml:space="preserve"> </w:t>
      </w:r>
      <w:r w:rsidR="00C844D6" w:rsidRPr="002C334A">
        <w:rPr>
          <w:rFonts w:ascii="Arial" w:hAnsi="Arial" w:cs="Arial"/>
        </w:rPr>
        <w:t>(</w:t>
      </w:r>
      <w:r w:rsidR="00B47BC5" w:rsidRPr="002C334A">
        <w:rPr>
          <w:rFonts w:ascii="Arial" w:hAnsi="Arial" w:cs="Arial"/>
        </w:rPr>
        <w:t>completed in the IRAS system</w:t>
      </w:r>
      <w:r w:rsidR="00C844D6" w:rsidRPr="002C334A">
        <w:rPr>
          <w:rFonts w:ascii="Arial" w:hAnsi="Arial" w:cs="Arial"/>
        </w:rPr>
        <w:t>)</w:t>
      </w:r>
      <w:r w:rsidRPr="002C334A">
        <w:rPr>
          <w:rFonts w:ascii="Arial" w:hAnsi="Arial" w:cs="Arial"/>
        </w:rPr>
        <w:t xml:space="preserve">, substantial amendments, end of trial declaration and DSURs </w:t>
      </w:r>
      <w:r w:rsidR="00BF551D" w:rsidRPr="002C334A">
        <w:rPr>
          <w:rFonts w:ascii="Arial" w:hAnsi="Arial" w:cs="Arial"/>
        </w:rPr>
        <w:t xml:space="preserve">should now be submitted via the MHRA </w:t>
      </w:r>
      <w:r w:rsidR="00C844D6" w:rsidRPr="002C334A">
        <w:rPr>
          <w:rFonts w:ascii="Arial" w:hAnsi="Arial" w:cs="Arial"/>
        </w:rPr>
        <w:t>Submissions p</w:t>
      </w:r>
      <w:r w:rsidR="00BF551D" w:rsidRPr="002C334A">
        <w:rPr>
          <w:rFonts w:ascii="Arial" w:hAnsi="Arial" w:cs="Arial"/>
        </w:rPr>
        <w:t>ortal</w:t>
      </w:r>
      <w:r w:rsidRPr="002C334A">
        <w:rPr>
          <w:rFonts w:ascii="Arial" w:hAnsi="Arial" w:cs="Arial"/>
        </w:rPr>
        <w:t xml:space="preserve">. </w:t>
      </w:r>
    </w:p>
    <w:p w14:paraId="22158F74" w14:textId="77777777" w:rsidR="00325C55" w:rsidRPr="002C334A" w:rsidRDefault="00325C55">
      <w:pPr>
        <w:rPr>
          <w:rFonts w:ascii="Arial" w:hAnsi="Arial" w:cs="Arial"/>
        </w:rPr>
      </w:pPr>
      <w:r w:rsidRPr="002C334A">
        <w:rPr>
          <w:rFonts w:ascii="Arial" w:hAnsi="Arial" w:cs="Arial"/>
        </w:rPr>
        <w:t>Members of the Research Governance Team and CTU colleague</w:t>
      </w:r>
      <w:r w:rsidR="00A961D7" w:rsidRPr="002C334A">
        <w:rPr>
          <w:rFonts w:ascii="Arial" w:hAnsi="Arial" w:cs="Arial"/>
        </w:rPr>
        <w:t>s</w:t>
      </w:r>
      <w:r w:rsidRPr="002C334A">
        <w:rPr>
          <w:rFonts w:ascii="Arial" w:hAnsi="Arial" w:cs="Arial"/>
        </w:rPr>
        <w:t xml:space="preserve"> have access to the </w:t>
      </w:r>
      <w:r w:rsidR="00BF551D" w:rsidRPr="002C334A">
        <w:rPr>
          <w:rFonts w:ascii="Arial" w:hAnsi="Arial" w:cs="Arial"/>
        </w:rPr>
        <w:t>p</w:t>
      </w:r>
      <w:r w:rsidRPr="002C334A">
        <w:rPr>
          <w:rFonts w:ascii="Arial" w:hAnsi="Arial" w:cs="Arial"/>
        </w:rPr>
        <w:t xml:space="preserve">ortal and will be able to support researchers in the same way as they supported the submissions via CESP.  </w:t>
      </w:r>
    </w:p>
    <w:p w14:paraId="302D2AB6" w14:textId="77777777" w:rsidR="00145BD9" w:rsidRPr="002C334A" w:rsidRDefault="00145BD9">
      <w:pPr>
        <w:rPr>
          <w:rFonts w:ascii="Arial" w:hAnsi="Arial" w:cs="Arial"/>
          <w:i/>
        </w:rPr>
      </w:pPr>
      <w:r w:rsidRPr="002C334A">
        <w:rPr>
          <w:rFonts w:ascii="Arial" w:hAnsi="Arial" w:cs="Arial"/>
          <w:i/>
        </w:rPr>
        <w:t xml:space="preserve">Registering a CTIMP </w:t>
      </w:r>
      <w:r w:rsidR="00035150" w:rsidRPr="002C334A">
        <w:rPr>
          <w:rFonts w:ascii="Arial" w:hAnsi="Arial" w:cs="Arial"/>
          <w:i/>
        </w:rPr>
        <w:t>and uploading results</w:t>
      </w:r>
    </w:p>
    <w:p w14:paraId="4FCC4C3A" w14:textId="7E386452" w:rsidR="001C6C95" w:rsidRPr="002C334A" w:rsidRDefault="001C6C95">
      <w:pPr>
        <w:rPr>
          <w:rFonts w:ascii="Arial" w:hAnsi="Arial" w:cs="Arial"/>
        </w:rPr>
      </w:pPr>
      <w:r w:rsidRPr="002C334A">
        <w:rPr>
          <w:rFonts w:ascii="Arial" w:hAnsi="Arial" w:cs="Arial"/>
        </w:rPr>
        <w:t xml:space="preserve">Researchers are encouraged to continue to use </w:t>
      </w:r>
      <w:r w:rsidR="00A961D7" w:rsidRPr="002C334A">
        <w:rPr>
          <w:rFonts w:ascii="Arial" w:hAnsi="Arial" w:cs="Arial"/>
        </w:rPr>
        <w:t xml:space="preserve">an </w:t>
      </w:r>
      <w:r w:rsidRPr="002C334A">
        <w:rPr>
          <w:rFonts w:ascii="Arial" w:hAnsi="Arial" w:cs="Arial"/>
        </w:rPr>
        <w:t>existing and established international register such as</w:t>
      </w:r>
      <w:hyperlink r:id="rId10" w:history="1">
        <w:r w:rsidRPr="002C334A">
          <w:rPr>
            <w:rStyle w:val="Hyperlink"/>
            <w:rFonts w:ascii="Arial" w:hAnsi="Arial" w:cs="Arial"/>
          </w:rPr>
          <w:t xml:space="preserve"> ISRCTN</w:t>
        </w:r>
      </w:hyperlink>
      <w:r w:rsidRPr="002C334A">
        <w:rPr>
          <w:rFonts w:ascii="Arial" w:hAnsi="Arial" w:cs="Arial"/>
        </w:rPr>
        <w:t xml:space="preserve"> </w:t>
      </w:r>
      <w:r w:rsidR="007E7029" w:rsidRPr="002C334A">
        <w:rPr>
          <w:rFonts w:ascii="Arial" w:hAnsi="Arial" w:cs="Arial"/>
        </w:rPr>
        <w:t xml:space="preserve">or </w:t>
      </w:r>
      <w:hyperlink r:id="rId11" w:history="1">
        <w:r w:rsidR="007E7029" w:rsidRPr="002C334A">
          <w:rPr>
            <w:rStyle w:val="Hyperlink"/>
            <w:rFonts w:ascii="Arial" w:hAnsi="Arial" w:cs="Arial"/>
          </w:rPr>
          <w:t>Clin</w:t>
        </w:r>
        <w:r w:rsidR="00790A6B" w:rsidRPr="002C334A">
          <w:rPr>
            <w:rStyle w:val="Hyperlink"/>
            <w:rFonts w:ascii="Arial" w:hAnsi="Arial" w:cs="Arial"/>
          </w:rPr>
          <w:t>icalT</w:t>
        </w:r>
        <w:r w:rsidR="007E7029" w:rsidRPr="002C334A">
          <w:rPr>
            <w:rStyle w:val="Hyperlink"/>
            <w:rFonts w:ascii="Arial" w:hAnsi="Arial" w:cs="Arial"/>
          </w:rPr>
          <w:t>rials.gov</w:t>
        </w:r>
      </w:hyperlink>
      <w:r w:rsidR="007E7029" w:rsidRPr="002C334A">
        <w:rPr>
          <w:rFonts w:ascii="Arial" w:hAnsi="Arial" w:cs="Arial"/>
        </w:rPr>
        <w:t xml:space="preserve"> </w:t>
      </w:r>
      <w:r w:rsidRPr="002C334A">
        <w:rPr>
          <w:rFonts w:ascii="Arial" w:hAnsi="Arial" w:cs="Arial"/>
        </w:rPr>
        <w:t>to ensure that the public is aware of a trial</w:t>
      </w:r>
      <w:r w:rsidR="00306C6A" w:rsidRPr="002C334A">
        <w:rPr>
          <w:rFonts w:ascii="Arial" w:hAnsi="Arial" w:cs="Arial"/>
        </w:rPr>
        <w:t xml:space="preserve"> </w:t>
      </w:r>
      <w:r w:rsidR="00A961D7" w:rsidRPr="002C334A">
        <w:rPr>
          <w:rFonts w:ascii="Arial" w:hAnsi="Arial" w:cs="Arial"/>
        </w:rPr>
        <w:lastRenderedPageBreak/>
        <w:t>before</w:t>
      </w:r>
      <w:r w:rsidR="00306C6A" w:rsidRPr="002C334A">
        <w:rPr>
          <w:rFonts w:ascii="Arial" w:hAnsi="Arial" w:cs="Arial"/>
        </w:rPr>
        <w:t xml:space="preserve"> recruitment of the first </w:t>
      </w:r>
      <w:r w:rsidR="00C844D6" w:rsidRPr="002C334A">
        <w:rPr>
          <w:rFonts w:ascii="Arial" w:hAnsi="Arial" w:cs="Arial"/>
        </w:rPr>
        <w:t>participant</w:t>
      </w:r>
      <w:r w:rsidRPr="002C334A">
        <w:rPr>
          <w:rFonts w:ascii="Arial" w:hAnsi="Arial" w:cs="Arial"/>
        </w:rPr>
        <w:t>.</w:t>
      </w:r>
      <w:r w:rsidR="007E7029" w:rsidRPr="002C334A">
        <w:rPr>
          <w:rFonts w:ascii="Arial" w:hAnsi="Arial" w:cs="Arial"/>
        </w:rPr>
        <w:t xml:space="preserve"> T</w:t>
      </w:r>
      <w:r w:rsidRPr="002C334A">
        <w:rPr>
          <w:rFonts w:ascii="Arial" w:hAnsi="Arial" w:cs="Arial"/>
        </w:rPr>
        <w:t xml:space="preserve">rials involving </w:t>
      </w:r>
      <w:r w:rsidR="007E7029" w:rsidRPr="002C334A">
        <w:rPr>
          <w:rFonts w:ascii="Arial" w:hAnsi="Arial" w:cs="Arial"/>
        </w:rPr>
        <w:t xml:space="preserve">sites specifically in </w:t>
      </w:r>
      <w:r w:rsidRPr="002C334A">
        <w:rPr>
          <w:rFonts w:ascii="Arial" w:hAnsi="Arial" w:cs="Arial"/>
        </w:rPr>
        <w:t xml:space="preserve">EU </w:t>
      </w:r>
      <w:r w:rsidR="007E7029" w:rsidRPr="002C334A">
        <w:rPr>
          <w:rFonts w:ascii="Arial" w:hAnsi="Arial" w:cs="Arial"/>
        </w:rPr>
        <w:t xml:space="preserve">countries must be registered </w:t>
      </w:r>
      <w:r w:rsidRPr="002C334A">
        <w:rPr>
          <w:rFonts w:ascii="Arial" w:hAnsi="Arial" w:cs="Arial"/>
        </w:rPr>
        <w:t xml:space="preserve">in the </w:t>
      </w:r>
      <w:hyperlink r:id="rId12" w:history="1">
        <w:r w:rsidRPr="002C334A">
          <w:rPr>
            <w:rStyle w:val="Hyperlink"/>
            <w:rFonts w:ascii="Arial" w:hAnsi="Arial" w:cs="Arial"/>
          </w:rPr>
          <w:t>EU Clinical Trials Register</w:t>
        </w:r>
      </w:hyperlink>
      <w:r w:rsidRPr="002C334A">
        <w:rPr>
          <w:rFonts w:ascii="Arial" w:hAnsi="Arial" w:cs="Arial"/>
        </w:rPr>
        <w:t xml:space="preserve"> (</w:t>
      </w:r>
      <w:r w:rsidR="007E7029" w:rsidRPr="002C334A">
        <w:rPr>
          <w:rFonts w:ascii="Arial" w:hAnsi="Arial" w:cs="Arial"/>
        </w:rPr>
        <w:t xml:space="preserve">except </w:t>
      </w:r>
      <w:r w:rsidRPr="002C334A">
        <w:rPr>
          <w:rFonts w:ascii="Arial" w:hAnsi="Arial" w:cs="Arial"/>
        </w:rPr>
        <w:t>adult Phase 1 studies).</w:t>
      </w:r>
    </w:p>
    <w:p w14:paraId="6B952B2E" w14:textId="729143F7" w:rsidR="00306C6A" w:rsidRPr="002C334A" w:rsidRDefault="00306C6A" w:rsidP="00306C6A">
      <w:pPr>
        <w:rPr>
          <w:rFonts w:ascii="Arial" w:hAnsi="Arial" w:cs="Arial"/>
        </w:rPr>
      </w:pPr>
      <w:r w:rsidRPr="002C334A">
        <w:rPr>
          <w:rFonts w:ascii="Arial" w:hAnsi="Arial" w:cs="Arial"/>
        </w:rPr>
        <w:t xml:space="preserve">The time frame for publishing the summary of results </w:t>
      </w:r>
      <w:r w:rsidR="009B670E" w:rsidRPr="002C334A">
        <w:rPr>
          <w:rFonts w:ascii="Arial" w:hAnsi="Arial" w:cs="Arial"/>
        </w:rPr>
        <w:t xml:space="preserve">remains the same e.g. </w:t>
      </w:r>
      <w:r w:rsidRPr="002C334A">
        <w:rPr>
          <w:rFonts w:ascii="Arial" w:hAnsi="Arial" w:cs="Arial"/>
        </w:rPr>
        <w:t>within 6 months of the end of trial for paediatric clinical trials or within one year of the end of trial for clinical trials</w:t>
      </w:r>
      <w:r w:rsidR="005D1FC5" w:rsidRPr="002C334A">
        <w:rPr>
          <w:rFonts w:ascii="Arial" w:hAnsi="Arial" w:cs="Arial"/>
        </w:rPr>
        <w:t xml:space="preserve"> in adults</w:t>
      </w:r>
      <w:r w:rsidRPr="002C334A">
        <w:rPr>
          <w:rFonts w:ascii="Arial" w:hAnsi="Arial" w:cs="Arial"/>
        </w:rPr>
        <w:t xml:space="preserve">. Researchers must publish summary results within these timeframes in the public register(s) where the trials </w:t>
      </w:r>
      <w:proofErr w:type="gramStart"/>
      <w:r w:rsidRPr="002C334A">
        <w:rPr>
          <w:rFonts w:ascii="Arial" w:hAnsi="Arial" w:cs="Arial"/>
        </w:rPr>
        <w:t>was</w:t>
      </w:r>
      <w:proofErr w:type="gramEnd"/>
      <w:r w:rsidRPr="002C334A">
        <w:rPr>
          <w:rFonts w:ascii="Arial" w:hAnsi="Arial" w:cs="Arial"/>
        </w:rPr>
        <w:t xml:space="preserve"> registered. </w:t>
      </w:r>
      <w:r w:rsidR="005D1FC5" w:rsidRPr="002C334A">
        <w:rPr>
          <w:rFonts w:ascii="Arial" w:hAnsi="Arial" w:cs="Arial"/>
        </w:rPr>
        <w:t xml:space="preserve">Use of more than one registry is not recommended. </w:t>
      </w:r>
      <w:r w:rsidR="0068449C" w:rsidRPr="002C334A">
        <w:rPr>
          <w:rFonts w:ascii="Arial" w:hAnsi="Arial" w:cs="Arial"/>
        </w:rPr>
        <w:t xml:space="preserve">In addition, please send a </w:t>
      </w:r>
      <w:r w:rsidRPr="002C334A">
        <w:rPr>
          <w:rFonts w:ascii="Arial" w:hAnsi="Arial" w:cs="Arial"/>
        </w:rPr>
        <w:t xml:space="preserve">confirmatory email to </w:t>
      </w:r>
      <w:hyperlink r:id="rId13" w:history="1">
        <w:r w:rsidR="0068449C" w:rsidRPr="002C334A">
          <w:rPr>
            <w:rStyle w:val="Hyperlink"/>
            <w:rFonts w:ascii="Arial" w:hAnsi="Arial" w:cs="Arial"/>
          </w:rPr>
          <w:t>CT.Submission@mhra.gov.uk</w:t>
        </w:r>
      </w:hyperlink>
      <w:r w:rsidR="0068449C" w:rsidRPr="002C334A">
        <w:rPr>
          <w:rFonts w:ascii="Arial" w:hAnsi="Arial" w:cs="Arial"/>
        </w:rPr>
        <w:t xml:space="preserve"> </w:t>
      </w:r>
      <w:r w:rsidRPr="002C334A">
        <w:rPr>
          <w:rFonts w:ascii="Arial" w:hAnsi="Arial" w:cs="Arial"/>
        </w:rPr>
        <w:t xml:space="preserve"> once the result-related information has been uploaded to the public regist</w:t>
      </w:r>
      <w:r w:rsidR="005D1FC5" w:rsidRPr="002C334A">
        <w:rPr>
          <w:rFonts w:ascii="Arial" w:hAnsi="Arial" w:cs="Arial"/>
        </w:rPr>
        <w:t>ry</w:t>
      </w:r>
      <w:r w:rsidRPr="002C334A">
        <w:rPr>
          <w:rFonts w:ascii="Arial" w:hAnsi="Arial" w:cs="Arial"/>
        </w:rPr>
        <w:t xml:space="preserve"> and provide a link. </w:t>
      </w:r>
    </w:p>
    <w:p w14:paraId="54A662F2" w14:textId="77777777" w:rsidR="00306C6A" w:rsidRPr="002C334A" w:rsidRDefault="00C844D6" w:rsidP="00FA4C77">
      <w:pPr>
        <w:spacing w:after="0"/>
        <w:rPr>
          <w:rFonts w:ascii="Arial" w:hAnsi="Arial" w:cs="Arial"/>
        </w:rPr>
      </w:pPr>
      <w:r w:rsidRPr="002C334A">
        <w:rPr>
          <w:rFonts w:ascii="Arial" w:hAnsi="Arial" w:cs="Arial"/>
        </w:rPr>
        <w:t>Researchers s</w:t>
      </w:r>
      <w:r w:rsidR="00306C6A" w:rsidRPr="002C334A">
        <w:rPr>
          <w:rFonts w:ascii="Arial" w:hAnsi="Arial" w:cs="Arial"/>
        </w:rPr>
        <w:t xml:space="preserve">hould </w:t>
      </w:r>
      <w:r w:rsidR="0068449C" w:rsidRPr="002C334A">
        <w:rPr>
          <w:rFonts w:ascii="Arial" w:hAnsi="Arial" w:cs="Arial"/>
        </w:rPr>
        <w:t xml:space="preserve">continue to </w:t>
      </w:r>
      <w:r w:rsidR="00306C6A" w:rsidRPr="002C334A">
        <w:rPr>
          <w:rFonts w:ascii="Arial" w:hAnsi="Arial" w:cs="Arial"/>
        </w:rPr>
        <w:t>submit a final report to the Research Ethics Committee within the same timeframe for reporting the summary of results.</w:t>
      </w:r>
    </w:p>
    <w:p w14:paraId="0E2EB2A9" w14:textId="77777777" w:rsidR="00145BD9" w:rsidRPr="002C334A" w:rsidRDefault="00000000">
      <w:pPr>
        <w:rPr>
          <w:rFonts w:ascii="Arial" w:hAnsi="Arial" w:cs="Arial"/>
        </w:rPr>
      </w:pPr>
      <w:hyperlink r:id="rId14" w:history="1">
        <w:r w:rsidR="00145BD9" w:rsidRPr="002C334A">
          <w:rPr>
            <w:rStyle w:val="Hyperlink"/>
            <w:rFonts w:ascii="Arial" w:hAnsi="Arial" w:cs="Arial"/>
          </w:rPr>
          <w:t>https://www.gov.uk/guidance/registration-of-clinical-trials-for-investigational-medicinal-products-and-publication-of-summary-results-from-1-january-2021</w:t>
        </w:r>
      </w:hyperlink>
      <w:r w:rsidR="00145BD9" w:rsidRPr="002C334A">
        <w:rPr>
          <w:rFonts w:ascii="Arial" w:hAnsi="Arial" w:cs="Arial"/>
        </w:rPr>
        <w:t xml:space="preserve"> </w:t>
      </w:r>
    </w:p>
    <w:p w14:paraId="3088C195" w14:textId="77777777" w:rsidR="00D452A6" w:rsidRPr="002C334A" w:rsidRDefault="00D452A6" w:rsidP="00D452A6">
      <w:pPr>
        <w:rPr>
          <w:rFonts w:ascii="Arial" w:hAnsi="Arial" w:cs="Arial"/>
        </w:rPr>
      </w:pPr>
      <w:r w:rsidRPr="002C334A">
        <w:rPr>
          <w:rFonts w:ascii="Arial" w:hAnsi="Arial" w:cs="Arial"/>
          <w:i/>
        </w:rPr>
        <w:t>Amendment to an existing CTIMP</w:t>
      </w:r>
      <w:r w:rsidRPr="002C334A">
        <w:rPr>
          <w:rFonts w:ascii="Arial" w:hAnsi="Arial" w:cs="Arial"/>
        </w:rPr>
        <w:t xml:space="preserve"> </w:t>
      </w:r>
    </w:p>
    <w:p w14:paraId="09772FD9" w14:textId="77777777" w:rsidR="00D452A6" w:rsidRPr="002C334A" w:rsidRDefault="00D452A6" w:rsidP="00C955D0">
      <w:pPr>
        <w:spacing w:after="0"/>
        <w:rPr>
          <w:rFonts w:ascii="Arial" w:hAnsi="Arial" w:cs="Arial"/>
          <w:i/>
        </w:rPr>
      </w:pPr>
      <w:r w:rsidRPr="002C334A">
        <w:rPr>
          <w:rFonts w:ascii="Arial" w:hAnsi="Arial" w:cs="Arial"/>
        </w:rPr>
        <w:t>The process for a</w:t>
      </w:r>
      <w:r w:rsidRPr="002C334A">
        <w:rPr>
          <w:rFonts w:ascii="Arial" w:hAnsi="Arial" w:cs="Arial"/>
          <w:i/>
        </w:rPr>
        <w:t xml:space="preserve">mendments relevant to the Research Ethics Committee (REC) has not changed and continues to be managed in line with HRA guidance. </w:t>
      </w:r>
    </w:p>
    <w:p w14:paraId="3C734C95" w14:textId="77777777" w:rsidR="00D452A6" w:rsidRPr="002C334A" w:rsidRDefault="00000000" w:rsidP="00D452A6">
      <w:pPr>
        <w:rPr>
          <w:rFonts w:ascii="Arial" w:hAnsi="Arial" w:cs="Arial"/>
          <w:i/>
        </w:rPr>
      </w:pPr>
      <w:hyperlink r:id="rId15" w:history="1">
        <w:r w:rsidR="00D452A6" w:rsidRPr="002C334A">
          <w:rPr>
            <w:rStyle w:val="Hyperlink"/>
            <w:rFonts w:ascii="Arial" w:hAnsi="Arial" w:cs="Arial"/>
            <w:i/>
          </w:rPr>
          <w:t>https://www.hra.nhs.uk/approvals-amendments/</w:t>
        </w:r>
      </w:hyperlink>
      <w:r w:rsidR="00D452A6" w:rsidRPr="002C334A">
        <w:rPr>
          <w:rFonts w:ascii="Arial" w:hAnsi="Arial" w:cs="Arial"/>
          <w:i/>
        </w:rPr>
        <w:t xml:space="preserve"> </w:t>
      </w:r>
    </w:p>
    <w:p w14:paraId="2E4DC52D" w14:textId="77777777" w:rsidR="00EE4200" w:rsidRPr="002C334A" w:rsidRDefault="00EE4200" w:rsidP="00D452A6">
      <w:pPr>
        <w:rPr>
          <w:rFonts w:ascii="Arial" w:hAnsi="Arial" w:cs="Arial"/>
          <w:i/>
        </w:rPr>
      </w:pPr>
      <w:r w:rsidRPr="002C334A">
        <w:rPr>
          <w:rFonts w:ascii="Arial" w:hAnsi="Arial" w:cs="Arial"/>
          <w:i/>
        </w:rPr>
        <w:t>Amendments that need to be submitted to the MHRA should be subm</w:t>
      </w:r>
      <w:r w:rsidR="00C844D6" w:rsidRPr="002C334A">
        <w:rPr>
          <w:rFonts w:ascii="Arial" w:hAnsi="Arial" w:cs="Arial"/>
          <w:i/>
        </w:rPr>
        <w:t>itted via the MHRA Submissions p</w:t>
      </w:r>
      <w:r w:rsidRPr="002C334A">
        <w:rPr>
          <w:rFonts w:ascii="Arial" w:hAnsi="Arial" w:cs="Arial"/>
          <w:i/>
        </w:rPr>
        <w:t xml:space="preserve">ortal. </w:t>
      </w:r>
    </w:p>
    <w:p w14:paraId="7892090A" w14:textId="77777777" w:rsidR="00AC5408" w:rsidRPr="002C334A" w:rsidRDefault="00AC5408" w:rsidP="00D452A6">
      <w:pPr>
        <w:rPr>
          <w:rFonts w:ascii="Arial" w:hAnsi="Arial" w:cs="Arial"/>
          <w:i/>
        </w:rPr>
      </w:pPr>
      <w:r w:rsidRPr="002C334A">
        <w:rPr>
          <w:rFonts w:ascii="Arial" w:hAnsi="Arial" w:cs="Arial"/>
          <w:i/>
        </w:rPr>
        <w:t>IMP management</w:t>
      </w:r>
    </w:p>
    <w:p w14:paraId="1571BF98" w14:textId="31E8584A" w:rsidR="00D85A6D" w:rsidRPr="002C334A" w:rsidRDefault="00D85A6D" w:rsidP="00DF0230">
      <w:pPr>
        <w:rPr>
          <w:rFonts w:ascii="Arial" w:hAnsi="Arial" w:cs="Arial"/>
        </w:rPr>
      </w:pPr>
      <w:r w:rsidRPr="002C334A">
        <w:rPr>
          <w:rFonts w:ascii="Arial" w:hAnsi="Arial" w:cs="Arial"/>
        </w:rPr>
        <w:t xml:space="preserve">CTU colleagues have worked closely with the Sponsor Representative and colleagues from the DHSC to </w:t>
      </w:r>
      <w:r w:rsidR="005D1FC5" w:rsidRPr="002C334A">
        <w:rPr>
          <w:rFonts w:ascii="Arial" w:hAnsi="Arial" w:cs="Arial"/>
        </w:rPr>
        <w:t>as</w:t>
      </w:r>
      <w:r w:rsidRPr="002C334A">
        <w:rPr>
          <w:rFonts w:ascii="Arial" w:hAnsi="Arial" w:cs="Arial"/>
        </w:rPr>
        <w:t xml:space="preserve">sure the IMP supply for </w:t>
      </w:r>
      <w:proofErr w:type="spellStart"/>
      <w:r w:rsidRPr="002C334A">
        <w:rPr>
          <w:rFonts w:ascii="Arial" w:hAnsi="Arial" w:cs="Arial"/>
        </w:rPr>
        <w:t>UoB</w:t>
      </w:r>
      <w:proofErr w:type="spellEnd"/>
      <w:r w:rsidRPr="002C334A">
        <w:rPr>
          <w:rFonts w:ascii="Arial" w:hAnsi="Arial" w:cs="Arial"/>
        </w:rPr>
        <w:t xml:space="preserve"> sponsored studies. In line with DHSC guidance, </w:t>
      </w:r>
      <w:proofErr w:type="spellStart"/>
      <w:r w:rsidRPr="002C334A">
        <w:rPr>
          <w:rFonts w:ascii="Arial" w:hAnsi="Arial" w:cs="Arial"/>
        </w:rPr>
        <w:t>UoB</w:t>
      </w:r>
      <w:proofErr w:type="spellEnd"/>
      <w:r w:rsidRPr="002C334A">
        <w:rPr>
          <w:rFonts w:ascii="Arial" w:hAnsi="Arial" w:cs="Arial"/>
        </w:rPr>
        <w:t xml:space="preserve"> has registered for the Government Secured Freight Capacity. This will provide a route for support in a scenario where the IMP supply is disrupted. </w:t>
      </w:r>
      <w:r w:rsidR="002C4742" w:rsidRPr="002C334A">
        <w:rPr>
          <w:rFonts w:ascii="Arial" w:hAnsi="Arial" w:cs="Arial"/>
        </w:rPr>
        <w:t xml:space="preserve">Please contact members of the Research Governance Team if you need assistance. </w:t>
      </w:r>
    </w:p>
    <w:p w14:paraId="47CFE08B" w14:textId="68C526D9" w:rsidR="00DF0230" w:rsidRPr="002C334A" w:rsidRDefault="00DF0230" w:rsidP="00DF0230">
      <w:pPr>
        <w:rPr>
          <w:rFonts w:ascii="Arial" w:hAnsi="Arial" w:cs="Arial"/>
        </w:rPr>
      </w:pPr>
      <w:r w:rsidRPr="002C334A">
        <w:rPr>
          <w:rFonts w:ascii="Arial" w:hAnsi="Arial" w:cs="Arial"/>
        </w:rPr>
        <w:t>As a S</w:t>
      </w:r>
      <w:r w:rsidR="00C844D6" w:rsidRPr="002C334A">
        <w:rPr>
          <w:rFonts w:ascii="Arial" w:hAnsi="Arial" w:cs="Arial"/>
        </w:rPr>
        <w:t>ponsor</w:t>
      </w:r>
      <w:r w:rsidRPr="002C334A">
        <w:rPr>
          <w:rFonts w:ascii="Arial" w:hAnsi="Arial" w:cs="Arial"/>
        </w:rPr>
        <w:t xml:space="preserve"> of UK clinical trials that import investigational medicinal products (IMPs) into Great Britain from outside the UK, we will need to review the existing supply chains. </w:t>
      </w:r>
    </w:p>
    <w:p w14:paraId="6EF7BF79" w14:textId="72B7FA2E" w:rsidR="00EE4200" w:rsidRPr="002C334A" w:rsidRDefault="00DF0230" w:rsidP="00DF0230">
      <w:pPr>
        <w:rPr>
          <w:rFonts w:ascii="Arial" w:hAnsi="Arial" w:cs="Arial"/>
        </w:rPr>
      </w:pPr>
      <w:r w:rsidRPr="002C334A">
        <w:rPr>
          <w:rFonts w:ascii="Arial" w:hAnsi="Arial" w:cs="Arial"/>
        </w:rPr>
        <w:t xml:space="preserve">Where the product is sourced from a country on the ‘approved country for import list’, this will </w:t>
      </w:r>
      <w:r w:rsidR="00D729FA" w:rsidRPr="002C334A">
        <w:rPr>
          <w:rFonts w:ascii="Arial" w:hAnsi="Arial" w:cs="Arial"/>
        </w:rPr>
        <w:t xml:space="preserve">require </w:t>
      </w:r>
      <w:r w:rsidRPr="002C334A">
        <w:rPr>
          <w:rFonts w:ascii="Arial" w:hAnsi="Arial" w:cs="Arial"/>
        </w:rPr>
        <w:t xml:space="preserve">a UK Manufacturing and Import Authorisation (MIA(IMP)) holder putting in place an assurance system to check </w:t>
      </w:r>
      <w:r w:rsidR="005D1FC5" w:rsidRPr="002C334A">
        <w:rPr>
          <w:rFonts w:ascii="Arial" w:hAnsi="Arial" w:cs="Arial"/>
        </w:rPr>
        <w:t xml:space="preserve">that </w:t>
      </w:r>
      <w:r w:rsidRPr="002C334A">
        <w:rPr>
          <w:rFonts w:ascii="Arial" w:hAnsi="Arial" w:cs="Arial"/>
        </w:rPr>
        <w:t xml:space="preserve">these IMPs have been certified by a Qualified Person (QP) in a listed country, before release to trial sites. The list of approved countries will initially include all EU and EEA countries. QP recertification will not be required. </w:t>
      </w:r>
      <w:hyperlink r:id="rId16" w:history="1">
        <w:r w:rsidR="00EE4200" w:rsidRPr="002C334A">
          <w:rPr>
            <w:rStyle w:val="Hyperlink"/>
            <w:rFonts w:ascii="Arial" w:hAnsi="Arial" w:cs="Arial"/>
          </w:rPr>
          <w:t>https://www.gov.uk/government/publications/importing-investigational-medicinal-products-into-great-britain-from-approved-countries-from-1-january-2021</w:t>
        </w:r>
      </w:hyperlink>
      <w:r w:rsidR="00EE4200" w:rsidRPr="002C334A">
        <w:rPr>
          <w:rFonts w:ascii="Arial" w:hAnsi="Arial" w:cs="Arial"/>
        </w:rPr>
        <w:t xml:space="preserve"> </w:t>
      </w:r>
    </w:p>
    <w:p w14:paraId="2B42ED8A" w14:textId="5723D278" w:rsidR="00D729FA" w:rsidRPr="002C334A" w:rsidRDefault="00D729FA" w:rsidP="00DF0230">
      <w:pPr>
        <w:rPr>
          <w:rFonts w:ascii="Arial" w:hAnsi="Arial" w:cs="Arial"/>
        </w:rPr>
      </w:pPr>
      <w:r w:rsidRPr="002C334A">
        <w:rPr>
          <w:rFonts w:ascii="Arial" w:hAnsi="Arial" w:cs="Arial"/>
        </w:rPr>
        <w:t xml:space="preserve">Under the Northern Ireland Protocol IMPs being shipped from the UK to Northern Ireland will require </w:t>
      </w:r>
      <w:r w:rsidR="00D34EE7" w:rsidRPr="002C334A">
        <w:rPr>
          <w:rFonts w:ascii="Arial" w:hAnsi="Arial" w:cs="Arial"/>
        </w:rPr>
        <w:t xml:space="preserve">review and approval via an </w:t>
      </w:r>
      <w:r w:rsidRPr="002C334A">
        <w:rPr>
          <w:rFonts w:ascii="Arial" w:hAnsi="Arial" w:cs="Arial"/>
        </w:rPr>
        <w:t>QP</w:t>
      </w:r>
      <w:r w:rsidR="00D34EE7" w:rsidRPr="002C334A">
        <w:rPr>
          <w:rFonts w:ascii="Arial" w:hAnsi="Arial" w:cs="Arial"/>
        </w:rPr>
        <w:t xml:space="preserve"> based within the EU.</w:t>
      </w:r>
    </w:p>
    <w:p w14:paraId="317987C8" w14:textId="77777777" w:rsidR="00AC5408" w:rsidRPr="002C334A" w:rsidRDefault="009D2955" w:rsidP="00D452A6">
      <w:pPr>
        <w:rPr>
          <w:rFonts w:ascii="Arial" w:hAnsi="Arial" w:cs="Arial"/>
          <w:i/>
        </w:rPr>
      </w:pPr>
      <w:r w:rsidRPr="002C334A">
        <w:rPr>
          <w:rFonts w:ascii="Arial" w:hAnsi="Arial" w:cs="Arial"/>
          <w:i/>
        </w:rPr>
        <w:t xml:space="preserve">Safety reporting </w:t>
      </w:r>
    </w:p>
    <w:p w14:paraId="1E5AE331" w14:textId="413912EA" w:rsidR="00EE4200" w:rsidRPr="002C334A" w:rsidRDefault="009D2955" w:rsidP="00D452A6">
      <w:pPr>
        <w:rPr>
          <w:rFonts w:ascii="Arial" w:hAnsi="Arial" w:cs="Arial"/>
        </w:rPr>
      </w:pPr>
      <w:r w:rsidRPr="002C334A">
        <w:rPr>
          <w:rFonts w:ascii="Arial" w:hAnsi="Arial" w:cs="Arial"/>
        </w:rPr>
        <w:t xml:space="preserve">The </w:t>
      </w:r>
      <w:proofErr w:type="spellStart"/>
      <w:r w:rsidRPr="002C334A">
        <w:rPr>
          <w:rFonts w:ascii="Arial" w:hAnsi="Arial" w:cs="Arial"/>
        </w:rPr>
        <w:t>eSUSAR</w:t>
      </w:r>
      <w:proofErr w:type="spellEnd"/>
      <w:r w:rsidRPr="002C334A">
        <w:rPr>
          <w:rFonts w:ascii="Arial" w:hAnsi="Arial" w:cs="Arial"/>
        </w:rPr>
        <w:t xml:space="preserve"> web reporting tool will remain accessible</w:t>
      </w:r>
      <w:r w:rsidR="00790A6B" w:rsidRPr="002C334A">
        <w:rPr>
          <w:rFonts w:ascii="Arial" w:hAnsi="Arial" w:cs="Arial"/>
        </w:rPr>
        <w:t>. A</w:t>
      </w:r>
      <w:r w:rsidR="00E00C4F" w:rsidRPr="002C334A">
        <w:rPr>
          <w:rFonts w:ascii="Arial" w:hAnsi="Arial" w:cs="Arial"/>
        </w:rPr>
        <w:t xml:space="preserve">s an academic Sponsor </w:t>
      </w:r>
      <w:proofErr w:type="spellStart"/>
      <w:r w:rsidR="00790A6B" w:rsidRPr="002C334A">
        <w:rPr>
          <w:rFonts w:ascii="Arial" w:hAnsi="Arial" w:cs="Arial"/>
        </w:rPr>
        <w:t>UoB</w:t>
      </w:r>
      <w:proofErr w:type="spellEnd"/>
      <w:r w:rsidR="00790A6B" w:rsidRPr="002C334A">
        <w:rPr>
          <w:rFonts w:ascii="Arial" w:hAnsi="Arial" w:cs="Arial"/>
        </w:rPr>
        <w:t xml:space="preserve"> </w:t>
      </w:r>
      <w:r w:rsidR="00E00C4F" w:rsidRPr="002C334A">
        <w:rPr>
          <w:rFonts w:ascii="Arial" w:hAnsi="Arial" w:cs="Arial"/>
        </w:rPr>
        <w:t xml:space="preserve">will continue to use this platform. </w:t>
      </w:r>
      <w:r w:rsidR="004C1EA8" w:rsidRPr="002C334A">
        <w:rPr>
          <w:rFonts w:ascii="Arial" w:hAnsi="Arial" w:cs="Arial"/>
        </w:rPr>
        <w:t xml:space="preserve">SUSAR </w:t>
      </w:r>
      <w:r w:rsidR="00EE4200" w:rsidRPr="002C334A">
        <w:rPr>
          <w:rFonts w:ascii="Arial" w:hAnsi="Arial" w:cs="Arial"/>
        </w:rPr>
        <w:t xml:space="preserve">reporting </w:t>
      </w:r>
      <w:r w:rsidR="00D729FA" w:rsidRPr="002C334A">
        <w:rPr>
          <w:rFonts w:ascii="Arial" w:hAnsi="Arial" w:cs="Arial"/>
        </w:rPr>
        <w:t xml:space="preserve">can also </w:t>
      </w:r>
      <w:r w:rsidR="00EE4200" w:rsidRPr="002C334A">
        <w:rPr>
          <w:rFonts w:ascii="Arial" w:hAnsi="Arial" w:cs="Arial"/>
        </w:rPr>
        <w:t xml:space="preserve">take place </w:t>
      </w:r>
      <w:r w:rsidR="004C1EA8" w:rsidRPr="002C334A">
        <w:rPr>
          <w:rFonts w:ascii="Arial" w:hAnsi="Arial" w:cs="Arial"/>
        </w:rPr>
        <w:t xml:space="preserve">via the ICSR submission portal or </w:t>
      </w:r>
      <w:r w:rsidR="00E00C4F" w:rsidRPr="002C334A">
        <w:rPr>
          <w:rFonts w:ascii="Arial" w:hAnsi="Arial" w:cs="Arial"/>
        </w:rPr>
        <w:t xml:space="preserve">the </w:t>
      </w:r>
      <w:r w:rsidR="004C1EA8" w:rsidRPr="002C334A">
        <w:rPr>
          <w:rFonts w:ascii="Arial" w:hAnsi="Arial" w:cs="Arial"/>
        </w:rPr>
        <w:t xml:space="preserve">MHRA </w:t>
      </w:r>
      <w:proofErr w:type="gramStart"/>
      <w:r w:rsidR="004C1EA8" w:rsidRPr="002C334A">
        <w:rPr>
          <w:rFonts w:ascii="Arial" w:hAnsi="Arial" w:cs="Arial"/>
        </w:rPr>
        <w:t>Gateway</w:t>
      </w:r>
      <w:proofErr w:type="gramEnd"/>
      <w:r w:rsidR="00E00C4F" w:rsidRPr="002C334A">
        <w:rPr>
          <w:rFonts w:ascii="Arial" w:hAnsi="Arial" w:cs="Arial"/>
        </w:rPr>
        <w:t xml:space="preserve"> but these are for use by manufacturers of products </w:t>
      </w:r>
      <w:r w:rsidR="00E00C4F" w:rsidRPr="002C334A" w:rsidDel="00E00C4F">
        <w:rPr>
          <w:rFonts w:ascii="Arial" w:hAnsi="Arial" w:cs="Arial"/>
        </w:rPr>
        <w:t xml:space="preserve"> </w:t>
      </w:r>
    </w:p>
    <w:p w14:paraId="1FCA98FB" w14:textId="77777777" w:rsidR="004C1EA8" w:rsidRPr="002C334A" w:rsidRDefault="00000000" w:rsidP="00D452A6">
      <w:pPr>
        <w:rPr>
          <w:rFonts w:ascii="Arial" w:hAnsi="Arial" w:cs="Arial"/>
        </w:rPr>
      </w:pPr>
      <w:hyperlink r:id="rId17" w:history="1">
        <w:r w:rsidR="004C1EA8" w:rsidRPr="002C334A">
          <w:rPr>
            <w:rStyle w:val="Hyperlink"/>
            <w:rFonts w:ascii="Arial" w:hAnsi="Arial" w:cs="Arial"/>
          </w:rPr>
          <w:t>https://www.gov.uk/guidance/registering-to-make-submissions-to-the-mhra-from-1-january-2021</w:t>
        </w:r>
      </w:hyperlink>
      <w:r w:rsidR="004C1EA8" w:rsidRPr="002C334A">
        <w:rPr>
          <w:rFonts w:ascii="Arial" w:hAnsi="Arial" w:cs="Arial"/>
        </w:rPr>
        <w:t xml:space="preserve"> </w:t>
      </w:r>
    </w:p>
    <w:p w14:paraId="64EBDAF0" w14:textId="77777777" w:rsidR="00790A6B" w:rsidRPr="002C334A" w:rsidRDefault="00790A6B" w:rsidP="00D452A6">
      <w:pPr>
        <w:rPr>
          <w:rFonts w:ascii="Arial" w:hAnsi="Arial" w:cs="Arial"/>
          <w:i/>
        </w:rPr>
      </w:pPr>
    </w:p>
    <w:p w14:paraId="4A63DFEB" w14:textId="77777777" w:rsidR="00790A6B" w:rsidRPr="002C334A" w:rsidRDefault="00790A6B" w:rsidP="00D452A6">
      <w:pPr>
        <w:rPr>
          <w:rFonts w:ascii="Arial" w:hAnsi="Arial" w:cs="Arial"/>
          <w:i/>
        </w:rPr>
      </w:pPr>
    </w:p>
    <w:p w14:paraId="3A5BA848" w14:textId="67FC054A" w:rsidR="00D452A6" w:rsidRPr="002C334A" w:rsidRDefault="00D452A6" w:rsidP="00D452A6">
      <w:pPr>
        <w:rPr>
          <w:rFonts w:ascii="Arial" w:hAnsi="Arial" w:cs="Arial"/>
          <w:i/>
        </w:rPr>
      </w:pPr>
      <w:r w:rsidRPr="002C334A">
        <w:rPr>
          <w:rFonts w:ascii="Arial" w:hAnsi="Arial" w:cs="Arial"/>
          <w:i/>
        </w:rPr>
        <w:t>Sponsor / Legal Representative requirements</w:t>
      </w:r>
    </w:p>
    <w:p w14:paraId="6953967D" w14:textId="0DDBC184" w:rsidR="00D452A6" w:rsidRPr="002C334A" w:rsidRDefault="00035150" w:rsidP="00C955D0">
      <w:pPr>
        <w:rPr>
          <w:rFonts w:ascii="Arial" w:hAnsi="Arial" w:cs="Arial"/>
        </w:rPr>
      </w:pPr>
      <w:r w:rsidRPr="002C334A">
        <w:rPr>
          <w:rFonts w:ascii="Arial" w:hAnsi="Arial" w:cs="Arial"/>
        </w:rPr>
        <w:t xml:space="preserve">The UK will require the sponsor or legal representative of a clinical trial to be in the UK or country on an approved country list which initially includes EU/European Economic Area (EEA) countries. No </w:t>
      </w:r>
      <w:r w:rsidR="00D729FA" w:rsidRPr="002C334A">
        <w:rPr>
          <w:rFonts w:ascii="Arial" w:hAnsi="Arial" w:cs="Arial"/>
        </w:rPr>
        <w:t>amendment to the UK Clinical Trials Authorisation (CTA)</w:t>
      </w:r>
      <w:r w:rsidRPr="002C334A">
        <w:rPr>
          <w:rFonts w:ascii="Arial" w:hAnsi="Arial" w:cs="Arial"/>
        </w:rPr>
        <w:t xml:space="preserve"> is required where the sponsor or legal representative for an ongoing trial is established in the EU/EEA.</w:t>
      </w:r>
    </w:p>
    <w:p w14:paraId="6AE99A65" w14:textId="7083D077" w:rsidR="00A24C54" w:rsidRPr="002C334A" w:rsidRDefault="00D729FA" w:rsidP="00C955D0">
      <w:pPr>
        <w:spacing w:after="0"/>
        <w:rPr>
          <w:rFonts w:ascii="Arial" w:hAnsi="Arial" w:cs="Arial"/>
          <w:i/>
        </w:rPr>
      </w:pPr>
      <w:r w:rsidRPr="002C334A">
        <w:rPr>
          <w:rFonts w:ascii="Arial" w:hAnsi="Arial" w:cs="Arial"/>
        </w:rPr>
        <w:t>For UK international trials being conducted in the EU/EEA</w:t>
      </w:r>
      <w:r w:rsidRPr="002C334A" w:rsidDel="00D729FA">
        <w:rPr>
          <w:rFonts w:ascii="Arial" w:hAnsi="Arial" w:cs="Arial"/>
        </w:rPr>
        <w:t xml:space="preserve"> </w:t>
      </w:r>
      <w:r w:rsidR="00035150" w:rsidRPr="002C334A">
        <w:rPr>
          <w:rFonts w:ascii="Arial" w:hAnsi="Arial" w:cs="Arial"/>
        </w:rPr>
        <w:t xml:space="preserve">a legal representative </w:t>
      </w:r>
      <w:r w:rsidRPr="002C334A">
        <w:rPr>
          <w:rFonts w:ascii="Arial" w:hAnsi="Arial" w:cs="Arial"/>
        </w:rPr>
        <w:t>must be appointed. The University of Birmingham has contracted with a company in Ireland to provide this service. Inclusion of the legal representative requires an amendment to the CTA in each member state but not in the UK</w:t>
      </w:r>
      <w:r w:rsidR="00A24C54" w:rsidRPr="002C334A">
        <w:rPr>
          <w:rFonts w:ascii="Arial" w:hAnsi="Arial" w:cs="Arial"/>
        </w:rPr>
        <w:t>.</w:t>
      </w:r>
    </w:p>
    <w:p w14:paraId="1845E4E0" w14:textId="38F29E66" w:rsidR="00CB409C" w:rsidRPr="002C334A" w:rsidRDefault="00000000">
      <w:pPr>
        <w:rPr>
          <w:rFonts w:ascii="Arial" w:hAnsi="Arial" w:cs="Arial"/>
        </w:rPr>
      </w:pPr>
      <w:hyperlink r:id="rId18" w:history="1">
        <w:r w:rsidR="00145BD9" w:rsidRPr="002C334A">
          <w:rPr>
            <w:rStyle w:val="Hyperlink"/>
            <w:rFonts w:ascii="Arial" w:hAnsi="Arial" w:cs="Arial"/>
          </w:rPr>
          <w:t>https://www.gov.uk/guidance/guidance-on-substantial-amendments-to-a-clinical-trial-from-1-january-2021--2</w:t>
        </w:r>
      </w:hyperlink>
      <w:r w:rsidR="00145BD9" w:rsidRPr="002C334A">
        <w:rPr>
          <w:rFonts w:ascii="Arial" w:hAnsi="Arial" w:cs="Arial"/>
        </w:rPr>
        <w:t xml:space="preserve"> </w:t>
      </w:r>
    </w:p>
    <w:p w14:paraId="2BF26E41" w14:textId="65EA0571" w:rsidR="00CB409C" w:rsidRPr="002C334A" w:rsidRDefault="00CB409C" w:rsidP="00CB409C">
      <w:pPr>
        <w:rPr>
          <w:rFonts w:ascii="Arial" w:hAnsi="Arial" w:cs="Arial"/>
          <w:i/>
        </w:rPr>
      </w:pPr>
      <w:r w:rsidRPr="002C334A">
        <w:rPr>
          <w:rFonts w:ascii="Arial" w:hAnsi="Arial" w:cs="Arial"/>
          <w:i/>
        </w:rPr>
        <w:t xml:space="preserve">Data </w:t>
      </w:r>
      <w:r w:rsidR="00A24C54" w:rsidRPr="002C334A">
        <w:rPr>
          <w:rFonts w:ascii="Arial" w:hAnsi="Arial" w:cs="Arial"/>
          <w:i/>
        </w:rPr>
        <w:t>management</w:t>
      </w:r>
    </w:p>
    <w:p w14:paraId="0E7C7554" w14:textId="77777777" w:rsidR="00CB409C" w:rsidRPr="002C334A" w:rsidRDefault="00CB409C" w:rsidP="00CB409C">
      <w:pPr>
        <w:rPr>
          <w:rFonts w:ascii="Arial" w:hAnsi="Arial" w:cs="Arial"/>
        </w:rPr>
      </w:pPr>
      <w:r w:rsidRPr="002C334A">
        <w:rPr>
          <w:rFonts w:ascii="Arial" w:hAnsi="Arial" w:cs="Arial"/>
        </w:rPr>
        <w:t xml:space="preserve">The General Data Protection Act (GDPR) restricts the transfer of personal data to countries outside the EEA. These so called “restricted transfers” will continue to apply in the UK after the end of the transition period. </w:t>
      </w:r>
    </w:p>
    <w:p w14:paraId="57ADD674" w14:textId="77777777" w:rsidR="00CB409C" w:rsidRPr="002C334A" w:rsidRDefault="00CB409C" w:rsidP="00CB409C">
      <w:pPr>
        <w:rPr>
          <w:rFonts w:ascii="Arial" w:hAnsi="Arial" w:cs="Arial"/>
        </w:rPr>
      </w:pPr>
      <w:r w:rsidRPr="002C334A">
        <w:rPr>
          <w:rFonts w:ascii="Arial" w:hAnsi="Arial" w:cs="Arial"/>
        </w:rPr>
        <w:t>The UK government has stated that with regards to sending personal data to the EEA this will be permitted but it will keep this under review. The UK government will however allow transfers to Gibraltar to continue.</w:t>
      </w:r>
    </w:p>
    <w:p w14:paraId="52523C8A" w14:textId="37108540" w:rsidR="009575BF" w:rsidRPr="002C334A" w:rsidRDefault="00CB409C" w:rsidP="00C82EE2">
      <w:pPr>
        <w:rPr>
          <w:rFonts w:ascii="Arial" w:hAnsi="Arial" w:cs="Arial"/>
        </w:rPr>
      </w:pPr>
      <w:r w:rsidRPr="002C334A">
        <w:rPr>
          <w:rFonts w:ascii="Arial" w:hAnsi="Arial" w:cs="Arial"/>
        </w:rPr>
        <w:t xml:space="preserve">The EEA does not offer the UK a reciprocal arrangement. Hence any transfer of personal data from the EMA to the UK will be regarded as a “restricted transfer”. Restricted transfer of data is allowed to a country with an “adequacy status”, but the UK will not have adequacy status on the </w:t>
      </w:r>
      <w:proofErr w:type="gramStart"/>
      <w:r w:rsidRPr="002C334A">
        <w:rPr>
          <w:rFonts w:ascii="Arial" w:hAnsi="Arial" w:cs="Arial"/>
        </w:rPr>
        <w:t>1st</w:t>
      </w:r>
      <w:proofErr w:type="gramEnd"/>
      <w:r w:rsidRPr="002C334A">
        <w:rPr>
          <w:rFonts w:ascii="Arial" w:hAnsi="Arial" w:cs="Arial"/>
        </w:rPr>
        <w:t xml:space="preserve"> Jan 2021, in which case transfer needs to be covered by implementing appropriate safeguards. The simplest means </w:t>
      </w:r>
      <w:r w:rsidR="009575BF" w:rsidRPr="002C334A">
        <w:rPr>
          <w:rFonts w:ascii="Arial" w:hAnsi="Arial" w:cs="Arial"/>
        </w:rPr>
        <w:t>of achieving this is to include</w:t>
      </w:r>
      <w:r w:rsidRPr="002C334A">
        <w:rPr>
          <w:rFonts w:ascii="Arial" w:hAnsi="Arial" w:cs="Arial"/>
        </w:rPr>
        <w:t xml:space="preserve"> “standard contractual clauses” adopted by the European Commission, which safeguard the rights for the individuals whose personal data is transferred. </w:t>
      </w:r>
    </w:p>
    <w:p w14:paraId="40E5E00E" w14:textId="063AE3F6" w:rsidR="00C82EE2" w:rsidRPr="002C334A" w:rsidRDefault="00C82EE2" w:rsidP="00C82EE2">
      <w:pPr>
        <w:rPr>
          <w:rFonts w:ascii="Arial" w:hAnsi="Arial" w:cs="Arial"/>
          <w:b/>
        </w:rPr>
      </w:pPr>
      <w:r w:rsidRPr="002C334A">
        <w:rPr>
          <w:rFonts w:ascii="Arial" w:hAnsi="Arial" w:cs="Arial"/>
          <w:b/>
        </w:rPr>
        <w:t>Key changes for the set-up and conduct of device trials</w:t>
      </w:r>
    </w:p>
    <w:p w14:paraId="4DD151CD" w14:textId="77777777" w:rsidR="009B670E" w:rsidRPr="002C334A" w:rsidRDefault="009B670E" w:rsidP="009B670E">
      <w:pPr>
        <w:rPr>
          <w:rFonts w:ascii="Arial" w:hAnsi="Arial" w:cs="Arial"/>
        </w:rPr>
      </w:pPr>
      <w:r w:rsidRPr="002C334A">
        <w:rPr>
          <w:rFonts w:ascii="Arial" w:hAnsi="Arial" w:cs="Arial"/>
        </w:rPr>
        <w:t xml:space="preserve">It is expected that the UK will not implement the Medical Device </w:t>
      </w:r>
      <w:proofErr w:type="gramStart"/>
      <w:r w:rsidRPr="002C334A">
        <w:rPr>
          <w:rFonts w:ascii="Arial" w:hAnsi="Arial" w:cs="Arial"/>
        </w:rPr>
        <w:t>Regulations</w:t>
      </w:r>
      <w:proofErr w:type="gramEnd"/>
      <w:r w:rsidRPr="002C334A">
        <w:rPr>
          <w:rFonts w:ascii="Arial" w:hAnsi="Arial" w:cs="Arial"/>
        </w:rPr>
        <w:t xml:space="preserve"> and the following legislation will remain in place in the UK from the 1 January 2021</w:t>
      </w:r>
    </w:p>
    <w:p w14:paraId="723C01B5" w14:textId="77777777" w:rsidR="009B670E" w:rsidRPr="002C334A" w:rsidRDefault="009B670E" w:rsidP="00FA4C77">
      <w:pPr>
        <w:spacing w:after="0"/>
        <w:rPr>
          <w:rFonts w:ascii="Arial" w:hAnsi="Arial" w:cs="Arial"/>
        </w:rPr>
      </w:pPr>
      <w:r w:rsidRPr="002C334A">
        <w:rPr>
          <w:rFonts w:ascii="Arial" w:hAnsi="Arial" w:cs="Arial"/>
        </w:rPr>
        <w:t>• Directive 90/385/EEC on active implantable medical devices (EU AIMDD)</w:t>
      </w:r>
    </w:p>
    <w:p w14:paraId="031A6D9A" w14:textId="77777777" w:rsidR="009B670E" w:rsidRPr="002C334A" w:rsidRDefault="009B670E" w:rsidP="00FA4C77">
      <w:pPr>
        <w:spacing w:after="0"/>
        <w:rPr>
          <w:rFonts w:ascii="Arial" w:hAnsi="Arial" w:cs="Arial"/>
        </w:rPr>
      </w:pPr>
      <w:r w:rsidRPr="002C334A">
        <w:rPr>
          <w:rFonts w:ascii="Arial" w:hAnsi="Arial" w:cs="Arial"/>
        </w:rPr>
        <w:t>• Directive 93/42/EEC on medical devices (EU MDD)</w:t>
      </w:r>
    </w:p>
    <w:p w14:paraId="27EB4F57" w14:textId="77777777" w:rsidR="009B670E" w:rsidRPr="002C334A" w:rsidRDefault="009B670E" w:rsidP="009B670E">
      <w:pPr>
        <w:rPr>
          <w:rFonts w:ascii="Arial" w:hAnsi="Arial" w:cs="Arial"/>
        </w:rPr>
      </w:pPr>
      <w:r w:rsidRPr="002C334A">
        <w:rPr>
          <w:rFonts w:ascii="Arial" w:hAnsi="Arial" w:cs="Arial"/>
        </w:rPr>
        <w:t>• Directive 98/79/EC on in vitro diagnostic medical devices (EU IVDD)</w:t>
      </w:r>
    </w:p>
    <w:p w14:paraId="350A80EA" w14:textId="0FD4CC0F" w:rsidR="005E7383" w:rsidRPr="002C334A" w:rsidRDefault="009B670E">
      <w:pPr>
        <w:rPr>
          <w:rStyle w:val="Hyperlink"/>
          <w:rFonts w:ascii="Arial" w:hAnsi="Arial" w:cs="Arial"/>
        </w:rPr>
      </w:pPr>
      <w:r w:rsidRPr="002C334A">
        <w:rPr>
          <w:rFonts w:ascii="Arial" w:hAnsi="Arial" w:cs="Arial"/>
        </w:rPr>
        <w:t xml:space="preserve">These directives are given effect in UK law through the Medical Devices Regulations 2002 (SI 2002 No 618, as amended) (UK MDR 2002). </w:t>
      </w:r>
      <w:hyperlink r:id="rId19" w:history="1">
        <w:r w:rsidR="0005572A" w:rsidRPr="002C334A">
          <w:rPr>
            <w:rStyle w:val="Hyperlink"/>
            <w:rFonts w:ascii="Arial" w:hAnsi="Arial" w:cs="Arial"/>
          </w:rPr>
          <w:t>https://www.gov.uk/guidance/regulating-medical-devices-from-1-january-2021</w:t>
        </w:r>
      </w:hyperlink>
    </w:p>
    <w:p w14:paraId="6EE2FC38" w14:textId="6510D4FE" w:rsidR="00CB409C" w:rsidRPr="002C334A" w:rsidRDefault="009575BF" w:rsidP="00CB409C">
      <w:pPr>
        <w:rPr>
          <w:rFonts w:ascii="Arial" w:hAnsi="Arial" w:cs="Arial"/>
          <w:b/>
        </w:rPr>
      </w:pPr>
      <w:r w:rsidRPr="002C334A">
        <w:rPr>
          <w:rFonts w:ascii="Arial" w:hAnsi="Arial" w:cs="Arial"/>
          <w:b/>
        </w:rPr>
        <w:t>This guidance is based on the following information</w:t>
      </w:r>
    </w:p>
    <w:p w14:paraId="14F2D1E7" w14:textId="76D41C62" w:rsidR="00CB409C" w:rsidRPr="002C334A" w:rsidRDefault="00000000" w:rsidP="00CB409C">
      <w:pPr>
        <w:rPr>
          <w:rFonts w:ascii="Arial" w:hAnsi="Arial" w:cs="Arial"/>
        </w:rPr>
      </w:pPr>
      <w:hyperlink r:id="rId20" w:history="1">
        <w:r w:rsidR="00CB409C" w:rsidRPr="002C334A">
          <w:rPr>
            <w:rStyle w:val="Hyperlink"/>
            <w:rFonts w:ascii="Arial" w:hAnsi="Arial" w:cs="Arial"/>
          </w:rPr>
          <w:t>https://www.hra.nhs.uk/planning-and-improving-research/policies-standards-legislation/guidance-health-and-social-care-researchers-end-transition-period/</w:t>
        </w:r>
      </w:hyperlink>
      <w:r w:rsidR="00CB409C" w:rsidRPr="002C334A">
        <w:rPr>
          <w:rFonts w:ascii="Arial" w:hAnsi="Arial" w:cs="Arial"/>
        </w:rPr>
        <w:t xml:space="preserve"> </w:t>
      </w:r>
    </w:p>
    <w:p w14:paraId="246CCC26" w14:textId="77777777" w:rsidR="00CB409C" w:rsidRPr="002C334A" w:rsidRDefault="00000000" w:rsidP="00CB409C">
      <w:pPr>
        <w:rPr>
          <w:rFonts w:ascii="Arial" w:hAnsi="Arial" w:cs="Arial"/>
          <w:i/>
        </w:rPr>
      </w:pPr>
      <w:hyperlink r:id="rId21" w:history="1">
        <w:r w:rsidR="00CB409C" w:rsidRPr="002C334A">
          <w:rPr>
            <w:rStyle w:val="Hyperlink"/>
            <w:rFonts w:ascii="Arial" w:hAnsi="Arial" w:cs="Arial"/>
            <w:i/>
          </w:rPr>
          <w:t>https://www.gov.uk/government/collections/mhra-post-transition-period-information</w:t>
        </w:r>
      </w:hyperlink>
      <w:r w:rsidR="00CB409C" w:rsidRPr="002C334A">
        <w:rPr>
          <w:rFonts w:ascii="Arial" w:hAnsi="Arial" w:cs="Arial"/>
          <w:i/>
        </w:rPr>
        <w:t xml:space="preserve"> </w:t>
      </w:r>
    </w:p>
    <w:p w14:paraId="4CAA55DC" w14:textId="4E7AD054" w:rsidR="009D2955" w:rsidRPr="00E00C4F" w:rsidRDefault="00000000">
      <w:pPr>
        <w:rPr>
          <w:rStyle w:val="Hyperlink"/>
          <w:rFonts w:ascii="Arial" w:hAnsi="Arial" w:cs="Arial"/>
        </w:rPr>
      </w:pPr>
      <w:hyperlink r:id="rId22" w:history="1">
        <w:r w:rsidR="00CB409C" w:rsidRPr="002C334A">
          <w:rPr>
            <w:rStyle w:val="Hyperlink"/>
            <w:rFonts w:ascii="Arial" w:hAnsi="Arial" w:cs="Arial"/>
          </w:rPr>
          <w:t>https://ico.org.uk/for-organisations/data-protection-at-the-end-of-the-transition-period/</w:t>
        </w:r>
      </w:hyperlink>
      <w:r w:rsidR="00CB409C">
        <w:rPr>
          <w:rFonts w:ascii="Arial" w:hAnsi="Arial" w:cs="Arial"/>
        </w:rPr>
        <w:t xml:space="preserve"> </w:t>
      </w:r>
    </w:p>
    <w:sectPr w:rsidR="009D2955" w:rsidRPr="00E00C4F">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6CC76" w14:textId="77777777" w:rsidR="00ED51DD" w:rsidRDefault="00ED51DD" w:rsidP="002C4742">
      <w:pPr>
        <w:spacing w:after="0" w:line="240" w:lineRule="auto"/>
      </w:pPr>
      <w:r>
        <w:separator/>
      </w:r>
    </w:p>
  </w:endnote>
  <w:endnote w:type="continuationSeparator" w:id="0">
    <w:p w14:paraId="53FA3C0A" w14:textId="77777777" w:rsidR="00ED51DD" w:rsidRDefault="00ED51DD" w:rsidP="002C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143043"/>
      <w:docPartObj>
        <w:docPartGallery w:val="Page Numbers (Bottom of Page)"/>
        <w:docPartUnique/>
      </w:docPartObj>
    </w:sdtPr>
    <w:sdtEndPr>
      <w:rPr>
        <w:noProof/>
      </w:rPr>
    </w:sdtEndPr>
    <w:sdtContent>
      <w:p w14:paraId="6D60FFB6" w14:textId="0CE43B05" w:rsidR="002C4742" w:rsidRDefault="002C4742">
        <w:pPr>
          <w:pStyle w:val="Footer"/>
          <w:jc w:val="center"/>
        </w:pPr>
        <w:r>
          <w:fldChar w:fldCharType="begin"/>
        </w:r>
        <w:r>
          <w:instrText xml:space="preserve"> PAGE   \* MERGEFORMAT </w:instrText>
        </w:r>
        <w:r>
          <w:fldChar w:fldCharType="separate"/>
        </w:r>
        <w:r w:rsidR="005E7383">
          <w:rPr>
            <w:noProof/>
          </w:rPr>
          <w:t>3</w:t>
        </w:r>
        <w:r>
          <w:rPr>
            <w:noProof/>
          </w:rPr>
          <w:fldChar w:fldCharType="end"/>
        </w:r>
      </w:p>
    </w:sdtContent>
  </w:sdt>
  <w:p w14:paraId="3D3EDD2E" w14:textId="77777777" w:rsidR="002C4742" w:rsidRDefault="002C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CFD22" w14:textId="77777777" w:rsidR="00ED51DD" w:rsidRDefault="00ED51DD" w:rsidP="002C4742">
      <w:pPr>
        <w:spacing w:after="0" w:line="240" w:lineRule="auto"/>
      </w:pPr>
      <w:r>
        <w:separator/>
      </w:r>
    </w:p>
  </w:footnote>
  <w:footnote w:type="continuationSeparator" w:id="0">
    <w:p w14:paraId="249BA4E0" w14:textId="77777777" w:rsidR="00ED51DD" w:rsidRDefault="00ED51DD" w:rsidP="002C4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C1A43"/>
    <w:multiLevelType w:val="hybridMultilevel"/>
    <w:tmpl w:val="A0F2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44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D9"/>
    <w:rsid w:val="00035150"/>
    <w:rsid w:val="0005572A"/>
    <w:rsid w:val="0013435B"/>
    <w:rsid w:val="00145BD9"/>
    <w:rsid w:val="001856D9"/>
    <w:rsid w:val="001C6C95"/>
    <w:rsid w:val="0020616B"/>
    <w:rsid w:val="002C334A"/>
    <w:rsid w:val="002C4742"/>
    <w:rsid w:val="002D7398"/>
    <w:rsid w:val="00306C6A"/>
    <w:rsid w:val="0031095A"/>
    <w:rsid w:val="00325C55"/>
    <w:rsid w:val="00325DBA"/>
    <w:rsid w:val="00381E67"/>
    <w:rsid w:val="003A324F"/>
    <w:rsid w:val="00453206"/>
    <w:rsid w:val="004633A3"/>
    <w:rsid w:val="004C1EA8"/>
    <w:rsid w:val="00526275"/>
    <w:rsid w:val="0054099E"/>
    <w:rsid w:val="005C37FC"/>
    <w:rsid w:val="005D1FC5"/>
    <w:rsid w:val="005E5A03"/>
    <w:rsid w:val="005E7383"/>
    <w:rsid w:val="0068449C"/>
    <w:rsid w:val="007500F9"/>
    <w:rsid w:val="00790A6B"/>
    <w:rsid w:val="007E7029"/>
    <w:rsid w:val="007F1217"/>
    <w:rsid w:val="00925292"/>
    <w:rsid w:val="00937558"/>
    <w:rsid w:val="009575BF"/>
    <w:rsid w:val="009B670E"/>
    <w:rsid w:val="009D01DE"/>
    <w:rsid w:val="009D2955"/>
    <w:rsid w:val="00A24C54"/>
    <w:rsid w:val="00A961D7"/>
    <w:rsid w:val="00AB6ACC"/>
    <w:rsid w:val="00AC5408"/>
    <w:rsid w:val="00AF159F"/>
    <w:rsid w:val="00B07829"/>
    <w:rsid w:val="00B4501C"/>
    <w:rsid w:val="00B47BC5"/>
    <w:rsid w:val="00BF551D"/>
    <w:rsid w:val="00C10CB0"/>
    <w:rsid w:val="00C82EE2"/>
    <w:rsid w:val="00C844D6"/>
    <w:rsid w:val="00C955D0"/>
    <w:rsid w:val="00CB409C"/>
    <w:rsid w:val="00D34EE7"/>
    <w:rsid w:val="00D452A6"/>
    <w:rsid w:val="00D729FA"/>
    <w:rsid w:val="00D802F7"/>
    <w:rsid w:val="00D85A6D"/>
    <w:rsid w:val="00DF0230"/>
    <w:rsid w:val="00E00C4F"/>
    <w:rsid w:val="00ED51DD"/>
    <w:rsid w:val="00EE4200"/>
    <w:rsid w:val="00F059AE"/>
    <w:rsid w:val="00FA4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1B23"/>
  <w15:chartTrackingRefBased/>
  <w15:docId w15:val="{0B01EF6D-A42B-41B1-BC1A-3344FFAE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BD9"/>
    <w:rPr>
      <w:color w:val="0563C1" w:themeColor="hyperlink"/>
      <w:u w:val="single"/>
    </w:rPr>
  </w:style>
  <w:style w:type="character" w:styleId="FollowedHyperlink">
    <w:name w:val="FollowedHyperlink"/>
    <w:basedOn w:val="DefaultParagraphFont"/>
    <w:uiPriority w:val="99"/>
    <w:semiHidden/>
    <w:unhideWhenUsed/>
    <w:rsid w:val="001C6C95"/>
    <w:rPr>
      <w:color w:val="954F72" w:themeColor="followedHyperlink"/>
      <w:u w:val="single"/>
    </w:rPr>
  </w:style>
  <w:style w:type="paragraph" w:styleId="ListParagraph">
    <w:name w:val="List Paragraph"/>
    <w:basedOn w:val="Normal"/>
    <w:uiPriority w:val="34"/>
    <w:qFormat/>
    <w:rsid w:val="00D452A6"/>
    <w:pPr>
      <w:ind w:left="720"/>
      <w:contextualSpacing/>
    </w:pPr>
  </w:style>
  <w:style w:type="paragraph" w:styleId="Header">
    <w:name w:val="header"/>
    <w:basedOn w:val="Normal"/>
    <w:link w:val="HeaderChar"/>
    <w:uiPriority w:val="99"/>
    <w:unhideWhenUsed/>
    <w:rsid w:val="002C4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742"/>
  </w:style>
  <w:style w:type="paragraph" w:styleId="Footer">
    <w:name w:val="footer"/>
    <w:basedOn w:val="Normal"/>
    <w:link w:val="FooterChar"/>
    <w:uiPriority w:val="99"/>
    <w:unhideWhenUsed/>
    <w:rsid w:val="002C4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742"/>
  </w:style>
  <w:style w:type="paragraph" w:styleId="BalloonText">
    <w:name w:val="Balloon Text"/>
    <w:basedOn w:val="Normal"/>
    <w:link w:val="BalloonTextChar"/>
    <w:uiPriority w:val="99"/>
    <w:semiHidden/>
    <w:unhideWhenUsed/>
    <w:rsid w:val="00A961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61D7"/>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7E7029"/>
    <w:rPr>
      <w:color w:val="605E5C"/>
      <w:shd w:val="clear" w:color="auto" w:fill="E1DFDD"/>
    </w:rPr>
  </w:style>
  <w:style w:type="character" w:styleId="CommentReference">
    <w:name w:val="annotation reference"/>
    <w:basedOn w:val="DefaultParagraphFont"/>
    <w:uiPriority w:val="99"/>
    <w:semiHidden/>
    <w:unhideWhenUsed/>
    <w:rsid w:val="007E7029"/>
    <w:rPr>
      <w:sz w:val="16"/>
      <w:szCs w:val="16"/>
    </w:rPr>
  </w:style>
  <w:style w:type="paragraph" w:styleId="CommentText">
    <w:name w:val="annotation text"/>
    <w:basedOn w:val="Normal"/>
    <w:link w:val="CommentTextChar"/>
    <w:uiPriority w:val="99"/>
    <w:semiHidden/>
    <w:unhideWhenUsed/>
    <w:rsid w:val="007E7029"/>
    <w:pPr>
      <w:spacing w:line="240" w:lineRule="auto"/>
    </w:pPr>
    <w:rPr>
      <w:sz w:val="20"/>
      <w:szCs w:val="20"/>
    </w:rPr>
  </w:style>
  <w:style w:type="character" w:customStyle="1" w:styleId="CommentTextChar">
    <w:name w:val="Comment Text Char"/>
    <w:basedOn w:val="DefaultParagraphFont"/>
    <w:link w:val="CommentText"/>
    <w:uiPriority w:val="99"/>
    <w:semiHidden/>
    <w:rsid w:val="007E7029"/>
    <w:rPr>
      <w:sz w:val="20"/>
      <w:szCs w:val="20"/>
    </w:rPr>
  </w:style>
  <w:style w:type="paragraph" w:styleId="CommentSubject">
    <w:name w:val="annotation subject"/>
    <w:basedOn w:val="CommentText"/>
    <w:next w:val="CommentText"/>
    <w:link w:val="CommentSubjectChar"/>
    <w:uiPriority w:val="99"/>
    <w:semiHidden/>
    <w:unhideWhenUsed/>
    <w:rsid w:val="007E7029"/>
    <w:rPr>
      <w:b/>
      <w:bCs/>
    </w:rPr>
  </w:style>
  <w:style w:type="character" w:customStyle="1" w:styleId="CommentSubjectChar">
    <w:name w:val="Comment Subject Char"/>
    <w:basedOn w:val="CommentTextChar"/>
    <w:link w:val="CommentSubject"/>
    <w:uiPriority w:val="99"/>
    <w:semiHidden/>
    <w:rsid w:val="007E70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8375">
      <w:bodyDiv w:val="1"/>
      <w:marLeft w:val="0"/>
      <w:marRight w:val="0"/>
      <w:marTop w:val="0"/>
      <w:marBottom w:val="0"/>
      <w:divBdr>
        <w:top w:val="none" w:sz="0" w:space="0" w:color="auto"/>
        <w:left w:val="none" w:sz="0" w:space="0" w:color="auto"/>
        <w:bottom w:val="none" w:sz="0" w:space="0" w:color="auto"/>
        <w:right w:val="none" w:sz="0" w:space="0" w:color="auto"/>
      </w:divBdr>
      <w:divsChild>
        <w:div w:id="2061397497">
          <w:marLeft w:val="0"/>
          <w:marRight w:val="0"/>
          <w:marTop w:val="0"/>
          <w:marBottom w:val="0"/>
          <w:divBdr>
            <w:top w:val="none" w:sz="0" w:space="0" w:color="auto"/>
            <w:left w:val="none" w:sz="0" w:space="0" w:color="auto"/>
            <w:bottom w:val="none" w:sz="0" w:space="0" w:color="auto"/>
            <w:right w:val="none" w:sz="0" w:space="0" w:color="auto"/>
          </w:divBdr>
          <w:divsChild>
            <w:div w:id="1705137655">
              <w:marLeft w:val="0"/>
              <w:marRight w:val="0"/>
              <w:marTop w:val="0"/>
              <w:marBottom w:val="0"/>
              <w:divBdr>
                <w:top w:val="none" w:sz="0" w:space="0" w:color="auto"/>
                <w:left w:val="none" w:sz="0" w:space="0" w:color="auto"/>
                <w:bottom w:val="none" w:sz="0" w:space="0" w:color="auto"/>
                <w:right w:val="none" w:sz="0" w:space="0" w:color="auto"/>
              </w:divBdr>
              <w:divsChild>
                <w:div w:id="632832644">
                  <w:marLeft w:val="0"/>
                  <w:marRight w:val="0"/>
                  <w:marTop w:val="0"/>
                  <w:marBottom w:val="0"/>
                  <w:divBdr>
                    <w:top w:val="none" w:sz="0" w:space="0" w:color="auto"/>
                    <w:left w:val="none" w:sz="0" w:space="0" w:color="auto"/>
                    <w:bottom w:val="none" w:sz="0" w:space="0" w:color="auto"/>
                    <w:right w:val="none" w:sz="0" w:space="0" w:color="auto"/>
                  </w:divBdr>
                  <w:divsChild>
                    <w:div w:id="465124651">
                      <w:marLeft w:val="0"/>
                      <w:marRight w:val="0"/>
                      <w:marTop w:val="0"/>
                      <w:marBottom w:val="0"/>
                      <w:divBdr>
                        <w:top w:val="none" w:sz="0" w:space="0" w:color="auto"/>
                        <w:left w:val="none" w:sz="0" w:space="0" w:color="auto"/>
                        <w:bottom w:val="none" w:sz="0" w:space="0" w:color="auto"/>
                        <w:right w:val="none" w:sz="0" w:space="0" w:color="auto"/>
                      </w:divBdr>
                      <w:divsChild>
                        <w:div w:id="2013026454">
                          <w:marLeft w:val="0"/>
                          <w:marRight w:val="0"/>
                          <w:marTop w:val="0"/>
                          <w:marBottom w:val="0"/>
                          <w:divBdr>
                            <w:top w:val="none" w:sz="0" w:space="0" w:color="auto"/>
                            <w:left w:val="none" w:sz="0" w:space="0" w:color="auto"/>
                            <w:bottom w:val="none" w:sz="0" w:space="0" w:color="auto"/>
                            <w:right w:val="none" w:sz="0" w:space="0" w:color="auto"/>
                          </w:divBdr>
                          <w:divsChild>
                            <w:div w:id="632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04614">
      <w:bodyDiv w:val="1"/>
      <w:marLeft w:val="0"/>
      <w:marRight w:val="0"/>
      <w:marTop w:val="0"/>
      <w:marBottom w:val="0"/>
      <w:divBdr>
        <w:top w:val="none" w:sz="0" w:space="0" w:color="auto"/>
        <w:left w:val="none" w:sz="0" w:space="0" w:color="auto"/>
        <w:bottom w:val="none" w:sz="0" w:space="0" w:color="auto"/>
        <w:right w:val="none" w:sz="0" w:space="0" w:color="auto"/>
      </w:divBdr>
    </w:div>
    <w:div w:id="521672697">
      <w:bodyDiv w:val="1"/>
      <w:marLeft w:val="0"/>
      <w:marRight w:val="0"/>
      <w:marTop w:val="0"/>
      <w:marBottom w:val="0"/>
      <w:divBdr>
        <w:top w:val="none" w:sz="0" w:space="0" w:color="auto"/>
        <w:left w:val="none" w:sz="0" w:space="0" w:color="auto"/>
        <w:bottom w:val="none" w:sz="0" w:space="0" w:color="auto"/>
        <w:right w:val="none" w:sz="0" w:space="0" w:color="auto"/>
      </w:divBdr>
      <w:divsChild>
        <w:div w:id="1921870609">
          <w:marLeft w:val="0"/>
          <w:marRight w:val="0"/>
          <w:marTop w:val="0"/>
          <w:marBottom w:val="0"/>
          <w:divBdr>
            <w:top w:val="none" w:sz="0" w:space="0" w:color="auto"/>
            <w:left w:val="none" w:sz="0" w:space="0" w:color="auto"/>
            <w:bottom w:val="none" w:sz="0" w:space="0" w:color="auto"/>
            <w:right w:val="none" w:sz="0" w:space="0" w:color="auto"/>
          </w:divBdr>
          <w:divsChild>
            <w:div w:id="1725832294">
              <w:marLeft w:val="0"/>
              <w:marRight w:val="0"/>
              <w:marTop w:val="0"/>
              <w:marBottom w:val="0"/>
              <w:divBdr>
                <w:top w:val="none" w:sz="0" w:space="0" w:color="auto"/>
                <w:left w:val="none" w:sz="0" w:space="0" w:color="auto"/>
                <w:bottom w:val="none" w:sz="0" w:space="0" w:color="auto"/>
                <w:right w:val="none" w:sz="0" w:space="0" w:color="auto"/>
              </w:divBdr>
              <w:divsChild>
                <w:div w:id="1718234601">
                  <w:marLeft w:val="0"/>
                  <w:marRight w:val="0"/>
                  <w:marTop w:val="0"/>
                  <w:marBottom w:val="0"/>
                  <w:divBdr>
                    <w:top w:val="none" w:sz="0" w:space="0" w:color="auto"/>
                    <w:left w:val="none" w:sz="0" w:space="0" w:color="auto"/>
                    <w:bottom w:val="none" w:sz="0" w:space="0" w:color="auto"/>
                    <w:right w:val="none" w:sz="0" w:space="0" w:color="auto"/>
                  </w:divBdr>
                  <w:divsChild>
                    <w:div w:id="411320294">
                      <w:marLeft w:val="0"/>
                      <w:marRight w:val="0"/>
                      <w:marTop w:val="0"/>
                      <w:marBottom w:val="0"/>
                      <w:divBdr>
                        <w:top w:val="none" w:sz="0" w:space="0" w:color="auto"/>
                        <w:left w:val="none" w:sz="0" w:space="0" w:color="auto"/>
                        <w:bottom w:val="none" w:sz="0" w:space="0" w:color="auto"/>
                        <w:right w:val="none" w:sz="0" w:space="0" w:color="auto"/>
                      </w:divBdr>
                      <w:divsChild>
                        <w:div w:id="354617208">
                          <w:marLeft w:val="0"/>
                          <w:marRight w:val="0"/>
                          <w:marTop w:val="0"/>
                          <w:marBottom w:val="0"/>
                          <w:divBdr>
                            <w:top w:val="none" w:sz="0" w:space="0" w:color="auto"/>
                            <w:left w:val="none" w:sz="0" w:space="0" w:color="auto"/>
                            <w:bottom w:val="none" w:sz="0" w:space="0" w:color="auto"/>
                            <w:right w:val="none" w:sz="0" w:space="0" w:color="auto"/>
                          </w:divBdr>
                          <w:divsChild>
                            <w:div w:id="18500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26644">
      <w:bodyDiv w:val="1"/>
      <w:marLeft w:val="0"/>
      <w:marRight w:val="0"/>
      <w:marTop w:val="0"/>
      <w:marBottom w:val="0"/>
      <w:divBdr>
        <w:top w:val="none" w:sz="0" w:space="0" w:color="auto"/>
        <w:left w:val="none" w:sz="0" w:space="0" w:color="auto"/>
        <w:bottom w:val="none" w:sz="0" w:space="0" w:color="auto"/>
        <w:right w:val="none" w:sz="0" w:space="0" w:color="auto"/>
      </w:divBdr>
      <w:divsChild>
        <w:div w:id="1342470307">
          <w:marLeft w:val="0"/>
          <w:marRight w:val="0"/>
          <w:marTop w:val="0"/>
          <w:marBottom w:val="0"/>
          <w:divBdr>
            <w:top w:val="none" w:sz="0" w:space="0" w:color="auto"/>
            <w:left w:val="none" w:sz="0" w:space="0" w:color="auto"/>
            <w:bottom w:val="none" w:sz="0" w:space="0" w:color="auto"/>
            <w:right w:val="none" w:sz="0" w:space="0" w:color="auto"/>
          </w:divBdr>
          <w:divsChild>
            <w:div w:id="15902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8443">
      <w:bodyDiv w:val="1"/>
      <w:marLeft w:val="0"/>
      <w:marRight w:val="0"/>
      <w:marTop w:val="0"/>
      <w:marBottom w:val="0"/>
      <w:divBdr>
        <w:top w:val="none" w:sz="0" w:space="0" w:color="auto"/>
        <w:left w:val="none" w:sz="0" w:space="0" w:color="auto"/>
        <w:bottom w:val="none" w:sz="0" w:space="0" w:color="auto"/>
        <w:right w:val="none" w:sz="0" w:space="0" w:color="auto"/>
      </w:divBdr>
      <w:divsChild>
        <w:div w:id="803354910">
          <w:marLeft w:val="0"/>
          <w:marRight w:val="0"/>
          <w:marTop w:val="0"/>
          <w:marBottom w:val="0"/>
          <w:divBdr>
            <w:top w:val="none" w:sz="0" w:space="0" w:color="auto"/>
            <w:left w:val="none" w:sz="0" w:space="0" w:color="auto"/>
            <w:bottom w:val="none" w:sz="0" w:space="0" w:color="auto"/>
            <w:right w:val="none" w:sz="0" w:space="0" w:color="auto"/>
          </w:divBdr>
          <w:divsChild>
            <w:div w:id="547837836">
              <w:marLeft w:val="0"/>
              <w:marRight w:val="0"/>
              <w:marTop w:val="0"/>
              <w:marBottom w:val="0"/>
              <w:divBdr>
                <w:top w:val="none" w:sz="0" w:space="0" w:color="auto"/>
                <w:left w:val="none" w:sz="0" w:space="0" w:color="auto"/>
                <w:bottom w:val="none" w:sz="0" w:space="0" w:color="auto"/>
                <w:right w:val="none" w:sz="0" w:space="0" w:color="auto"/>
              </w:divBdr>
              <w:divsChild>
                <w:div w:id="1047611097">
                  <w:marLeft w:val="0"/>
                  <w:marRight w:val="0"/>
                  <w:marTop w:val="0"/>
                  <w:marBottom w:val="0"/>
                  <w:divBdr>
                    <w:top w:val="none" w:sz="0" w:space="0" w:color="auto"/>
                    <w:left w:val="none" w:sz="0" w:space="0" w:color="auto"/>
                    <w:bottom w:val="none" w:sz="0" w:space="0" w:color="auto"/>
                    <w:right w:val="none" w:sz="0" w:space="0" w:color="auto"/>
                  </w:divBdr>
                  <w:divsChild>
                    <w:div w:id="2013605813">
                      <w:marLeft w:val="0"/>
                      <w:marRight w:val="0"/>
                      <w:marTop w:val="0"/>
                      <w:marBottom w:val="0"/>
                      <w:divBdr>
                        <w:top w:val="none" w:sz="0" w:space="0" w:color="auto"/>
                        <w:left w:val="none" w:sz="0" w:space="0" w:color="auto"/>
                        <w:bottom w:val="none" w:sz="0" w:space="0" w:color="auto"/>
                        <w:right w:val="none" w:sz="0" w:space="0" w:color="auto"/>
                      </w:divBdr>
                      <w:divsChild>
                        <w:div w:id="1607881266">
                          <w:marLeft w:val="0"/>
                          <w:marRight w:val="0"/>
                          <w:marTop w:val="0"/>
                          <w:marBottom w:val="0"/>
                          <w:divBdr>
                            <w:top w:val="none" w:sz="0" w:space="0" w:color="auto"/>
                            <w:left w:val="none" w:sz="0" w:space="0" w:color="auto"/>
                            <w:bottom w:val="none" w:sz="0" w:space="0" w:color="auto"/>
                            <w:right w:val="none" w:sz="0" w:space="0" w:color="auto"/>
                          </w:divBdr>
                          <w:divsChild>
                            <w:div w:id="8459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91641">
      <w:bodyDiv w:val="1"/>
      <w:marLeft w:val="0"/>
      <w:marRight w:val="0"/>
      <w:marTop w:val="0"/>
      <w:marBottom w:val="0"/>
      <w:divBdr>
        <w:top w:val="none" w:sz="0" w:space="0" w:color="auto"/>
        <w:left w:val="none" w:sz="0" w:space="0" w:color="auto"/>
        <w:bottom w:val="none" w:sz="0" w:space="0" w:color="auto"/>
        <w:right w:val="none" w:sz="0" w:space="0" w:color="auto"/>
      </w:divBdr>
      <w:divsChild>
        <w:div w:id="938636192">
          <w:marLeft w:val="0"/>
          <w:marRight w:val="0"/>
          <w:marTop w:val="0"/>
          <w:marBottom w:val="0"/>
          <w:divBdr>
            <w:top w:val="none" w:sz="0" w:space="0" w:color="auto"/>
            <w:left w:val="none" w:sz="0" w:space="0" w:color="auto"/>
            <w:bottom w:val="none" w:sz="0" w:space="0" w:color="auto"/>
            <w:right w:val="none" w:sz="0" w:space="0" w:color="auto"/>
          </w:divBdr>
          <w:divsChild>
            <w:div w:id="1247227665">
              <w:marLeft w:val="0"/>
              <w:marRight w:val="0"/>
              <w:marTop w:val="0"/>
              <w:marBottom w:val="0"/>
              <w:divBdr>
                <w:top w:val="none" w:sz="0" w:space="0" w:color="auto"/>
                <w:left w:val="none" w:sz="0" w:space="0" w:color="auto"/>
                <w:bottom w:val="none" w:sz="0" w:space="0" w:color="auto"/>
                <w:right w:val="none" w:sz="0" w:space="0" w:color="auto"/>
              </w:divBdr>
              <w:divsChild>
                <w:div w:id="1399203644">
                  <w:marLeft w:val="0"/>
                  <w:marRight w:val="0"/>
                  <w:marTop w:val="0"/>
                  <w:marBottom w:val="0"/>
                  <w:divBdr>
                    <w:top w:val="none" w:sz="0" w:space="0" w:color="auto"/>
                    <w:left w:val="none" w:sz="0" w:space="0" w:color="auto"/>
                    <w:bottom w:val="none" w:sz="0" w:space="0" w:color="auto"/>
                    <w:right w:val="none" w:sz="0" w:space="0" w:color="auto"/>
                  </w:divBdr>
                  <w:divsChild>
                    <w:div w:id="1971281909">
                      <w:marLeft w:val="0"/>
                      <w:marRight w:val="0"/>
                      <w:marTop w:val="0"/>
                      <w:marBottom w:val="0"/>
                      <w:divBdr>
                        <w:top w:val="none" w:sz="0" w:space="0" w:color="auto"/>
                        <w:left w:val="none" w:sz="0" w:space="0" w:color="auto"/>
                        <w:bottom w:val="none" w:sz="0" w:space="0" w:color="auto"/>
                        <w:right w:val="none" w:sz="0" w:space="0" w:color="auto"/>
                      </w:divBdr>
                      <w:divsChild>
                        <w:div w:id="1098215408">
                          <w:marLeft w:val="0"/>
                          <w:marRight w:val="0"/>
                          <w:marTop w:val="0"/>
                          <w:marBottom w:val="0"/>
                          <w:divBdr>
                            <w:top w:val="none" w:sz="0" w:space="0" w:color="auto"/>
                            <w:left w:val="none" w:sz="0" w:space="0" w:color="auto"/>
                            <w:bottom w:val="none" w:sz="0" w:space="0" w:color="auto"/>
                            <w:right w:val="none" w:sz="0" w:space="0" w:color="auto"/>
                          </w:divBdr>
                          <w:divsChild>
                            <w:div w:id="15718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771448">
      <w:bodyDiv w:val="1"/>
      <w:marLeft w:val="0"/>
      <w:marRight w:val="0"/>
      <w:marTop w:val="0"/>
      <w:marBottom w:val="0"/>
      <w:divBdr>
        <w:top w:val="none" w:sz="0" w:space="0" w:color="auto"/>
        <w:left w:val="none" w:sz="0" w:space="0" w:color="auto"/>
        <w:bottom w:val="none" w:sz="0" w:space="0" w:color="auto"/>
        <w:right w:val="none" w:sz="0" w:space="0" w:color="auto"/>
      </w:divBdr>
      <w:divsChild>
        <w:div w:id="124276955">
          <w:marLeft w:val="0"/>
          <w:marRight w:val="0"/>
          <w:marTop w:val="0"/>
          <w:marBottom w:val="0"/>
          <w:divBdr>
            <w:top w:val="none" w:sz="0" w:space="0" w:color="auto"/>
            <w:left w:val="none" w:sz="0" w:space="0" w:color="auto"/>
            <w:bottom w:val="none" w:sz="0" w:space="0" w:color="auto"/>
            <w:right w:val="none" w:sz="0" w:space="0" w:color="auto"/>
          </w:divBdr>
          <w:divsChild>
            <w:div w:id="403721095">
              <w:marLeft w:val="0"/>
              <w:marRight w:val="0"/>
              <w:marTop w:val="0"/>
              <w:marBottom w:val="0"/>
              <w:divBdr>
                <w:top w:val="none" w:sz="0" w:space="0" w:color="auto"/>
                <w:left w:val="none" w:sz="0" w:space="0" w:color="auto"/>
                <w:bottom w:val="none" w:sz="0" w:space="0" w:color="auto"/>
                <w:right w:val="none" w:sz="0" w:space="0" w:color="auto"/>
              </w:divBdr>
              <w:divsChild>
                <w:div w:id="1818061478">
                  <w:marLeft w:val="0"/>
                  <w:marRight w:val="0"/>
                  <w:marTop w:val="0"/>
                  <w:marBottom w:val="0"/>
                  <w:divBdr>
                    <w:top w:val="none" w:sz="0" w:space="0" w:color="auto"/>
                    <w:left w:val="none" w:sz="0" w:space="0" w:color="auto"/>
                    <w:bottom w:val="none" w:sz="0" w:space="0" w:color="auto"/>
                    <w:right w:val="none" w:sz="0" w:space="0" w:color="auto"/>
                  </w:divBdr>
                  <w:divsChild>
                    <w:div w:id="1156190862">
                      <w:marLeft w:val="0"/>
                      <w:marRight w:val="0"/>
                      <w:marTop w:val="0"/>
                      <w:marBottom w:val="0"/>
                      <w:divBdr>
                        <w:top w:val="none" w:sz="0" w:space="0" w:color="auto"/>
                        <w:left w:val="none" w:sz="0" w:space="0" w:color="auto"/>
                        <w:bottom w:val="none" w:sz="0" w:space="0" w:color="auto"/>
                        <w:right w:val="none" w:sz="0" w:space="0" w:color="auto"/>
                      </w:divBdr>
                      <w:divsChild>
                        <w:div w:id="880290073">
                          <w:marLeft w:val="0"/>
                          <w:marRight w:val="0"/>
                          <w:marTop w:val="0"/>
                          <w:marBottom w:val="0"/>
                          <w:divBdr>
                            <w:top w:val="none" w:sz="0" w:space="0" w:color="auto"/>
                            <w:left w:val="none" w:sz="0" w:space="0" w:color="auto"/>
                            <w:bottom w:val="none" w:sz="0" w:space="0" w:color="auto"/>
                            <w:right w:val="none" w:sz="0" w:space="0" w:color="auto"/>
                          </w:divBdr>
                          <w:divsChild>
                            <w:div w:id="16599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contacts.bham.ac.uk" TargetMode="External"/><Relationship Id="rId13" Type="http://schemas.openxmlformats.org/officeDocument/2006/relationships/hyperlink" Target="mailto:CT.Submission@mhra.gov.uk" TargetMode="External"/><Relationship Id="rId18" Type="http://schemas.openxmlformats.org/officeDocument/2006/relationships/hyperlink" Target="https://www.gov.uk/guidance/guidance-on-substantial-amendments-to-a-clinical-trial-from-1-january-2021--2" TargetMode="External"/><Relationship Id="rId3" Type="http://schemas.openxmlformats.org/officeDocument/2006/relationships/settings" Target="settings.xml"/><Relationship Id="rId21" Type="http://schemas.openxmlformats.org/officeDocument/2006/relationships/hyperlink" Target="https://www.gov.uk/government/collections/mhra-post-transition-period-information" TargetMode="External"/><Relationship Id="rId7" Type="http://schemas.openxmlformats.org/officeDocument/2006/relationships/hyperlink" Target="https://www.birmingham.ac.uk/international/eu-referendum/index.aspx" TargetMode="External"/><Relationship Id="rId12" Type="http://schemas.openxmlformats.org/officeDocument/2006/relationships/hyperlink" Target="https://en.wikipedia.org/wiki/EudraCT" TargetMode="External"/><Relationship Id="rId17" Type="http://schemas.openxmlformats.org/officeDocument/2006/relationships/hyperlink" Target="https://www.gov.uk/guidance/registering-to-make-submissions-to-the-mhra-from-1-january-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importing-investigational-medicinal-products-into-great-britain-from-approved-countries-from-1-january-2021" TargetMode="External"/><Relationship Id="rId20" Type="http://schemas.openxmlformats.org/officeDocument/2006/relationships/hyperlink" Target="https://www.hra.nhs.uk/planning-and-improving-research/policies-standards-legislation/guidance-health-and-social-care-researchers-end-transition-perio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ra.nhs.uk/approvals-amendments/" TargetMode="External"/><Relationship Id="rId23" Type="http://schemas.openxmlformats.org/officeDocument/2006/relationships/footer" Target="footer1.xml"/><Relationship Id="rId10" Type="http://schemas.openxmlformats.org/officeDocument/2006/relationships/hyperlink" Target="http://www.isrctn.com/" TargetMode="External"/><Relationship Id="rId19" Type="http://schemas.openxmlformats.org/officeDocument/2006/relationships/hyperlink" Target="https://www.gov.uk/guidance/regulating-medical-devices-from-1-january-2021" TargetMode="External"/><Relationship Id="rId4" Type="http://schemas.openxmlformats.org/officeDocument/2006/relationships/webSettings" Target="webSettings.xml"/><Relationship Id="rId9" Type="http://schemas.openxmlformats.org/officeDocument/2006/relationships/hyperlink" Target="https://www.hra.nhs.uk/approvals-amendments/what-approvals-do-i-need/hra-approval/" TargetMode="External"/><Relationship Id="rId14" Type="http://schemas.openxmlformats.org/officeDocument/2006/relationships/hyperlink" Target="https://www.gov.uk/guidance/registration-of-clinical-trials-for-investigational-medicinal-products-and-publication-of-summary-results-from-1-january-2021" TargetMode="External"/><Relationship Id="rId22" Type="http://schemas.openxmlformats.org/officeDocument/2006/relationships/hyperlink" Target="https://ico.org.uk/for-organisations/data-protection-at-the-end-of-the-transition-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Whitman (Research Support Group)</dc:creator>
  <cp:keywords/>
  <dc:description/>
  <cp:lastModifiedBy>Paul Carpenter (Marketing, Communications and Operations)</cp:lastModifiedBy>
  <cp:revision>3</cp:revision>
  <dcterms:created xsi:type="dcterms:W3CDTF">2020-12-17T13:48:00Z</dcterms:created>
  <dcterms:modified xsi:type="dcterms:W3CDTF">2024-10-03T13:21:00Z</dcterms:modified>
</cp:coreProperties>
</file>